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39F7" w14:textId="670F532F" w:rsidR="00271406" w:rsidRDefault="00271406" w:rsidP="00CA3413">
      <w:pPr>
        <w:pStyle w:val="HeadingSection"/>
        <w:suppressLineNumbers/>
        <w:tabs>
          <w:tab w:val="center" w:pos="4680"/>
          <w:tab w:val="right" w:pos="9360"/>
        </w:tabs>
        <w:spacing w:after="0" w:line="240" w:lineRule="auto"/>
      </w:pPr>
      <w:bookmarkStart w:id="0" w:name="_Toc301773537"/>
      <w:bookmarkStart w:id="1" w:name="_Toc301773708"/>
      <w:bookmarkStart w:id="2" w:name="_Toc301773938"/>
      <w:bookmarkStart w:id="3" w:name="_Toc301774070"/>
      <w:bookmarkStart w:id="4" w:name="_Hlk65077192"/>
      <w:r w:rsidRPr="00BC30C9">
        <w:t>Laws and Regulations (L&amp;R) Committee</w:t>
      </w:r>
    </w:p>
    <w:p w14:paraId="6CB707EA" w14:textId="7E06BF00" w:rsidR="008B5A5A" w:rsidRPr="00BC30C9" w:rsidRDefault="008B5A5A" w:rsidP="00CA3413">
      <w:pPr>
        <w:pStyle w:val="HeadingSection"/>
        <w:suppressLineNumbers/>
        <w:tabs>
          <w:tab w:val="center" w:pos="4680"/>
          <w:tab w:val="right" w:pos="9360"/>
        </w:tabs>
        <w:spacing w:after="0" w:line="240" w:lineRule="auto"/>
        <w:rPr>
          <w:b w:val="0"/>
        </w:rPr>
      </w:pPr>
      <w:r>
        <w:t>2026 Annual Meeting Agenda</w:t>
      </w:r>
    </w:p>
    <w:p w14:paraId="1F2232D4" w14:textId="4FC1571D" w:rsidR="00271406" w:rsidRPr="00935F1C" w:rsidRDefault="009B00E5" w:rsidP="00271406">
      <w:pPr>
        <w:suppressLineNumbers/>
        <w:spacing w:after="0"/>
        <w:jc w:val="center"/>
        <w:rPr>
          <w:rFonts w:eastAsia="Times New Roman"/>
          <w:szCs w:val="20"/>
        </w:rPr>
      </w:pPr>
      <w:r w:rsidRPr="00935F1C">
        <w:rPr>
          <w:b/>
          <w:szCs w:val="20"/>
        </w:rPr>
        <w:br/>
      </w:r>
      <w:r w:rsidR="007E48F3" w:rsidRPr="00935F1C">
        <w:rPr>
          <w:rFonts w:eastAsia="Times New Roman"/>
          <w:szCs w:val="20"/>
        </w:rPr>
        <w:t>Mauricio</w:t>
      </w:r>
      <w:r w:rsidR="006B39F0" w:rsidRPr="00935F1C">
        <w:rPr>
          <w:rFonts w:eastAsia="Times New Roman"/>
          <w:szCs w:val="20"/>
        </w:rPr>
        <w:t xml:space="preserve"> Mejia</w:t>
      </w:r>
      <w:r w:rsidR="00271406" w:rsidRPr="00935F1C">
        <w:rPr>
          <w:rFonts w:eastAsia="Times New Roman"/>
          <w:szCs w:val="20"/>
        </w:rPr>
        <w:t>, Committee Chair</w:t>
      </w:r>
    </w:p>
    <w:p w14:paraId="7E04B033" w14:textId="41D8BD49" w:rsidR="00271406" w:rsidRPr="00935F1C" w:rsidRDefault="006B39F0" w:rsidP="00271406">
      <w:pPr>
        <w:suppressLineNumbers/>
        <w:spacing w:after="0"/>
        <w:jc w:val="center"/>
        <w:rPr>
          <w:rFonts w:eastAsia="Times New Roman"/>
          <w:szCs w:val="20"/>
        </w:rPr>
      </w:pPr>
      <w:r w:rsidRPr="00935F1C">
        <w:rPr>
          <w:rFonts w:eastAsia="Times New Roman"/>
          <w:szCs w:val="20"/>
        </w:rPr>
        <w:t>Florida</w:t>
      </w:r>
    </w:p>
    <w:p w14:paraId="0BDE78FF" w14:textId="77777777" w:rsidR="00D72188" w:rsidRDefault="00D72188" w:rsidP="00271406">
      <w:pPr>
        <w:suppressLineNumbers/>
        <w:spacing w:after="0"/>
        <w:jc w:val="left"/>
        <w:rPr>
          <w:rFonts w:eastAsia="Times New Roman"/>
          <w:b/>
          <w:bCs/>
          <w:sz w:val="24"/>
          <w:szCs w:val="24"/>
        </w:rPr>
      </w:pPr>
    </w:p>
    <w:p w14:paraId="14E895C8" w14:textId="565EBF51" w:rsidR="00271406" w:rsidRDefault="00271406" w:rsidP="00271406">
      <w:pPr>
        <w:suppressLineNumbers/>
        <w:spacing w:after="0"/>
        <w:jc w:val="left"/>
        <w:rPr>
          <w:rFonts w:eastAsia="Times New Roman"/>
          <w:b/>
          <w:bCs/>
          <w:sz w:val="24"/>
          <w:szCs w:val="24"/>
        </w:rPr>
      </w:pPr>
      <w:r w:rsidRPr="00BC30C9">
        <w:rPr>
          <w:rFonts w:eastAsia="Times New Roman"/>
          <w:b/>
          <w:bCs/>
          <w:sz w:val="24"/>
          <w:szCs w:val="24"/>
        </w:rPr>
        <w:t>INTRODUCTION</w:t>
      </w:r>
    </w:p>
    <w:p w14:paraId="39C6D9DF" w14:textId="77777777" w:rsidR="00271406" w:rsidRPr="00BC30C9" w:rsidRDefault="00271406" w:rsidP="00271406">
      <w:pPr>
        <w:suppressLineNumbers/>
        <w:spacing w:after="0"/>
        <w:jc w:val="left"/>
        <w:rPr>
          <w:rFonts w:eastAsia="Times New Roman"/>
          <w:b/>
          <w:sz w:val="24"/>
          <w:szCs w:val="24"/>
        </w:rPr>
      </w:pPr>
    </w:p>
    <w:p w14:paraId="0E9DC4C4" w14:textId="047D13F0" w:rsidR="009051B5" w:rsidRPr="00A334F9" w:rsidRDefault="009051B5" w:rsidP="009051B5">
      <w:pPr>
        <w:suppressLineNumbers/>
        <w:autoSpaceDE w:val="0"/>
        <w:autoSpaceDN w:val="0"/>
        <w:adjustRightInd w:val="0"/>
        <w:rPr>
          <w:color w:val="000000"/>
          <w:szCs w:val="20"/>
        </w:rPr>
      </w:pPr>
      <w:bookmarkStart w:id="5" w:name="_Hlk65077087"/>
      <w:bookmarkEnd w:id="0"/>
      <w:bookmarkEnd w:id="1"/>
      <w:bookmarkEnd w:id="2"/>
      <w:bookmarkEnd w:id="3"/>
      <w:r w:rsidRPr="00A334F9">
        <w:rPr>
          <w:color w:val="000000"/>
          <w:szCs w:val="20"/>
        </w:rPr>
        <w:t xml:space="preserve">This is the </w:t>
      </w:r>
      <w:r>
        <w:rPr>
          <w:color w:val="000000"/>
          <w:szCs w:val="20"/>
        </w:rPr>
        <w:t>agenda</w:t>
      </w:r>
      <w:r w:rsidRPr="00A334F9">
        <w:rPr>
          <w:color w:val="000000"/>
          <w:szCs w:val="20"/>
        </w:rPr>
        <w:t xml:space="preserve"> of the </w:t>
      </w:r>
      <w:r w:rsidR="00133389">
        <w:rPr>
          <w:color w:val="000000"/>
          <w:szCs w:val="20"/>
        </w:rPr>
        <w:t>Laws and Regulations Committee</w:t>
      </w:r>
      <w:r w:rsidRPr="00A334F9">
        <w:rPr>
          <w:color w:val="000000"/>
          <w:szCs w:val="20"/>
        </w:rPr>
        <w:t xml:space="preserve"> (hereinafter referred to as the “</w:t>
      </w:r>
      <w:r w:rsidR="00133389">
        <w:rPr>
          <w:color w:val="000000"/>
          <w:szCs w:val="20"/>
        </w:rPr>
        <w:t>Committee</w:t>
      </w:r>
      <w:r w:rsidRPr="00A334F9">
        <w:rPr>
          <w:color w:val="000000"/>
          <w:szCs w:val="20"/>
        </w:rPr>
        <w:t>”) for the</w:t>
      </w:r>
      <w:r>
        <w:rPr>
          <w:color w:val="000000"/>
          <w:szCs w:val="20"/>
        </w:rPr>
        <w:t xml:space="preserve"> 111</w:t>
      </w:r>
      <w:r w:rsidRPr="007F1C29">
        <w:rPr>
          <w:color w:val="000000"/>
          <w:szCs w:val="20"/>
          <w:vertAlign w:val="superscript"/>
        </w:rPr>
        <w:t>th</w:t>
      </w:r>
      <w:r>
        <w:rPr>
          <w:color w:val="000000"/>
          <w:szCs w:val="20"/>
        </w:rPr>
        <w:t xml:space="preserve"> </w:t>
      </w:r>
      <w:r w:rsidRPr="00A334F9">
        <w:rPr>
          <w:color w:val="000000"/>
          <w:szCs w:val="20"/>
        </w:rPr>
        <w:t>Annual Meeting of the National Co</w:t>
      </w:r>
      <w:r>
        <w:rPr>
          <w:color w:val="000000"/>
          <w:szCs w:val="20"/>
        </w:rPr>
        <w:t>uncil</w:t>
      </w:r>
      <w:r w:rsidRPr="00A334F9">
        <w:rPr>
          <w:color w:val="000000"/>
          <w:szCs w:val="20"/>
        </w:rPr>
        <w:t xml:space="preserve"> on Weights and Measures (NCWM). This report is based on the Interim Report offered in the NCWM Publication 16, testimony heard at public hearings, comments received from the regional </w:t>
      </w:r>
      <w:proofErr w:type="gramStart"/>
      <w:r w:rsidRPr="00A334F9">
        <w:rPr>
          <w:color w:val="000000"/>
          <w:szCs w:val="20"/>
        </w:rPr>
        <w:t>weights</w:t>
      </w:r>
      <w:proofErr w:type="gramEnd"/>
      <w:r w:rsidRPr="00A334F9">
        <w:rPr>
          <w:color w:val="000000"/>
          <w:szCs w:val="20"/>
        </w:rPr>
        <w:t xml:space="preserve"> and measures associations and other parties, the addendum sheets issued at the Annual Meeting, and actions taken by the membership at the voting session of the Annual Meeting. The Informational items presented below were adopted as presented when the </w:t>
      </w:r>
      <w:r>
        <w:rPr>
          <w:color w:val="000000"/>
          <w:szCs w:val="20"/>
        </w:rPr>
        <w:t>Board</w:t>
      </w:r>
      <w:r w:rsidRPr="00A334F9">
        <w:rPr>
          <w:color w:val="000000"/>
          <w:szCs w:val="20"/>
        </w:rPr>
        <w:t xml:space="preserve">’s report was approved. </w:t>
      </w:r>
    </w:p>
    <w:p w14:paraId="55924A33" w14:textId="77777777" w:rsidR="009051B5" w:rsidRDefault="009051B5" w:rsidP="009051B5">
      <w:pPr>
        <w:suppressLineNumbers/>
        <w:autoSpaceDE w:val="0"/>
        <w:autoSpaceDN w:val="0"/>
        <w:adjustRightInd w:val="0"/>
        <w:rPr>
          <w:color w:val="000000"/>
          <w:szCs w:val="20"/>
        </w:rPr>
      </w:pPr>
      <w:r w:rsidRPr="00A334F9">
        <w:rPr>
          <w:color w:val="000000"/>
          <w:szCs w:val="20"/>
        </w:rPr>
        <w:t xml:space="preserve">Table A identifies the agenda and appendix items. Agenda items are identified in the Report by Reference Key Number, Item Title, and Page Number. Item numbers </w:t>
      </w:r>
      <w:proofErr w:type="gramStart"/>
      <w:r w:rsidRPr="00A334F9">
        <w:rPr>
          <w:color w:val="000000"/>
          <w:szCs w:val="20"/>
        </w:rPr>
        <w:t>are those</w:t>
      </w:r>
      <w:proofErr w:type="gramEnd"/>
      <w:r w:rsidRPr="00A334F9">
        <w:rPr>
          <w:color w:val="000000"/>
          <w:szCs w:val="20"/>
        </w:rPr>
        <w:t xml:space="preserve"> assigned in the Interim Meeting agenda. A Voting item is indicated with a “</w:t>
      </w:r>
      <w:r w:rsidRPr="00A334F9">
        <w:rPr>
          <w:b/>
          <w:bCs/>
          <w:color w:val="000000"/>
          <w:szCs w:val="20"/>
        </w:rPr>
        <w:t>V</w:t>
      </w:r>
      <w:r w:rsidRPr="00A334F9">
        <w:rPr>
          <w:color w:val="000000"/>
          <w:szCs w:val="20"/>
        </w:rPr>
        <w:t>” after the item number. An item marked with an “</w:t>
      </w:r>
      <w:r w:rsidRPr="00A334F9">
        <w:rPr>
          <w:b/>
          <w:bCs/>
          <w:color w:val="000000"/>
          <w:szCs w:val="20"/>
        </w:rPr>
        <w:t>I</w:t>
      </w:r>
      <w:r w:rsidRPr="00A334F9">
        <w:rPr>
          <w:color w:val="000000"/>
          <w:szCs w:val="20"/>
        </w:rPr>
        <w:t>” after the reference key number is an Informational item. An item marked with a “</w:t>
      </w:r>
      <w:r w:rsidRPr="00A334F9">
        <w:rPr>
          <w:b/>
          <w:bCs/>
          <w:color w:val="000000"/>
          <w:szCs w:val="20"/>
        </w:rPr>
        <w:t>D</w:t>
      </w:r>
      <w:r w:rsidRPr="00A334F9">
        <w:rPr>
          <w:color w:val="000000"/>
          <w:szCs w:val="20"/>
        </w:rPr>
        <w:t xml:space="preserve">” after the reference key number is a Developing item. The developing designation indicates an item has merit; however, the item was returned to the submitter for further development before any action can be taken at the national level. An agenda “Item Under Consideration” is a statement of proposal and not necessarily a recommendation of the BOD. Suggested revisions are shown in </w:t>
      </w:r>
      <w:r w:rsidRPr="00A334F9">
        <w:rPr>
          <w:b/>
          <w:bCs/>
          <w:color w:val="000000"/>
          <w:szCs w:val="20"/>
        </w:rPr>
        <w:t xml:space="preserve">bold </w:t>
      </w:r>
      <w:r w:rsidRPr="00A334F9">
        <w:rPr>
          <w:color w:val="000000"/>
          <w:szCs w:val="20"/>
        </w:rPr>
        <w:t xml:space="preserve">face print by </w:t>
      </w:r>
      <w:r w:rsidRPr="00A334F9">
        <w:rPr>
          <w:b/>
          <w:bCs/>
          <w:color w:val="000000"/>
          <w:szCs w:val="20"/>
        </w:rPr>
        <w:t xml:space="preserve">striking out </w:t>
      </w:r>
      <w:r w:rsidRPr="00A334F9">
        <w:rPr>
          <w:color w:val="000000"/>
          <w:szCs w:val="20"/>
        </w:rPr>
        <w:t xml:space="preserve">information to be deleted and </w:t>
      </w:r>
      <w:r w:rsidRPr="00A334F9">
        <w:rPr>
          <w:b/>
          <w:bCs/>
          <w:color w:val="000000"/>
          <w:szCs w:val="20"/>
          <w:u w:val="single"/>
        </w:rPr>
        <w:t xml:space="preserve">underlining </w:t>
      </w:r>
      <w:r w:rsidRPr="00A334F9">
        <w:rPr>
          <w:color w:val="000000"/>
          <w:szCs w:val="20"/>
        </w:rPr>
        <w:t xml:space="preserve">information to be added. Table B lists the results of any Voting Items. </w:t>
      </w:r>
    </w:p>
    <w:p w14:paraId="68356CCD" w14:textId="77777777" w:rsidR="009051B5" w:rsidRDefault="009051B5" w:rsidP="009051B5">
      <w:pPr>
        <w:suppressLineNumbers/>
        <w:spacing w:after="0"/>
      </w:pPr>
      <w:r>
        <w:t xml:space="preserve">Items may be grouped into “Blocks” if they are: </w:t>
      </w:r>
    </w:p>
    <w:p w14:paraId="649BF25A" w14:textId="77777777" w:rsidR="009051B5" w:rsidRDefault="009051B5" w:rsidP="009051B5">
      <w:pPr>
        <w:pStyle w:val="ListParagraph"/>
        <w:numPr>
          <w:ilvl w:val="0"/>
          <w:numId w:val="45"/>
        </w:numPr>
        <w:suppressLineNumbers/>
        <w:spacing w:after="0"/>
      </w:pPr>
      <w:r>
        <w:rPr>
          <w:b/>
          <w:bCs/>
        </w:rPr>
        <w:t xml:space="preserve">Opposing Items: </w:t>
      </w:r>
      <w:r>
        <w:t xml:space="preserve">Items in direct conflict with each other, and only one may be adopted, </w:t>
      </w:r>
    </w:p>
    <w:p w14:paraId="4DAD4687" w14:textId="77777777" w:rsidR="009051B5" w:rsidRPr="00FE29EA" w:rsidRDefault="009051B5" w:rsidP="009051B5">
      <w:pPr>
        <w:pStyle w:val="ListParagraph"/>
        <w:numPr>
          <w:ilvl w:val="0"/>
          <w:numId w:val="45"/>
        </w:numPr>
        <w:suppressLineNumbers/>
        <w:autoSpaceDE w:val="0"/>
        <w:autoSpaceDN w:val="0"/>
        <w:adjustRightInd w:val="0"/>
        <w:spacing w:after="0"/>
        <w:rPr>
          <w:color w:val="000000"/>
          <w:szCs w:val="20"/>
        </w:rPr>
      </w:pPr>
      <w:proofErr w:type="gramStart"/>
      <w:r w:rsidRPr="00FE29EA">
        <w:rPr>
          <w:b/>
          <w:bCs/>
        </w:rPr>
        <w:t>Interdependent Items:</w:t>
      </w:r>
      <w:proofErr w:type="gramEnd"/>
      <w:r>
        <w:t xml:space="preserve"> Items addressing a similar topic where, if one is adopted, all </w:t>
      </w:r>
      <w:proofErr w:type="gramStart"/>
      <w:r>
        <w:t>need</w:t>
      </w:r>
      <w:proofErr w:type="gramEnd"/>
      <w:r>
        <w:t xml:space="preserve"> to be adopted, and </w:t>
      </w:r>
    </w:p>
    <w:p w14:paraId="0B778F19" w14:textId="77777777" w:rsidR="009051B5" w:rsidRPr="00FE29EA" w:rsidRDefault="009051B5" w:rsidP="009051B5">
      <w:pPr>
        <w:pStyle w:val="ListParagraph"/>
        <w:numPr>
          <w:ilvl w:val="0"/>
          <w:numId w:val="45"/>
        </w:numPr>
        <w:suppressLineNumbers/>
        <w:autoSpaceDE w:val="0"/>
        <w:autoSpaceDN w:val="0"/>
        <w:adjustRightInd w:val="0"/>
        <w:spacing w:after="0"/>
        <w:rPr>
          <w:color w:val="000000"/>
          <w:szCs w:val="20"/>
        </w:rPr>
      </w:pPr>
      <w:r w:rsidRPr="00FE29EA">
        <w:rPr>
          <w:b/>
          <w:bCs/>
        </w:rPr>
        <w:t xml:space="preserve">Related Items: </w:t>
      </w:r>
      <w:r w:rsidRPr="00080C30">
        <w:t>Items addressing a similar topic across multiple codes or regulations.</w:t>
      </w:r>
    </w:p>
    <w:p w14:paraId="04B974B2" w14:textId="77777777" w:rsidR="009051B5" w:rsidRDefault="009051B5" w:rsidP="009051B5">
      <w:pPr>
        <w:suppressLineNumbers/>
        <w:autoSpaceDE w:val="0"/>
        <w:autoSpaceDN w:val="0"/>
        <w:adjustRightInd w:val="0"/>
        <w:spacing w:after="0"/>
        <w:rPr>
          <w:color w:val="000000"/>
          <w:szCs w:val="20"/>
        </w:rPr>
      </w:pPr>
    </w:p>
    <w:p w14:paraId="59BE967F" w14:textId="77777777" w:rsidR="009051B5" w:rsidRPr="00D81E1A" w:rsidRDefault="009051B5" w:rsidP="009051B5">
      <w:pPr>
        <w:suppressLineNumbers/>
      </w:pPr>
      <w:r w:rsidRPr="00D81E1A">
        <w:t xml:space="preserve">Some Voting Items are considered individually; others may be grouped in a consent calendar. Consent calendar items are Voting Items that the </w:t>
      </w:r>
      <w:r>
        <w:t>Board</w:t>
      </w:r>
      <w:r w:rsidRPr="00D81E1A">
        <w:t xml:space="preserve"> has assembled as a single Voting Item during their deliberation after the Open Hearings</w:t>
      </w:r>
      <w:r>
        <w:t>, assuming</w:t>
      </w:r>
      <w:r w:rsidRPr="00D81E1A">
        <w:t xml:space="preserve"> that the items are without opposition and will not require discussion.  The Voting Items that have been grouped into consent calendar items will be listed on the addendum sheets.  Prior to adoption of the consent calendar, the </w:t>
      </w:r>
      <w:r>
        <w:t xml:space="preserve">Board </w:t>
      </w:r>
      <w:r w:rsidRPr="00D81E1A">
        <w:t>will remove specific items from the consent calendar upon request to be discussed and voted upon individually.</w:t>
      </w:r>
    </w:p>
    <w:p w14:paraId="7FA06B10" w14:textId="77777777" w:rsidR="009051B5" w:rsidRPr="00D81E1A" w:rsidRDefault="009051B5" w:rsidP="009051B5">
      <w:pPr>
        <w:suppressLineNumbers/>
      </w:pPr>
      <w:r>
        <w:t>The Board</w:t>
      </w:r>
      <w:r w:rsidRPr="00D81E1A">
        <w:t xml:space="preserve"> may change the status designation of agenda items (Developing, Informational, </w:t>
      </w:r>
      <w:r>
        <w:t>Assigned,</w:t>
      </w:r>
      <w:r w:rsidRPr="00D81E1A">
        <w:t xml:space="preserve"> Voting and Withdrawn) up until the report is adopted, except those items which are marked Developing, Informational</w:t>
      </w:r>
      <w:r>
        <w:t xml:space="preserve">, Assigned </w:t>
      </w:r>
      <w:r w:rsidRPr="00D81E1A">
        <w:t xml:space="preserve">or Withdrawn cannot be changed to Voting Status.  Any change from the </w:t>
      </w:r>
      <w:r>
        <w:t>Board</w:t>
      </w:r>
      <w:r w:rsidRPr="00D81E1A">
        <w:t xml:space="preserve"> Interim Report (as contained in this publication) or from what appears on the addendum sheets will be explained to the attendees prior to a motion and will be acted upon by the active members of NCWM prior to calling for the vote.  </w:t>
      </w:r>
    </w:p>
    <w:p w14:paraId="4838385A" w14:textId="77777777" w:rsidR="009051B5" w:rsidRPr="00D81E1A" w:rsidRDefault="009051B5" w:rsidP="009051B5">
      <w:pPr>
        <w:suppressLineNumbers/>
      </w:pPr>
      <w:r>
        <w:t xml:space="preserve">An “Item under Consideration” is a statement of proposal and not necessarily a recommendation of the Board.  Suggested revisions are shown in </w:t>
      </w:r>
      <w:r w:rsidRPr="005D4239">
        <w:rPr>
          <w:b/>
        </w:rPr>
        <w:t>bold face print</w:t>
      </w:r>
      <w:r>
        <w:t xml:space="preserve"> by </w:t>
      </w:r>
      <w:r w:rsidRPr="005D4239">
        <w:rPr>
          <w:b/>
          <w:strike/>
        </w:rPr>
        <w:t>striking out</w:t>
      </w:r>
      <w:r>
        <w:t xml:space="preserve"> information to be deleted and </w:t>
      </w:r>
      <w:r w:rsidRPr="005D4239">
        <w:rPr>
          <w:b/>
          <w:u w:val="single"/>
        </w:rPr>
        <w:t>underlining</w:t>
      </w:r>
      <w:r>
        <w:t xml:space="preserve"> information to be added.  Requirements that are proposed to be </w:t>
      </w:r>
      <w:proofErr w:type="gramStart"/>
      <w:r>
        <w:t>nonretroactive</w:t>
      </w:r>
      <w:proofErr w:type="gramEnd"/>
      <w:r>
        <w:t xml:space="preserve"> are printed in </w:t>
      </w:r>
      <w:r w:rsidRPr="005D4239">
        <w:rPr>
          <w:b/>
          <w:i/>
        </w:rPr>
        <w:t>bold faced italics</w:t>
      </w:r>
      <w:r>
        <w:t xml:space="preserve">.  </w:t>
      </w:r>
      <w:r w:rsidRPr="0055637C">
        <w:t xml:space="preserve">Additional letters, </w:t>
      </w:r>
      <w:proofErr w:type="gramStart"/>
      <w:r w:rsidRPr="0055637C">
        <w:t>presentation</w:t>
      </w:r>
      <w:proofErr w:type="gramEnd"/>
      <w:r w:rsidRPr="0055637C">
        <w:t xml:space="preserve"> and data may have been submitted for consideration with this item. Please </w:t>
      </w:r>
      <w:proofErr w:type="gramStart"/>
      <w:r w:rsidRPr="0055637C">
        <w:t xml:space="preserve">refer to </w:t>
      </w:r>
      <w:r w:rsidRPr="007B2189">
        <w:rPr>
          <w:u w:val="single"/>
        </w:rPr>
        <w:t>https://www.ncwm.com/publication-16</w:t>
      </w:r>
      <w:proofErr w:type="gramEnd"/>
      <w:r w:rsidRPr="007B2189">
        <w:t xml:space="preserve"> </w:t>
      </w:r>
      <w:r w:rsidRPr="0055637C">
        <w:t xml:space="preserve">to </w:t>
      </w:r>
      <w:proofErr w:type="gramStart"/>
      <w:r w:rsidRPr="0055637C">
        <w:t>review these documents</w:t>
      </w:r>
      <w:r w:rsidRPr="00D81E1A">
        <w:t>.</w:t>
      </w:r>
      <w:proofErr w:type="gramEnd"/>
      <w:r w:rsidRPr="00D81E1A">
        <w:t xml:space="preserve"> </w:t>
      </w:r>
    </w:p>
    <w:p w14:paraId="26E66B42" w14:textId="2FD6B222" w:rsidR="00BC30C9" w:rsidRPr="00956090" w:rsidRDefault="009051B5" w:rsidP="009051B5">
      <w:pPr>
        <w:suppressLineNumbers/>
        <w:spacing w:after="200"/>
        <w:jc w:val="left"/>
        <w:rPr>
          <w:rFonts w:eastAsia="Times New Roman"/>
          <w:i/>
          <w:szCs w:val="20"/>
        </w:rPr>
      </w:pPr>
      <w:r>
        <w:t>All sessions are open to registered meeting attendees.  If the Board must discuss any issue that involves proprietary information or other confidential material; that portion of the session dealing with the special issue may be closed if (1) the Chairman or, in his absence, the Chairman-Elect approves; (2) the Executive Director is notified; and (3) an announcement of the closed meeting is posted on or near the door to the meeting session and at the registration desk.  If possible, the posting will be made at least a day before the planned closed session.</w:t>
      </w:r>
    </w:p>
    <w:tbl>
      <w:tblPr>
        <w:tblW w:w="9090" w:type="dxa"/>
        <w:jc w:val="center"/>
        <w:tblBorders>
          <w:top w:val="single" w:sz="4" w:space="0" w:color="auto"/>
          <w:bottom w:val="single" w:sz="4" w:space="0" w:color="auto"/>
        </w:tblBorders>
        <w:tblLook w:val="04A0" w:firstRow="1" w:lastRow="0" w:firstColumn="1" w:lastColumn="0" w:noHBand="0" w:noVBand="1"/>
      </w:tblPr>
      <w:tblGrid>
        <w:gridCol w:w="9090"/>
      </w:tblGrid>
      <w:tr w:rsidR="00891362" w:rsidRPr="00281428" w14:paraId="6D3A1FB9" w14:textId="77777777" w:rsidTr="00604A9C">
        <w:trPr>
          <w:jc w:val="center"/>
        </w:trPr>
        <w:tc>
          <w:tcPr>
            <w:tcW w:w="9090" w:type="dxa"/>
            <w:tcBorders>
              <w:top w:val="single" w:sz="12" w:space="0" w:color="auto"/>
              <w:bottom w:val="single" w:sz="12" w:space="0" w:color="auto"/>
            </w:tcBorders>
          </w:tcPr>
          <w:bookmarkEnd w:id="4"/>
          <w:bookmarkEnd w:id="5"/>
          <w:p w14:paraId="3257CC01" w14:textId="77777777" w:rsidR="00891362" w:rsidRPr="00281428" w:rsidRDefault="00891362" w:rsidP="000803DF">
            <w:pPr>
              <w:pStyle w:val="TableHeading"/>
              <w:pageBreakBefore/>
            </w:pPr>
            <w:r w:rsidRPr="00281428">
              <w:lastRenderedPageBreak/>
              <w:t>Subject Series List</w:t>
            </w:r>
          </w:p>
        </w:tc>
      </w:tr>
    </w:tbl>
    <w:p w14:paraId="69DFE27B" w14:textId="04D2D3D7" w:rsidR="00891362" w:rsidRPr="00281428" w:rsidRDefault="00891362" w:rsidP="000803DF">
      <w:pPr>
        <w:pStyle w:val="SubjectSeriesLevel1"/>
        <w:keepNext/>
        <w:suppressLineNumbers/>
        <w:ind w:left="252"/>
      </w:pPr>
      <w:bookmarkStart w:id="6" w:name="_Hlk498000193"/>
      <w:r w:rsidRPr="00281428">
        <w:t>Handbook 130 – General</w:t>
      </w:r>
      <w:r w:rsidRPr="00281428">
        <w:tab/>
      </w:r>
      <w:r w:rsidR="00272AF2" w:rsidRPr="00281428">
        <w:t>GEN</w:t>
      </w:r>
      <w:r w:rsidRPr="00281428">
        <w:t xml:space="preserve"> Series</w:t>
      </w:r>
    </w:p>
    <w:p w14:paraId="4D0086A3" w14:textId="3CFA10C1" w:rsidR="00891362" w:rsidRPr="00281428" w:rsidRDefault="00891362" w:rsidP="000803DF">
      <w:pPr>
        <w:pStyle w:val="SubjectSeriesLevel2"/>
        <w:keepNext/>
        <w:suppressLineNumbers/>
        <w:spacing w:before="120"/>
        <w:ind w:left="612"/>
      </w:pPr>
      <w:r w:rsidRPr="00281428">
        <w:t>Uniform Law</w:t>
      </w:r>
      <w:r w:rsidR="004701BF">
        <w:t>s</w:t>
      </w:r>
    </w:p>
    <w:p w14:paraId="283A0205" w14:textId="77777777" w:rsidR="00891362" w:rsidRPr="00281428" w:rsidRDefault="00891362" w:rsidP="000803DF">
      <w:pPr>
        <w:pStyle w:val="SubjectSeriesLevel3"/>
        <w:keepNext/>
        <w:suppressLineNumbers/>
        <w:ind w:left="972"/>
      </w:pPr>
      <w:r w:rsidRPr="00281428">
        <w:t>Uniform Weights and Measures Law</w:t>
      </w:r>
      <w:r w:rsidRPr="00281428">
        <w:tab/>
      </w:r>
      <w:r w:rsidR="00272AF2" w:rsidRPr="00281428">
        <w:t>WAM</w:t>
      </w:r>
      <w:r w:rsidRPr="00281428">
        <w:t xml:space="preserve"> Series</w:t>
      </w:r>
    </w:p>
    <w:p w14:paraId="546C3562" w14:textId="2758DEA5" w:rsidR="00891362" w:rsidRPr="00281428" w:rsidRDefault="00891362" w:rsidP="000803DF">
      <w:pPr>
        <w:pStyle w:val="SubjectSeriesLevel3"/>
        <w:keepNext/>
        <w:suppressLineNumbers/>
        <w:ind w:left="972"/>
      </w:pPr>
      <w:r w:rsidRPr="00281428">
        <w:t>Uniform Weighmaste</w:t>
      </w:r>
      <w:r w:rsidR="00272AF2" w:rsidRPr="00281428">
        <w:t>r Law</w:t>
      </w:r>
      <w:r w:rsidR="00272AF2" w:rsidRPr="00281428">
        <w:tab/>
        <w:t>WM</w:t>
      </w:r>
      <w:r w:rsidR="007E6609">
        <w:t>L</w:t>
      </w:r>
      <w:r w:rsidRPr="00281428">
        <w:t xml:space="preserve"> Series</w:t>
      </w:r>
    </w:p>
    <w:p w14:paraId="5648D9F3" w14:textId="3766A6C6" w:rsidR="00891362" w:rsidRPr="00281428" w:rsidRDefault="00891362" w:rsidP="000803DF">
      <w:pPr>
        <w:pStyle w:val="SubjectSeriesLevel3"/>
        <w:keepNext/>
        <w:suppressLineNumbers/>
        <w:ind w:left="972"/>
      </w:pPr>
      <w:r w:rsidRPr="00281428">
        <w:t>Uniform Fuels and Automot</w:t>
      </w:r>
      <w:r w:rsidR="00272AF2" w:rsidRPr="00281428">
        <w:t>ive Lubricants Inspection Law</w:t>
      </w:r>
      <w:r w:rsidR="00272AF2" w:rsidRPr="00281428">
        <w:tab/>
        <w:t>FLL</w:t>
      </w:r>
      <w:r w:rsidRPr="00281428">
        <w:t xml:space="preserve"> Series</w:t>
      </w:r>
    </w:p>
    <w:p w14:paraId="43DE27F4" w14:textId="77777777" w:rsidR="00891362" w:rsidRPr="00281428" w:rsidRDefault="00891362" w:rsidP="000803DF">
      <w:pPr>
        <w:pStyle w:val="SubjectSeriesLevel2"/>
        <w:keepNext/>
        <w:suppressLineNumbers/>
        <w:spacing w:before="120"/>
        <w:ind w:left="612"/>
      </w:pPr>
      <w:r w:rsidRPr="00281428">
        <w:t>Uniform Regulations</w:t>
      </w:r>
    </w:p>
    <w:p w14:paraId="3CAF8BF7" w14:textId="77777777" w:rsidR="00891362" w:rsidRPr="00281428" w:rsidRDefault="00891362" w:rsidP="000803DF">
      <w:pPr>
        <w:pStyle w:val="SubjectSeriesLevel3"/>
        <w:keepNext/>
        <w:suppressLineNumbers/>
        <w:ind w:left="972"/>
      </w:pPr>
      <w:r w:rsidRPr="00281428">
        <w:t>Uniform Packaging and Labeling Regulation</w:t>
      </w:r>
      <w:r w:rsidRPr="00281428">
        <w:tab/>
      </w:r>
      <w:r w:rsidR="00272AF2" w:rsidRPr="00281428">
        <w:t>PAL</w:t>
      </w:r>
      <w:r w:rsidRPr="00281428">
        <w:t xml:space="preserve"> Series</w:t>
      </w:r>
    </w:p>
    <w:p w14:paraId="359951C8" w14:textId="77777777" w:rsidR="00891362" w:rsidRPr="00281428" w:rsidRDefault="00891362" w:rsidP="000803DF">
      <w:pPr>
        <w:pStyle w:val="SubjectSeriesLevel3"/>
        <w:keepNext/>
        <w:suppressLineNumbers/>
        <w:ind w:left="972"/>
      </w:pPr>
      <w:r w:rsidRPr="00281428">
        <w:t xml:space="preserve">Uniform Regulation for the </w:t>
      </w:r>
      <w:r w:rsidR="00272AF2" w:rsidRPr="00281428">
        <w:t>Method of Sale of Commodities</w:t>
      </w:r>
      <w:r w:rsidR="00272AF2" w:rsidRPr="00281428">
        <w:tab/>
        <w:t>MOS</w:t>
      </w:r>
      <w:r w:rsidRPr="00281428">
        <w:t xml:space="preserve"> Series</w:t>
      </w:r>
    </w:p>
    <w:p w14:paraId="55E33155" w14:textId="77777777" w:rsidR="00891362" w:rsidRPr="00281428" w:rsidRDefault="00891362" w:rsidP="000803DF">
      <w:pPr>
        <w:pStyle w:val="SubjectSeriesLevel3"/>
        <w:keepNext/>
        <w:suppressLineNumbers/>
        <w:ind w:left="972"/>
      </w:pPr>
      <w:r w:rsidRPr="00281428">
        <w:t>Uniform</w:t>
      </w:r>
      <w:r w:rsidR="00272AF2" w:rsidRPr="00281428">
        <w:t xml:space="preserve"> Unit Pricing Regulation</w:t>
      </w:r>
      <w:r w:rsidR="00272AF2" w:rsidRPr="00281428">
        <w:tab/>
        <w:t>UPR</w:t>
      </w:r>
      <w:r w:rsidRPr="00281428">
        <w:t xml:space="preserve"> Series</w:t>
      </w:r>
    </w:p>
    <w:p w14:paraId="658BE46C" w14:textId="77777777" w:rsidR="0044082F" w:rsidRPr="00281428" w:rsidRDefault="00891362" w:rsidP="0044082F">
      <w:pPr>
        <w:pStyle w:val="SubjectSeriesLevel3"/>
        <w:keepNext/>
        <w:suppressLineNumbers/>
        <w:ind w:left="972"/>
      </w:pPr>
      <w:r w:rsidRPr="00281428">
        <w:t xml:space="preserve">Uniform Regulation for the Voluntary Registration of Servicepersons and Service Agencies </w:t>
      </w:r>
    </w:p>
    <w:p w14:paraId="07E87541" w14:textId="5ACF80C5" w:rsidR="00891362" w:rsidRPr="00281428" w:rsidRDefault="00891362" w:rsidP="0044082F">
      <w:pPr>
        <w:pStyle w:val="SubjectSeriesLevel3"/>
        <w:keepNext/>
        <w:suppressLineNumbers/>
        <w:ind w:left="972"/>
      </w:pPr>
      <w:r w:rsidRPr="00281428">
        <w:t>for Commercial W</w:t>
      </w:r>
      <w:r w:rsidR="00272AF2" w:rsidRPr="00281428">
        <w:t>eighing and Measuring Devices</w:t>
      </w:r>
      <w:r w:rsidR="00272AF2" w:rsidRPr="00281428">
        <w:tab/>
        <w:t>RSA</w:t>
      </w:r>
      <w:r w:rsidRPr="00281428">
        <w:t xml:space="preserve"> Series</w:t>
      </w:r>
    </w:p>
    <w:p w14:paraId="7BE6FD40" w14:textId="77777777" w:rsidR="00891362" w:rsidRPr="00281428" w:rsidRDefault="00891362" w:rsidP="000803DF">
      <w:pPr>
        <w:pStyle w:val="SubjectSeriesLevel3"/>
        <w:keepNext/>
        <w:suppressLineNumbers/>
        <w:ind w:left="972"/>
      </w:pPr>
      <w:r w:rsidRPr="00281428">
        <w:t>U</w:t>
      </w:r>
      <w:r w:rsidR="00272AF2" w:rsidRPr="00281428">
        <w:t>niform Open Dating Regulation</w:t>
      </w:r>
      <w:r w:rsidR="00272AF2" w:rsidRPr="00281428">
        <w:tab/>
        <w:t>ODR</w:t>
      </w:r>
      <w:r w:rsidRPr="00281428">
        <w:t xml:space="preserve"> Series</w:t>
      </w:r>
    </w:p>
    <w:p w14:paraId="678E7AC1" w14:textId="77777777" w:rsidR="00891362" w:rsidRPr="00281428" w:rsidRDefault="00891362" w:rsidP="000803DF">
      <w:pPr>
        <w:pStyle w:val="SubjectSeriesLevel3"/>
        <w:keepNext/>
        <w:suppressLineNumbers/>
        <w:ind w:left="972"/>
      </w:pPr>
      <w:r w:rsidRPr="00281428">
        <w:t>Uniform Regulation for</w:t>
      </w:r>
      <w:r w:rsidR="00272AF2" w:rsidRPr="00281428">
        <w:t xml:space="preserve"> National Type Evaluation</w:t>
      </w:r>
      <w:r w:rsidR="00272AF2" w:rsidRPr="00281428">
        <w:tab/>
        <w:t>NTP</w:t>
      </w:r>
      <w:r w:rsidRPr="00281428">
        <w:t xml:space="preserve"> Series</w:t>
      </w:r>
    </w:p>
    <w:p w14:paraId="60083DB7" w14:textId="77777777" w:rsidR="00891362" w:rsidRDefault="00891362" w:rsidP="000803DF">
      <w:pPr>
        <w:pStyle w:val="SubjectSeriesLevel3"/>
        <w:keepNext/>
        <w:suppressLineNumbers/>
        <w:ind w:left="972"/>
      </w:pPr>
      <w:r w:rsidRPr="00281428">
        <w:t>Uniform Fuels and Aut</w:t>
      </w:r>
      <w:r w:rsidR="00272AF2" w:rsidRPr="00281428">
        <w:t>omotive Lubricants Regulation</w:t>
      </w:r>
      <w:r w:rsidR="00272AF2" w:rsidRPr="00281428">
        <w:tab/>
        <w:t>FLR</w:t>
      </w:r>
      <w:r w:rsidRPr="00281428">
        <w:t xml:space="preserve"> Series</w:t>
      </w:r>
    </w:p>
    <w:p w14:paraId="403E9B3B" w14:textId="16EA2A08" w:rsidR="007D304D" w:rsidRPr="00281428" w:rsidRDefault="007D304D" w:rsidP="000803DF">
      <w:pPr>
        <w:pStyle w:val="SubjectSeriesLevel3"/>
        <w:keepNext/>
        <w:suppressLineNumbers/>
        <w:ind w:left="972"/>
      </w:pPr>
      <w:r>
        <w:t>Uniform E-commerce Regulation</w:t>
      </w:r>
      <w:r>
        <w:tab/>
        <w:t>ECM Series</w:t>
      </w:r>
    </w:p>
    <w:p w14:paraId="37347C22" w14:textId="77777777" w:rsidR="00891362" w:rsidRPr="00281428" w:rsidRDefault="00891362" w:rsidP="000803DF">
      <w:pPr>
        <w:pStyle w:val="SubjectSeriesLevel2"/>
        <w:keepNext/>
        <w:suppressLineNumbers/>
        <w:spacing w:before="120"/>
        <w:ind w:left="612"/>
      </w:pPr>
      <w:r w:rsidRPr="00281428">
        <w:t>Examination Procedu</w:t>
      </w:r>
      <w:r w:rsidR="00272AF2" w:rsidRPr="00281428">
        <w:t>re for Price Verification</w:t>
      </w:r>
      <w:r w:rsidR="00272AF2" w:rsidRPr="00281428">
        <w:tab/>
        <w:t>PPV</w:t>
      </w:r>
      <w:r w:rsidRPr="00281428">
        <w:t xml:space="preserve"> Series</w:t>
      </w:r>
    </w:p>
    <w:p w14:paraId="738AF858" w14:textId="77777777" w:rsidR="00891362" w:rsidRPr="00281428" w:rsidRDefault="00891362" w:rsidP="000803DF">
      <w:pPr>
        <w:pStyle w:val="SubjectSeriesLevel2"/>
        <w:keepNext/>
        <w:suppressLineNumbers/>
        <w:spacing w:before="120"/>
        <w:ind w:left="612"/>
      </w:pPr>
      <w:r w:rsidRPr="00281428">
        <w:t>NCWM Policy, In</w:t>
      </w:r>
      <w:r w:rsidR="00272AF2" w:rsidRPr="00281428">
        <w:t>terpretations, and Guidelines</w:t>
      </w:r>
      <w:r w:rsidR="00272AF2" w:rsidRPr="00281428">
        <w:tab/>
        <w:t>POL</w:t>
      </w:r>
      <w:r w:rsidRPr="00281428">
        <w:t xml:space="preserve"> Series</w:t>
      </w:r>
    </w:p>
    <w:p w14:paraId="35663990" w14:textId="271581E0" w:rsidR="00891362" w:rsidRPr="00281428" w:rsidRDefault="00272AF2" w:rsidP="000803DF">
      <w:pPr>
        <w:pStyle w:val="SubjectSeriesLevel1"/>
        <w:keepNext/>
        <w:suppressLineNumbers/>
        <w:ind w:left="252"/>
      </w:pPr>
      <w:r w:rsidRPr="00281428">
        <w:t>Handbook 133</w:t>
      </w:r>
      <w:r w:rsidRPr="00281428">
        <w:tab/>
      </w:r>
      <w:r w:rsidR="004A1AEB" w:rsidRPr="00281428">
        <w:t>NET</w:t>
      </w:r>
      <w:r w:rsidR="00891362" w:rsidRPr="00281428">
        <w:t xml:space="preserve"> Series</w:t>
      </w:r>
    </w:p>
    <w:p w14:paraId="16165AC5" w14:textId="7A93533C" w:rsidR="007C7783" w:rsidRPr="007C7783" w:rsidRDefault="00891362" w:rsidP="00577D7D">
      <w:pPr>
        <w:pStyle w:val="SubjectSeriesLevel1"/>
        <w:suppressLineNumbers/>
        <w:ind w:left="252"/>
      </w:pPr>
      <w:r w:rsidRPr="00281428">
        <w:t>Othe</w:t>
      </w:r>
      <w:r w:rsidR="00272AF2" w:rsidRPr="00281428">
        <w:t>r Items</w:t>
      </w:r>
      <w:r w:rsidR="00272AF2" w:rsidRPr="00281428">
        <w:tab/>
        <w:t>OTH</w:t>
      </w:r>
      <w:r w:rsidRPr="00281428">
        <w:t xml:space="preserve"> Series</w:t>
      </w:r>
      <w:bookmarkEnd w:id="6"/>
    </w:p>
    <w:tbl>
      <w:tblPr>
        <w:tblW w:w="9360" w:type="dxa"/>
        <w:jc w:val="center"/>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281428" w14:paraId="0EDAE1BE" w14:textId="77777777" w:rsidTr="00604A9C">
        <w:trPr>
          <w:jc w:val="center"/>
        </w:trPr>
        <w:tc>
          <w:tcPr>
            <w:tcW w:w="9360" w:type="dxa"/>
            <w:gridSpan w:val="3"/>
            <w:tcBorders>
              <w:top w:val="single" w:sz="12" w:space="0" w:color="auto"/>
              <w:bottom w:val="single" w:sz="12" w:space="0" w:color="auto"/>
            </w:tcBorders>
          </w:tcPr>
          <w:p w14:paraId="52B1ECEB" w14:textId="77777777" w:rsidR="00105E26" w:rsidRPr="00281428" w:rsidRDefault="00891362" w:rsidP="000803DF">
            <w:pPr>
              <w:pStyle w:val="TableHeading"/>
              <w:pageBreakBefore/>
            </w:pPr>
            <w:r w:rsidRPr="00281428">
              <w:lastRenderedPageBreak/>
              <w:br w:type="page"/>
            </w:r>
            <w:r w:rsidR="00105E26" w:rsidRPr="00281428">
              <w:t>Table A</w:t>
            </w:r>
            <w:r w:rsidR="00443A38" w:rsidRPr="00281428">
              <w:br/>
            </w:r>
            <w:r w:rsidR="00C76925" w:rsidRPr="00281428">
              <w:t>Table of Contents</w:t>
            </w:r>
          </w:p>
        </w:tc>
      </w:tr>
      <w:tr w:rsidR="00105E26" w:rsidRPr="00281428" w14:paraId="336FF4C3" w14:textId="77777777" w:rsidTr="00604A9C">
        <w:trPr>
          <w:trHeight w:val="317"/>
          <w:jc w:val="center"/>
        </w:trPr>
        <w:tc>
          <w:tcPr>
            <w:tcW w:w="3110" w:type="dxa"/>
            <w:tcBorders>
              <w:top w:val="single" w:sz="12" w:space="0" w:color="auto"/>
              <w:bottom w:val="single" w:sz="12" w:space="0" w:color="auto"/>
            </w:tcBorders>
            <w:vAlign w:val="bottom"/>
          </w:tcPr>
          <w:p w14:paraId="7E12FEDA" w14:textId="77777777" w:rsidR="00105E26" w:rsidRPr="00281428" w:rsidRDefault="00F8763B" w:rsidP="000803DF">
            <w:pPr>
              <w:pStyle w:val="TableColumnHeadings"/>
              <w:ind w:left="-108"/>
              <w:jc w:val="left"/>
            </w:pPr>
            <w:r w:rsidRPr="00281428">
              <w:t>Reference Key</w:t>
            </w:r>
          </w:p>
        </w:tc>
        <w:tc>
          <w:tcPr>
            <w:tcW w:w="3110" w:type="dxa"/>
            <w:tcBorders>
              <w:top w:val="single" w:sz="12" w:space="0" w:color="auto"/>
              <w:bottom w:val="single" w:sz="12" w:space="0" w:color="auto"/>
            </w:tcBorders>
            <w:vAlign w:val="bottom"/>
          </w:tcPr>
          <w:p w14:paraId="39C7E051" w14:textId="77777777" w:rsidR="00105E26" w:rsidRPr="00281428" w:rsidRDefault="00105E26" w:rsidP="000803DF">
            <w:pPr>
              <w:pStyle w:val="TableColumnHeadings"/>
            </w:pPr>
            <w:r w:rsidRPr="00281428">
              <w:t>Title of Item</w:t>
            </w:r>
          </w:p>
        </w:tc>
        <w:tc>
          <w:tcPr>
            <w:tcW w:w="3140" w:type="dxa"/>
            <w:tcBorders>
              <w:top w:val="single" w:sz="12" w:space="0" w:color="auto"/>
              <w:bottom w:val="single" w:sz="12" w:space="0" w:color="auto"/>
            </w:tcBorders>
            <w:vAlign w:val="bottom"/>
          </w:tcPr>
          <w:p w14:paraId="43F5454A" w14:textId="77777777" w:rsidR="00105E26" w:rsidRPr="00281428" w:rsidRDefault="00A12E0D" w:rsidP="000803DF">
            <w:pPr>
              <w:pStyle w:val="TableColumnHeadings"/>
              <w:ind w:right="-108"/>
              <w:jc w:val="right"/>
            </w:pPr>
            <w:r w:rsidRPr="00281428">
              <w:t>L&amp;R</w:t>
            </w:r>
            <w:r w:rsidR="00F8763B" w:rsidRPr="00281428">
              <w:t xml:space="preserve"> </w:t>
            </w:r>
            <w:r w:rsidR="00105E26" w:rsidRPr="00281428">
              <w:t>Page</w:t>
            </w:r>
          </w:p>
        </w:tc>
      </w:tr>
    </w:tbl>
    <w:p w14:paraId="6E3315D6" w14:textId="182C9E4E" w:rsidR="005412A3" w:rsidRDefault="00214C38">
      <w:pPr>
        <w:pStyle w:val="TOC1"/>
        <w:rPr>
          <w:rFonts w:asciiTheme="minorHAnsi" w:eastAsiaTheme="minorEastAsia" w:hAnsiTheme="minorHAnsi" w:cstheme="minorBidi"/>
          <w:b w:val="0"/>
          <w:caps w:val="0"/>
          <w:noProof/>
          <w:color w:val="auto"/>
          <w:kern w:val="2"/>
          <w:sz w:val="24"/>
          <w:szCs w:val="24"/>
          <w:lang w:eastAsia="en-US"/>
          <w14:ligatures w14:val="standardContextual"/>
        </w:rPr>
      </w:pPr>
      <w:r w:rsidRPr="00793645">
        <w:fldChar w:fldCharType="begin"/>
      </w:r>
      <w:r w:rsidRPr="00793645">
        <w:instrText xml:space="preserve"> TOC \o "1-1" \h \z \t "Appendix Heading,3,Item Heading,2,Roman Item Heading,4" </w:instrText>
      </w:r>
      <w:r w:rsidR="00F20174">
        <w:instrText xml:space="preserve">\W </w:instrText>
      </w:r>
      <w:r w:rsidRPr="00793645">
        <w:fldChar w:fldCharType="separate"/>
      </w:r>
      <w:hyperlink w:anchor="_Toc224019612" w:history="1">
        <w:r w:rsidR="005412A3" w:rsidRPr="00592990">
          <w:rPr>
            <w:rStyle w:val="Hyperlink"/>
          </w:rPr>
          <w:t>pal – uniform packaging and labeling regulation</w:t>
        </w:r>
        <w:r w:rsidR="005412A3">
          <w:rPr>
            <w:noProof/>
            <w:webHidden/>
          </w:rPr>
          <w:tab/>
        </w:r>
        <w:r w:rsidR="005412A3">
          <w:rPr>
            <w:noProof/>
            <w:webHidden/>
          </w:rPr>
          <w:fldChar w:fldCharType="begin"/>
        </w:r>
        <w:r w:rsidR="005412A3">
          <w:rPr>
            <w:noProof/>
            <w:webHidden/>
          </w:rPr>
          <w:instrText xml:space="preserve"> PAGEREF _Toc224019612 \h </w:instrText>
        </w:r>
        <w:r w:rsidR="005412A3">
          <w:rPr>
            <w:noProof/>
            <w:webHidden/>
          </w:rPr>
        </w:r>
        <w:r w:rsidR="005412A3">
          <w:rPr>
            <w:noProof/>
            <w:webHidden/>
          </w:rPr>
          <w:fldChar w:fldCharType="separate"/>
        </w:r>
        <w:r w:rsidR="00616608">
          <w:rPr>
            <w:noProof/>
            <w:webHidden/>
          </w:rPr>
          <w:t>31</w:t>
        </w:r>
        <w:r w:rsidR="005412A3">
          <w:rPr>
            <w:noProof/>
            <w:webHidden/>
          </w:rPr>
          <w:fldChar w:fldCharType="end"/>
        </w:r>
      </w:hyperlink>
    </w:p>
    <w:p w14:paraId="38D9AAC7" w14:textId="454A11F6"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13" w:history="1">
        <w:r w:rsidRPr="00592990">
          <w:rPr>
            <w:rStyle w:val="Hyperlink"/>
            <w:lang w:val="fr-FR"/>
          </w:rPr>
          <w:t>PAL-26.1</w:t>
        </w:r>
        <w:r w:rsidRPr="00592990">
          <w:rPr>
            <w:rStyle w:val="Hyperlink"/>
            <w:lang w:val="fr-FR"/>
          </w:rPr>
          <w:tab/>
          <w:t>W</w:t>
        </w:r>
        <w:r w:rsidRPr="00592990">
          <w:rPr>
            <w:rStyle w:val="Hyperlink"/>
            <w:lang w:val="fr-FR"/>
          </w:rPr>
          <w:tab/>
          <w:t>6.3. Net Quantity.</w:t>
        </w:r>
        <w:r>
          <w:rPr>
            <w:noProof/>
            <w:webHidden/>
          </w:rPr>
          <w:tab/>
        </w:r>
        <w:r>
          <w:rPr>
            <w:noProof/>
            <w:webHidden/>
          </w:rPr>
          <w:fldChar w:fldCharType="begin"/>
        </w:r>
        <w:r>
          <w:rPr>
            <w:noProof/>
            <w:webHidden/>
          </w:rPr>
          <w:instrText xml:space="preserve"> PAGEREF _Toc224019613 \h </w:instrText>
        </w:r>
        <w:r>
          <w:rPr>
            <w:noProof/>
            <w:webHidden/>
          </w:rPr>
        </w:r>
        <w:r>
          <w:rPr>
            <w:noProof/>
            <w:webHidden/>
          </w:rPr>
          <w:fldChar w:fldCharType="separate"/>
        </w:r>
        <w:r w:rsidR="00616608">
          <w:rPr>
            <w:noProof/>
            <w:webHidden/>
          </w:rPr>
          <w:t>31</w:t>
        </w:r>
        <w:r>
          <w:rPr>
            <w:noProof/>
            <w:webHidden/>
          </w:rPr>
          <w:fldChar w:fldCharType="end"/>
        </w:r>
      </w:hyperlink>
    </w:p>
    <w:p w14:paraId="11796DD6" w14:textId="1D1B6F54" w:rsidR="005412A3" w:rsidRDefault="005412A3">
      <w:pPr>
        <w:pStyle w:val="TOC1"/>
        <w:rPr>
          <w:rFonts w:asciiTheme="minorHAnsi" w:eastAsiaTheme="minorEastAsia" w:hAnsiTheme="minorHAnsi" w:cstheme="minorBidi"/>
          <w:b w:val="0"/>
          <w:caps w:val="0"/>
          <w:noProof/>
          <w:color w:val="auto"/>
          <w:kern w:val="2"/>
          <w:sz w:val="24"/>
          <w:szCs w:val="24"/>
          <w:lang w:eastAsia="en-US"/>
          <w14:ligatures w14:val="standardContextual"/>
        </w:rPr>
      </w:pPr>
      <w:hyperlink w:anchor="_Toc224019614" w:history="1">
        <w:r w:rsidRPr="00592990">
          <w:rPr>
            <w:rStyle w:val="Hyperlink"/>
          </w:rPr>
          <w:t>MOS – uniform regulation for the Method of Sale of commodities</w:t>
        </w:r>
        <w:r>
          <w:rPr>
            <w:noProof/>
            <w:webHidden/>
          </w:rPr>
          <w:tab/>
        </w:r>
        <w:r>
          <w:rPr>
            <w:noProof/>
            <w:webHidden/>
          </w:rPr>
          <w:fldChar w:fldCharType="begin"/>
        </w:r>
        <w:r>
          <w:rPr>
            <w:noProof/>
            <w:webHidden/>
          </w:rPr>
          <w:instrText xml:space="preserve"> PAGEREF _Toc224019614 \h </w:instrText>
        </w:r>
        <w:r>
          <w:rPr>
            <w:noProof/>
            <w:webHidden/>
          </w:rPr>
        </w:r>
        <w:r>
          <w:rPr>
            <w:noProof/>
            <w:webHidden/>
          </w:rPr>
          <w:fldChar w:fldCharType="separate"/>
        </w:r>
        <w:r w:rsidR="00616608">
          <w:rPr>
            <w:noProof/>
            <w:webHidden/>
          </w:rPr>
          <w:t>36</w:t>
        </w:r>
        <w:r>
          <w:rPr>
            <w:noProof/>
            <w:webHidden/>
          </w:rPr>
          <w:fldChar w:fldCharType="end"/>
        </w:r>
      </w:hyperlink>
    </w:p>
    <w:p w14:paraId="7A77608A" w14:textId="2BFF8B38"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15" w:history="1">
        <w:r w:rsidRPr="00592990">
          <w:rPr>
            <w:rStyle w:val="Hyperlink"/>
          </w:rPr>
          <w:t xml:space="preserve">MOS-24.2 </w:t>
        </w:r>
        <w:r w:rsidRPr="00592990">
          <w:rPr>
            <w:rStyle w:val="Hyperlink"/>
          </w:rPr>
          <w:tab/>
          <w:t>V</w:t>
        </w:r>
        <w:r w:rsidRPr="00592990">
          <w:rPr>
            <w:rStyle w:val="Hyperlink"/>
          </w:rPr>
          <w:tab/>
          <w:t>2.16.3.1. Tare Weights, Part (c) Allowable difference.</w:t>
        </w:r>
        <w:r>
          <w:rPr>
            <w:noProof/>
            <w:webHidden/>
          </w:rPr>
          <w:tab/>
        </w:r>
        <w:r>
          <w:rPr>
            <w:noProof/>
            <w:webHidden/>
          </w:rPr>
          <w:fldChar w:fldCharType="begin"/>
        </w:r>
        <w:r>
          <w:rPr>
            <w:noProof/>
            <w:webHidden/>
          </w:rPr>
          <w:instrText xml:space="preserve"> PAGEREF _Toc224019615 \h </w:instrText>
        </w:r>
        <w:r>
          <w:rPr>
            <w:noProof/>
            <w:webHidden/>
          </w:rPr>
        </w:r>
        <w:r>
          <w:rPr>
            <w:noProof/>
            <w:webHidden/>
          </w:rPr>
          <w:fldChar w:fldCharType="separate"/>
        </w:r>
        <w:r w:rsidR="00616608">
          <w:rPr>
            <w:noProof/>
            <w:webHidden/>
          </w:rPr>
          <w:t>36</w:t>
        </w:r>
        <w:r>
          <w:rPr>
            <w:noProof/>
            <w:webHidden/>
          </w:rPr>
          <w:fldChar w:fldCharType="end"/>
        </w:r>
      </w:hyperlink>
    </w:p>
    <w:p w14:paraId="50BF7801" w14:textId="32AD29A2"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16" w:history="1">
        <w:r w:rsidRPr="00592990">
          <w:rPr>
            <w:rStyle w:val="Hyperlink"/>
          </w:rPr>
          <w:t>MOS-26.2</w:t>
        </w:r>
        <w:r w:rsidRPr="00592990">
          <w:rPr>
            <w:rStyle w:val="Hyperlink"/>
          </w:rPr>
          <w:tab/>
          <w:t>A</w:t>
        </w:r>
        <w:r w:rsidRPr="00592990">
          <w:rPr>
            <w:rStyle w:val="Hyperlink"/>
          </w:rPr>
          <w:tab/>
          <w:t>2.21.2. Metered Sales by Liquid Volume.</w:t>
        </w:r>
        <w:r>
          <w:rPr>
            <w:noProof/>
            <w:webHidden/>
          </w:rPr>
          <w:tab/>
        </w:r>
        <w:r>
          <w:rPr>
            <w:noProof/>
            <w:webHidden/>
          </w:rPr>
          <w:fldChar w:fldCharType="begin"/>
        </w:r>
        <w:r>
          <w:rPr>
            <w:noProof/>
            <w:webHidden/>
          </w:rPr>
          <w:instrText xml:space="preserve"> PAGEREF _Toc224019616 \h </w:instrText>
        </w:r>
        <w:r>
          <w:rPr>
            <w:noProof/>
            <w:webHidden/>
          </w:rPr>
        </w:r>
        <w:r>
          <w:rPr>
            <w:noProof/>
            <w:webHidden/>
          </w:rPr>
          <w:fldChar w:fldCharType="separate"/>
        </w:r>
        <w:r w:rsidR="00616608">
          <w:rPr>
            <w:noProof/>
            <w:webHidden/>
          </w:rPr>
          <w:t>43</w:t>
        </w:r>
        <w:r>
          <w:rPr>
            <w:noProof/>
            <w:webHidden/>
          </w:rPr>
          <w:fldChar w:fldCharType="end"/>
        </w:r>
      </w:hyperlink>
    </w:p>
    <w:p w14:paraId="5C6BB187" w14:textId="74A893D5"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17" w:history="1">
        <w:r w:rsidRPr="00592990">
          <w:rPr>
            <w:rStyle w:val="Hyperlink"/>
          </w:rPr>
          <w:t>MOS-26.3</w:t>
        </w:r>
        <w:r w:rsidRPr="00592990">
          <w:rPr>
            <w:rStyle w:val="Hyperlink"/>
          </w:rPr>
          <w:tab/>
          <w:t>A</w:t>
        </w:r>
        <w:r w:rsidRPr="00592990">
          <w:rPr>
            <w:rStyle w:val="Hyperlink"/>
          </w:rPr>
          <w:tab/>
          <w:t>Section 2.20 Gasoline and Gasoline Oxygenate Blends</w:t>
        </w:r>
        <w:r>
          <w:rPr>
            <w:noProof/>
            <w:webHidden/>
          </w:rPr>
          <w:tab/>
        </w:r>
        <w:r>
          <w:rPr>
            <w:noProof/>
            <w:webHidden/>
          </w:rPr>
          <w:fldChar w:fldCharType="begin"/>
        </w:r>
        <w:r>
          <w:rPr>
            <w:noProof/>
            <w:webHidden/>
          </w:rPr>
          <w:instrText xml:space="preserve"> PAGEREF _Toc224019617 \h </w:instrText>
        </w:r>
        <w:r>
          <w:rPr>
            <w:noProof/>
            <w:webHidden/>
          </w:rPr>
        </w:r>
        <w:r>
          <w:rPr>
            <w:noProof/>
            <w:webHidden/>
          </w:rPr>
          <w:fldChar w:fldCharType="separate"/>
        </w:r>
        <w:r w:rsidR="00616608">
          <w:rPr>
            <w:noProof/>
            <w:webHidden/>
          </w:rPr>
          <w:t>47</w:t>
        </w:r>
        <w:r>
          <w:rPr>
            <w:noProof/>
            <w:webHidden/>
          </w:rPr>
          <w:fldChar w:fldCharType="end"/>
        </w:r>
      </w:hyperlink>
    </w:p>
    <w:p w14:paraId="2A8668DA" w14:textId="3C6E908C" w:rsidR="005412A3" w:rsidRDefault="005412A3">
      <w:pPr>
        <w:pStyle w:val="TOC1"/>
        <w:rPr>
          <w:rFonts w:asciiTheme="minorHAnsi" w:eastAsiaTheme="minorEastAsia" w:hAnsiTheme="minorHAnsi" w:cstheme="minorBidi"/>
          <w:b w:val="0"/>
          <w:caps w:val="0"/>
          <w:noProof/>
          <w:color w:val="auto"/>
          <w:kern w:val="2"/>
          <w:sz w:val="24"/>
          <w:szCs w:val="24"/>
          <w:lang w:eastAsia="en-US"/>
          <w14:ligatures w14:val="standardContextual"/>
        </w:rPr>
      </w:pPr>
      <w:hyperlink w:anchor="_Toc224019618" w:history="1">
        <w:r w:rsidRPr="00592990">
          <w:rPr>
            <w:rStyle w:val="Hyperlink"/>
          </w:rPr>
          <w:t>UPR – Uniform Unit Pricing Regulation</w:t>
        </w:r>
        <w:r>
          <w:rPr>
            <w:noProof/>
            <w:webHidden/>
          </w:rPr>
          <w:tab/>
        </w:r>
        <w:r>
          <w:rPr>
            <w:noProof/>
            <w:webHidden/>
          </w:rPr>
          <w:fldChar w:fldCharType="begin"/>
        </w:r>
        <w:r>
          <w:rPr>
            <w:noProof/>
            <w:webHidden/>
          </w:rPr>
          <w:instrText xml:space="preserve"> PAGEREF _Toc224019618 \h </w:instrText>
        </w:r>
        <w:r>
          <w:rPr>
            <w:noProof/>
            <w:webHidden/>
          </w:rPr>
        </w:r>
        <w:r>
          <w:rPr>
            <w:noProof/>
            <w:webHidden/>
          </w:rPr>
          <w:fldChar w:fldCharType="separate"/>
        </w:r>
        <w:r w:rsidR="00616608">
          <w:rPr>
            <w:noProof/>
            <w:webHidden/>
          </w:rPr>
          <w:t>53</w:t>
        </w:r>
        <w:r>
          <w:rPr>
            <w:noProof/>
            <w:webHidden/>
          </w:rPr>
          <w:fldChar w:fldCharType="end"/>
        </w:r>
      </w:hyperlink>
    </w:p>
    <w:p w14:paraId="017140C0" w14:textId="2CB1A80A"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19" w:history="1">
        <w:r w:rsidRPr="00592990">
          <w:rPr>
            <w:rStyle w:val="Hyperlink"/>
          </w:rPr>
          <w:t>UPR-26.1</w:t>
        </w:r>
        <w:r w:rsidRPr="00592990">
          <w:rPr>
            <w:rStyle w:val="Hyperlink"/>
          </w:rPr>
          <w:tab/>
          <w:t>V</w:t>
        </w:r>
        <w:r w:rsidRPr="00592990">
          <w:rPr>
            <w:rStyle w:val="Hyperlink"/>
          </w:rPr>
          <w:tab/>
          <w:t>Uniform Unit Pricing Regulation: Multiple Sections</w:t>
        </w:r>
        <w:r>
          <w:rPr>
            <w:noProof/>
            <w:webHidden/>
          </w:rPr>
          <w:tab/>
        </w:r>
        <w:r>
          <w:rPr>
            <w:noProof/>
            <w:webHidden/>
          </w:rPr>
          <w:fldChar w:fldCharType="begin"/>
        </w:r>
        <w:r>
          <w:rPr>
            <w:noProof/>
            <w:webHidden/>
          </w:rPr>
          <w:instrText xml:space="preserve"> PAGEREF _Toc224019619 \h </w:instrText>
        </w:r>
        <w:r>
          <w:rPr>
            <w:noProof/>
            <w:webHidden/>
          </w:rPr>
        </w:r>
        <w:r>
          <w:rPr>
            <w:noProof/>
            <w:webHidden/>
          </w:rPr>
          <w:fldChar w:fldCharType="separate"/>
        </w:r>
        <w:r w:rsidR="00616608">
          <w:rPr>
            <w:noProof/>
            <w:webHidden/>
          </w:rPr>
          <w:t>53</w:t>
        </w:r>
        <w:r>
          <w:rPr>
            <w:noProof/>
            <w:webHidden/>
          </w:rPr>
          <w:fldChar w:fldCharType="end"/>
        </w:r>
      </w:hyperlink>
    </w:p>
    <w:p w14:paraId="70CDB926" w14:textId="67C0DF04" w:rsidR="005412A3" w:rsidRDefault="005412A3">
      <w:pPr>
        <w:pStyle w:val="TOC1"/>
        <w:rPr>
          <w:rFonts w:asciiTheme="minorHAnsi" w:eastAsiaTheme="minorEastAsia" w:hAnsiTheme="minorHAnsi" w:cstheme="minorBidi"/>
          <w:b w:val="0"/>
          <w:caps w:val="0"/>
          <w:noProof/>
          <w:color w:val="auto"/>
          <w:kern w:val="2"/>
          <w:sz w:val="24"/>
          <w:szCs w:val="24"/>
          <w:lang w:eastAsia="en-US"/>
          <w14:ligatures w14:val="standardContextual"/>
        </w:rPr>
      </w:pPr>
      <w:hyperlink w:anchor="_Toc224019620" w:history="1">
        <w:r w:rsidRPr="00592990">
          <w:rPr>
            <w:rStyle w:val="Hyperlink"/>
          </w:rPr>
          <w:t>FLR – Uniform Fuels and Automotive Lubricants Regulation</w:t>
        </w:r>
        <w:r>
          <w:rPr>
            <w:noProof/>
            <w:webHidden/>
          </w:rPr>
          <w:tab/>
        </w:r>
        <w:r>
          <w:rPr>
            <w:noProof/>
            <w:webHidden/>
          </w:rPr>
          <w:fldChar w:fldCharType="begin"/>
        </w:r>
        <w:r>
          <w:rPr>
            <w:noProof/>
            <w:webHidden/>
          </w:rPr>
          <w:instrText xml:space="preserve"> PAGEREF _Toc224019620 \h </w:instrText>
        </w:r>
        <w:r>
          <w:rPr>
            <w:noProof/>
            <w:webHidden/>
          </w:rPr>
        </w:r>
        <w:r>
          <w:rPr>
            <w:noProof/>
            <w:webHidden/>
          </w:rPr>
          <w:fldChar w:fldCharType="separate"/>
        </w:r>
        <w:r w:rsidR="00616608">
          <w:rPr>
            <w:noProof/>
            <w:webHidden/>
          </w:rPr>
          <w:t>60</w:t>
        </w:r>
        <w:r>
          <w:rPr>
            <w:noProof/>
            <w:webHidden/>
          </w:rPr>
          <w:fldChar w:fldCharType="end"/>
        </w:r>
      </w:hyperlink>
    </w:p>
    <w:p w14:paraId="1F44D7E0" w14:textId="709EAF0B"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21" w:history="1">
        <w:r w:rsidRPr="00592990">
          <w:rPr>
            <w:rStyle w:val="Hyperlink"/>
          </w:rPr>
          <w:t>FLR-26.1</w:t>
        </w:r>
        <w:r w:rsidRPr="00592990">
          <w:rPr>
            <w:rStyle w:val="Hyperlink"/>
          </w:rPr>
          <w:tab/>
          <w:t>A</w:t>
        </w:r>
        <w:r w:rsidRPr="00592990">
          <w:rPr>
            <w:rStyle w:val="Hyperlink"/>
          </w:rPr>
          <w:tab/>
          <w:t>7.2. Reproducibility Limits</w:t>
        </w:r>
        <w:r>
          <w:rPr>
            <w:noProof/>
            <w:webHidden/>
          </w:rPr>
          <w:tab/>
        </w:r>
        <w:r>
          <w:rPr>
            <w:noProof/>
            <w:webHidden/>
          </w:rPr>
          <w:fldChar w:fldCharType="begin"/>
        </w:r>
        <w:r>
          <w:rPr>
            <w:noProof/>
            <w:webHidden/>
          </w:rPr>
          <w:instrText xml:space="preserve"> PAGEREF _Toc224019621 \h </w:instrText>
        </w:r>
        <w:r>
          <w:rPr>
            <w:noProof/>
            <w:webHidden/>
          </w:rPr>
        </w:r>
        <w:r>
          <w:rPr>
            <w:noProof/>
            <w:webHidden/>
          </w:rPr>
          <w:fldChar w:fldCharType="separate"/>
        </w:r>
        <w:r w:rsidR="00616608">
          <w:rPr>
            <w:noProof/>
            <w:webHidden/>
          </w:rPr>
          <w:t>60</w:t>
        </w:r>
        <w:r>
          <w:rPr>
            <w:noProof/>
            <w:webHidden/>
          </w:rPr>
          <w:fldChar w:fldCharType="end"/>
        </w:r>
      </w:hyperlink>
    </w:p>
    <w:p w14:paraId="2F1A6F23" w14:textId="294491C1" w:rsidR="005412A3" w:rsidRDefault="005412A3">
      <w:pPr>
        <w:pStyle w:val="TOC1"/>
        <w:rPr>
          <w:rFonts w:asciiTheme="minorHAnsi" w:eastAsiaTheme="minorEastAsia" w:hAnsiTheme="minorHAnsi" w:cstheme="minorBidi"/>
          <w:b w:val="0"/>
          <w:caps w:val="0"/>
          <w:noProof/>
          <w:color w:val="auto"/>
          <w:kern w:val="2"/>
          <w:sz w:val="24"/>
          <w:szCs w:val="24"/>
          <w:lang w:eastAsia="en-US"/>
          <w14:ligatures w14:val="standardContextual"/>
        </w:rPr>
      </w:pPr>
      <w:hyperlink w:anchor="_Toc224019622" w:history="1">
        <w:r w:rsidRPr="00592990">
          <w:rPr>
            <w:rStyle w:val="Hyperlink"/>
          </w:rPr>
          <w:t>ecm – uniform e-commerce regulation</w:t>
        </w:r>
        <w:r>
          <w:rPr>
            <w:noProof/>
            <w:webHidden/>
          </w:rPr>
          <w:tab/>
        </w:r>
        <w:r>
          <w:rPr>
            <w:noProof/>
            <w:webHidden/>
          </w:rPr>
          <w:fldChar w:fldCharType="begin"/>
        </w:r>
        <w:r>
          <w:rPr>
            <w:noProof/>
            <w:webHidden/>
          </w:rPr>
          <w:instrText xml:space="preserve"> PAGEREF _Toc224019622 \h </w:instrText>
        </w:r>
        <w:r>
          <w:rPr>
            <w:noProof/>
            <w:webHidden/>
          </w:rPr>
        </w:r>
        <w:r>
          <w:rPr>
            <w:noProof/>
            <w:webHidden/>
          </w:rPr>
          <w:fldChar w:fldCharType="separate"/>
        </w:r>
        <w:r w:rsidR="00616608">
          <w:rPr>
            <w:noProof/>
            <w:webHidden/>
          </w:rPr>
          <w:t>65</w:t>
        </w:r>
        <w:r>
          <w:rPr>
            <w:noProof/>
            <w:webHidden/>
          </w:rPr>
          <w:fldChar w:fldCharType="end"/>
        </w:r>
      </w:hyperlink>
    </w:p>
    <w:p w14:paraId="2426657D" w14:textId="5285EF6F"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23" w:history="1">
        <w:r w:rsidRPr="00592990">
          <w:rPr>
            <w:rStyle w:val="Hyperlink"/>
          </w:rPr>
          <w:t>ECM-26.1</w:t>
        </w:r>
        <w:r w:rsidRPr="00592990">
          <w:rPr>
            <w:rStyle w:val="Hyperlink"/>
          </w:rPr>
          <w:tab/>
          <w:t>V</w:t>
        </w:r>
        <w:r w:rsidRPr="00592990">
          <w:rPr>
            <w:rStyle w:val="Hyperlink"/>
          </w:rPr>
          <w:tab/>
          <w:t>Section 2. Definitions, Section 3. Required Declarations for E-commerce Sites Offering Products for Sale, Section 5. Unit Pricing Requirements on E-Commerce Sites for Products Offered for Sale, Section 10. Prominence and Placement of Required Information on E-commerce Sites: Offering E-commerce Products for Sale</w:t>
        </w:r>
        <w:r>
          <w:rPr>
            <w:noProof/>
            <w:webHidden/>
          </w:rPr>
          <w:tab/>
        </w:r>
        <w:r>
          <w:rPr>
            <w:noProof/>
            <w:webHidden/>
          </w:rPr>
          <w:fldChar w:fldCharType="begin"/>
        </w:r>
        <w:r>
          <w:rPr>
            <w:noProof/>
            <w:webHidden/>
          </w:rPr>
          <w:instrText xml:space="preserve"> PAGEREF _Toc224019623 \h </w:instrText>
        </w:r>
        <w:r>
          <w:rPr>
            <w:noProof/>
            <w:webHidden/>
          </w:rPr>
        </w:r>
        <w:r>
          <w:rPr>
            <w:noProof/>
            <w:webHidden/>
          </w:rPr>
          <w:fldChar w:fldCharType="separate"/>
        </w:r>
        <w:r w:rsidR="00616608">
          <w:rPr>
            <w:noProof/>
            <w:webHidden/>
          </w:rPr>
          <w:t>65</w:t>
        </w:r>
        <w:r>
          <w:rPr>
            <w:noProof/>
            <w:webHidden/>
          </w:rPr>
          <w:fldChar w:fldCharType="end"/>
        </w:r>
      </w:hyperlink>
    </w:p>
    <w:p w14:paraId="701022BB" w14:textId="1275AA5F" w:rsidR="005412A3" w:rsidRDefault="005412A3">
      <w:pPr>
        <w:pStyle w:val="TOC1"/>
        <w:rPr>
          <w:rFonts w:asciiTheme="minorHAnsi" w:eastAsiaTheme="minorEastAsia" w:hAnsiTheme="minorHAnsi" w:cstheme="minorBidi"/>
          <w:b w:val="0"/>
          <w:caps w:val="0"/>
          <w:noProof/>
          <w:color w:val="auto"/>
          <w:kern w:val="2"/>
          <w:sz w:val="24"/>
          <w:szCs w:val="24"/>
          <w:lang w:eastAsia="en-US"/>
          <w14:ligatures w14:val="standardContextual"/>
        </w:rPr>
      </w:pPr>
      <w:hyperlink w:anchor="_Toc224019624" w:history="1">
        <w:r w:rsidRPr="00592990">
          <w:rPr>
            <w:rStyle w:val="Hyperlink"/>
          </w:rPr>
          <w:t>OTH – OTHER ITEMS</w:t>
        </w:r>
        <w:r>
          <w:rPr>
            <w:noProof/>
            <w:webHidden/>
          </w:rPr>
          <w:tab/>
        </w:r>
        <w:r>
          <w:rPr>
            <w:noProof/>
            <w:webHidden/>
          </w:rPr>
          <w:fldChar w:fldCharType="begin"/>
        </w:r>
        <w:r>
          <w:rPr>
            <w:noProof/>
            <w:webHidden/>
          </w:rPr>
          <w:instrText xml:space="preserve"> PAGEREF _Toc224019624 \h </w:instrText>
        </w:r>
        <w:r>
          <w:rPr>
            <w:noProof/>
            <w:webHidden/>
          </w:rPr>
        </w:r>
        <w:r>
          <w:rPr>
            <w:noProof/>
            <w:webHidden/>
          </w:rPr>
          <w:fldChar w:fldCharType="separate"/>
        </w:r>
        <w:r w:rsidR="00616608">
          <w:rPr>
            <w:noProof/>
            <w:webHidden/>
          </w:rPr>
          <w:t>70</w:t>
        </w:r>
        <w:r>
          <w:rPr>
            <w:noProof/>
            <w:webHidden/>
          </w:rPr>
          <w:fldChar w:fldCharType="end"/>
        </w:r>
      </w:hyperlink>
    </w:p>
    <w:p w14:paraId="36115439" w14:textId="7C8DC073"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25" w:history="1">
        <w:r w:rsidRPr="00592990">
          <w:rPr>
            <w:rStyle w:val="Hyperlink"/>
          </w:rPr>
          <w:t>OTH-24.1</w:t>
        </w:r>
        <w:r w:rsidRPr="00592990">
          <w:rPr>
            <w:rStyle w:val="Hyperlink"/>
          </w:rPr>
          <w:tab/>
          <w:t>A</w:t>
        </w:r>
        <w:r w:rsidRPr="00592990">
          <w:rPr>
            <w:rStyle w:val="Hyperlink"/>
          </w:rPr>
          <w:tab/>
          <w:t>X. Uniform Shipment Law</w:t>
        </w:r>
        <w:r>
          <w:rPr>
            <w:noProof/>
            <w:webHidden/>
          </w:rPr>
          <w:tab/>
        </w:r>
        <w:r>
          <w:rPr>
            <w:noProof/>
            <w:webHidden/>
          </w:rPr>
          <w:fldChar w:fldCharType="begin"/>
        </w:r>
        <w:r>
          <w:rPr>
            <w:noProof/>
            <w:webHidden/>
          </w:rPr>
          <w:instrText xml:space="preserve"> PAGEREF _Toc224019625 \h </w:instrText>
        </w:r>
        <w:r>
          <w:rPr>
            <w:noProof/>
            <w:webHidden/>
          </w:rPr>
        </w:r>
        <w:r>
          <w:rPr>
            <w:noProof/>
            <w:webHidden/>
          </w:rPr>
          <w:fldChar w:fldCharType="separate"/>
        </w:r>
        <w:r w:rsidR="00616608">
          <w:rPr>
            <w:noProof/>
            <w:webHidden/>
          </w:rPr>
          <w:t>70</w:t>
        </w:r>
        <w:r>
          <w:rPr>
            <w:noProof/>
            <w:webHidden/>
          </w:rPr>
          <w:fldChar w:fldCharType="end"/>
        </w:r>
      </w:hyperlink>
    </w:p>
    <w:p w14:paraId="51D8E4F3" w14:textId="14A02CAD"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26" w:history="1">
        <w:r w:rsidRPr="00592990">
          <w:rPr>
            <w:rStyle w:val="Hyperlink"/>
          </w:rPr>
          <w:t>OTH-07.1</w:t>
        </w:r>
        <w:r w:rsidRPr="00592990">
          <w:rPr>
            <w:rStyle w:val="Hyperlink"/>
          </w:rPr>
          <w:tab/>
          <w:t>D</w:t>
        </w:r>
        <w:r w:rsidRPr="00592990">
          <w:rPr>
            <w:rStyle w:val="Hyperlink"/>
          </w:rPr>
          <w:tab/>
          <w:t>Fuels and Lubricants Subcommittee</w:t>
        </w:r>
        <w:r>
          <w:rPr>
            <w:noProof/>
            <w:webHidden/>
          </w:rPr>
          <w:tab/>
        </w:r>
        <w:r>
          <w:rPr>
            <w:noProof/>
            <w:webHidden/>
          </w:rPr>
          <w:fldChar w:fldCharType="begin"/>
        </w:r>
        <w:r>
          <w:rPr>
            <w:noProof/>
            <w:webHidden/>
          </w:rPr>
          <w:instrText xml:space="preserve"> PAGEREF _Toc224019626 \h </w:instrText>
        </w:r>
        <w:r>
          <w:rPr>
            <w:noProof/>
            <w:webHidden/>
          </w:rPr>
        </w:r>
        <w:r>
          <w:rPr>
            <w:noProof/>
            <w:webHidden/>
          </w:rPr>
          <w:fldChar w:fldCharType="separate"/>
        </w:r>
        <w:r w:rsidR="00616608">
          <w:rPr>
            <w:noProof/>
            <w:webHidden/>
          </w:rPr>
          <w:t>77</w:t>
        </w:r>
        <w:r>
          <w:rPr>
            <w:noProof/>
            <w:webHidden/>
          </w:rPr>
          <w:fldChar w:fldCharType="end"/>
        </w:r>
      </w:hyperlink>
    </w:p>
    <w:p w14:paraId="08D41ABE" w14:textId="4A9BE70C"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27" w:history="1">
        <w:r w:rsidRPr="00592990">
          <w:rPr>
            <w:rStyle w:val="Hyperlink"/>
          </w:rPr>
          <w:t>OTH-11.1</w:t>
        </w:r>
        <w:r w:rsidRPr="00592990">
          <w:rPr>
            <w:rStyle w:val="Hyperlink"/>
          </w:rPr>
          <w:tab/>
          <w:t>D</w:t>
        </w:r>
        <w:r w:rsidRPr="00592990">
          <w:rPr>
            <w:rStyle w:val="Hyperlink"/>
          </w:rPr>
          <w:tab/>
          <w:t>Packaging and Labeling Subcommittee</w:t>
        </w:r>
        <w:r>
          <w:rPr>
            <w:noProof/>
            <w:webHidden/>
          </w:rPr>
          <w:tab/>
        </w:r>
        <w:r>
          <w:rPr>
            <w:noProof/>
            <w:webHidden/>
          </w:rPr>
          <w:fldChar w:fldCharType="begin"/>
        </w:r>
        <w:r>
          <w:rPr>
            <w:noProof/>
            <w:webHidden/>
          </w:rPr>
          <w:instrText xml:space="preserve"> PAGEREF _Toc224019627 \h </w:instrText>
        </w:r>
        <w:r>
          <w:rPr>
            <w:noProof/>
            <w:webHidden/>
          </w:rPr>
        </w:r>
        <w:r>
          <w:rPr>
            <w:noProof/>
            <w:webHidden/>
          </w:rPr>
          <w:fldChar w:fldCharType="separate"/>
        </w:r>
        <w:r w:rsidR="00616608">
          <w:rPr>
            <w:noProof/>
            <w:webHidden/>
          </w:rPr>
          <w:t>79</w:t>
        </w:r>
        <w:r>
          <w:rPr>
            <w:noProof/>
            <w:webHidden/>
          </w:rPr>
          <w:fldChar w:fldCharType="end"/>
        </w:r>
      </w:hyperlink>
    </w:p>
    <w:p w14:paraId="4C12A40B" w14:textId="41A1D222" w:rsidR="005412A3" w:rsidRDefault="005412A3">
      <w:pPr>
        <w:pStyle w:val="TOC1"/>
        <w:rPr>
          <w:rFonts w:asciiTheme="minorHAnsi" w:eastAsiaTheme="minorEastAsia" w:hAnsiTheme="minorHAnsi" w:cstheme="minorBidi"/>
          <w:b w:val="0"/>
          <w:caps w:val="0"/>
          <w:noProof/>
          <w:color w:val="auto"/>
          <w:kern w:val="2"/>
          <w:sz w:val="24"/>
          <w:szCs w:val="24"/>
          <w:lang w:eastAsia="en-US"/>
          <w14:ligatures w14:val="standardContextual"/>
        </w:rPr>
      </w:pPr>
      <w:hyperlink w:anchor="_Toc224019628" w:history="1">
        <w:r w:rsidRPr="00592990">
          <w:rPr>
            <w:rStyle w:val="Hyperlink"/>
          </w:rPr>
          <w:t>NET – Handbook 133</w:t>
        </w:r>
        <w:r>
          <w:rPr>
            <w:noProof/>
            <w:webHidden/>
          </w:rPr>
          <w:tab/>
        </w:r>
        <w:r>
          <w:rPr>
            <w:noProof/>
            <w:webHidden/>
          </w:rPr>
          <w:fldChar w:fldCharType="begin"/>
        </w:r>
        <w:r>
          <w:rPr>
            <w:noProof/>
            <w:webHidden/>
          </w:rPr>
          <w:instrText xml:space="preserve"> PAGEREF _Toc224019628 \h </w:instrText>
        </w:r>
        <w:r>
          <w:rPr>
            <w:noProof/>
            <w:webHidden/>
          </w:rPr>
        </w:r>
        <w:r>
          <w:rPr>
            <w:noProof/>
            <w:webHidden/>
          </w:rPr>
          <w:fldChar w:fldCharType="separate"/>
        </w:r>
        <w:r w:rsidR="00616608">
          <w:rPr>
            <w:noProof/>
            <w:webHidden/>
          </w:rPr>
          <w:t>80</w:t>
        </w:r>
        <w:r>
          <w:rPr>
            <w:noProof/>
            <w:webHidden/>
          </w:rPr>
          <w:fldChar w:fldCharType="end"/>
        </w:r>
      </w:hyperlink>
    </w:p>
    <w:p w14:paraId="022C1C9B" w14:textId="1C4D6F28"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29" w:history="1">
        <w:r w:rsidRPr="00592990">
          <w:rPr>
            <w:rStyle w:val="Hyperlink"/>
          </w:rPr>
          <w:t>NET-26.1</w:t>
        </w:r>
        <w:r w:rsidRPr="00592990">
          <w:rPr>
            <w:rStyle w:val="Hyperlink"/>
          </w:rPr>
          <w:tab/>
          <w:t>W</w:t>
        </w:r>
        <w:r w:rsidRPr="00592990">
          <w:rPr>
            <w:rStyle w:val="Hyperlink"/>
          </w:rPr>
          <w:tab/>
          <w:t>Table 2-3. Moisture Allowances</w:t>
        </w:r>
        <w:r>
          <w:rPr>
            <w:noProof/>
            <w:webHidden/>
          </w:rPr>
          <w:tab/>
        </w:r>
        <w:r>
          <w:rPr>
            <w:noProof/>
            <w:webHidden/>
          </w:rPr>
          <w:fldChar w:fldCharType="begin"/>
        </w:r>
        <w:r>
          <w:rPr>
            <w:noProof/>
            <w:webHidden/>
          </w:rPr>
          <w:instrText xml:space="preserve"> PAGEREF _Toc224019629 \h </w:instrText>
        </w:r>
        <w:r>
          <w:rPr>
            <w:noProof/>
            <w:webHidden/>
          </w:rPr>
        </w:r>
        <w:r>
          <w:rPr>
            <w:noProof/>
            <w:webHidden/>
          </w:rPr>
          <w:fldChar w:fldCharType="separate"/>
        </w:r>
        <w:r w:rsidR="00616608">
          <w:rPr>
            <w:noProof/>
            <w:webHidden/>
          </w:rPr>
          <w:t>80</w:t>
        </w:r>
        <w:r>
          <w:rPr>
            <w:noProof/>
            <w:webHidden/>
          </w:rPr>
          <w:fldChar w:fldCharType="end"/>
        </w:r>
      </w:hyperlink>
    </w:p>
    <w:p w14:paraId="71521B48" w14:textId="68205B17" w:rsidR="005412A3" w:rsidRDefault="005412A3">
      <w:pPr>
        <w:pStyle w:val="TOC1"/>
        <w:rPr>
          <w:rFonts w:asciiTheme="minorHAnsi" w:eastAsiaTheme="minorEastAsia" w:hAnsiTheme="minorHAnsi" w:cstheme="minorBidi"/>
          <w:b w:val="0"/>
          <w:caps w:val="0"/>
          <w:noProof/>
          <w:color w:val="auto"/>
          <w:kern w:val="2"/>
          <w:sz w:val="24"/>
          <w:szCs w:val="24"/>
          <w:lang w:eastAsia="en-US"/>
          <w14:ligatures w14:val="standardContextual"/>
        </w:rPr>
      </w:pPr>
      <w:hyperlink w:anchor="_Toc224019630" w:history="1">
        <w:r w:rsidRPr="00592990">
          <w:rPr>
            <w:rStyle w:val="Hyperlink"/>
          </w:rPr>
          <w:t xml:space="preserve">ITEM Block 4 (B4) </w:t>
        </w:r>
        <w:r w:rsidRPr="00592990">
          <w:rPr>
            <w:rStyle w:val="Hyperlink"/>
          </w:rPr>
          <w:tab/>
          <w:t>MOISTURE ALLOWANCE CONSIDERATION</w:t>
        </w:r>
        <w:r>
          <w:rPr>
            <w:noProof/>
            <w:webHidden/>
          </w:rPr>
          <w:tab/>
        </w:r>
        <w:r>
          <w:rPr>
            <w:noProof/>
            <w:webHidden/>
          </w:rPr>
          <w:fldChar w:fldCharType="begin"/>
        </w:r>
        <w:r>
          <w:rPr>
            <w:noProof/>
            <w:webHidden/>
          </w:rPr>
          <w:instrText xml:space="preserve"> PAGEREF _Toc224019630 \h </w:instrText>
        </w:r>
        <w:r>
          <w:rPr>
            <w:noProof/>
            <w:webHidden/>
          </w:rPr>
        </w:r>
        <w:r>
          <w:rPr>
            <w:noProof/>
            <w:webHidden/>
          </w:rPr>
          <w:fldChar w:fldCharType="separate"/>
        </w:r>
        <w:r w:rsidR="00616608">
          <w:rPr>
            <w:noProof/>
            <w:webHidden/>
          </w:rPr>
          <w:t>84</w:t>
        </w:r>
        <w:r>
          <w:rPr>
            <w:noProof/>
            <w:webHidden/>
          </w:rPr>
          <w:fldChar w:fldCharType="end"/>
        </w:r>
      </w:hyperlink>
    </w:p>
    <w:p w14:paraId="75ED831B" w14:textId="5278CD2E" w:rsidR="005412A3" w:rsidRDefault="005412A3">
      <w:pPr>
        <w:pStyle w:val="TOC2"/>
        <w:rPr>
          <w:rFonts w:asciiTheme="minorHAnsi" w:eastAsiaTheme="minorEastAsia" w:hAnsiTheme="minorHAnsi" w:cstheme="minorBidi"/>
          <w:noProof/>
          <w:color w:val="auto"/>
          <w:kern w:val="2"/>
          <w:sz w:val="24"/>
          <w:szCs w:val="24"/>
          <w:lang w:eastAsia="en-US"/>
          <w14:ligatures w14:val="standardContextual"/>
        </w:rPr>
      </w:pPr>
      <w:hyperlink w:anchor="_Toc224019631" w:history="1">
        <w:r w:rsidRPr="00592990">
          <w:rPr>
            <w:rStyle w:val="Hyperlink"/>
          </w:rPr>
          <w:t>B4: POL-25.1</w:t>
        </w:r>
        <w:r w:rsidRPr="00592990">
          <w:rPr>
            <w:rStyle w:val="Hyperlink"/>
          </w:rPr>
          <w:tab/>
          <w:t>A</w:t>
        </w:r>
        <w:r w:rsidRPr="00592990">
          <w:rPr>
            <w:rStyle w:val="Hyperlink"/>
          </w:rPr>
          <w:tab/>
          <w:t>2.6.12. Point-of-Pack Inspection Guidelines.</w:t>
        </w:r>
        <w:r>
          <w:rPr>
            <w:noProof/>
            <w:webHidden/>
          </w:rPr>
          <w:tab/>
        </w:r>
        <w:r>
          <w:rPr>
            <w:noProof/>
            <w:webHidden/>
          </w:rPr>
          <w:fldChar w:fldCharType="begin"/>
        </w:r>
        <w:r>
          <w:rPr>
            <w:noProof/>
            <w:webHidden/>
          </w:rPr>
          <w:instrText xml:space="preserve"> PAGEREF _Toc224019631 \h </w:instrText>
        </w:r>
        <w:r>
          <w:rPr>
            <w:noProof/>
            <w:webHidden/>
          </w:rPr>
        </w:r>
        <w:r>
          <w:rPr>
            <w:noProof/>
            <w:webHidden/>
          </w:rPr>
          <w:fldChar w:fldCharType="separate"/>
        </w:r>
        <w:r w:rsidR="00616608">
          <w:rPr>
            <w:noProof/>
            <w:webHidden/>
          </w:rPr>
          <w:t>85</w:t>
        </w:r>
        <w:r>
          <w:rPr>
            <w:noProof/>
            <w:webHidden/>
          </w:rPr>
          <w:fldChar w:fldCharType="end"/>
        </w:r>
      </w:hyperlink>
    </w:p>
    <w:p w14:paraId="33CB8D95" w14:textId="10282978" w:rsidR="005412A3" w:rsidRDefault="005412A3">
      <w:pPr>
        <w:pStyle w:val="TOC2"/>
        <w:rPr>
          <w:noProof/>
        </w:rPr>
      </w:pPr>
      <w:hyperlink w:anchor="_Toc224019632" w:history="1">
        <w:r w:rsidRPr="00592990">
          <w:rPr>
            <w:rStyle w:val="Hyperlink"/>
          </w:rPr>
          <w:t>B4: NET-25.1</w:t>
        </w:r>
        <w:r w:rsidRPr="00592990">
          <w:rPr>
            <w:rStyle w:val="Hyperlink"/>
          </w:rPr>
          <w:tab/>
          <w:t>A</w:t>
        </w:r>
        <w:r w:rsidRPr="00592990">
          <w:rPr>
            <w:rStyle w:val="Hyperlink"/>
          </w:rPr>
          <w:tab/>
          <w:t>1.2.6.1. Applying a Moisture Allowance Consideration, 2.3.8. Moisture Allowance</w:t>
        </w:r>
        <w:r w:rsidRPr="00592990">
          <w:rPr>
            <w:rStyle w:val="Hyperlink"/>
            <w:strike/>
          </w:rPr>
          <w:t>s</w:t>
        </w:r>
        <w:r w:rsidRPr="00592990">
          <w:rPr>
            <w:rStyle w:val="Hyperlink"/>
          </w:rPr>
          <w:t xml:space="preserve"> Considerations, </w:t>
        </w:r>
        <w:r w:rsidRPr="00592990">
          <w:rPr>
            <w:rStyle w:val="Hyperlink"/>
            <w:strike/>
          </w:rPr>
          <w:t>4.10.2.2. Moisture Shrinkage Allowance Consideration for Structural Plywood and Wood-based Structural Panels,</w:t>
        </w:r>
        <w:r w:rsidRPr="00592990">
          <w:rPr>
            <w:rStyle w:val="Hyperlink"/>
          </w:rPr>
          <w:t xml:space="preserve"> </w:t>
        </w:r>
        <w:r w:rsidRPr="00592990">
          <w:rPr>
            <w:rStyle w:val="Hyperlink"/>
            <w:strike/>
          </w:rPr>
          <w:t>4.11.2.1.</w:t>
        </w:r>
        <w:r w:rsidRPr="00592990">
          <w:rPr>
            <w:rStyle w:val="Hyperlink"/>
          </w:rPr>
          <w:t xml:space="preserve"> </w:t>
        </w:r>
        <w:r w:rsidRPr="00592990">
          <w:rPr>
            <w:rStyle w:val="Hyperlink"/>
            <w:strike/>
          </w:rPr>
          <w:t>Shrinking Allowance Consideration</w:t>
        </w:r>
        <w:r>
          <w:rPr>
            <w:noProof/>
            <w:webHidden/>
          </w:rPr>
          <w:tab/>
        </w:r>
        <w:r>
          <w:rPr>
            <w:noProof/>
            <w:webHidden/>
          </w:rPr>
          <w:fldChar w:fldCharType="begin"/>
        </w:r>
        <w:r>
          <w:rPr>
            <w:noProof/>
            <w:webHidden/>
          </w:rPr>
          <w:instrText xml:space="preserve"> PAGEREF _Toc224019632 \h </w:instrText>
        </w:r>
        <w:r>
          <w:rPr>
            <w:noProof/>
            <w:webHidden/>
          </w:rPr>
        </w:r>
        <w:r>
          <w:rPr>
            <w:noProof/>
            <w:webHidden/>
          </w:rPr>
          <w:fldChar w:fldCharType="separate"/>
        </w:r>
        <w:r w:rsidR="00616608">
          <w:rPr>
            <w:noProof/>
            <w:webHidden/>
          </w:rPr>
          <w:t>86</w:t>
        </w:r>
        <w:r>
          <w:rPr>
            <w:noProof/>
            <w:webHidden/>
          </w:rPr>
          <w:fldChar w:fldCharType="end"/>
        </w:r>
      </w:hyperlink>
    </w:p>
    <w:p w14:paraId="2C784D77" w14:textId="0A330C2C" w:rsidR="007D489A" w:rsidRDefault="007D489A" w:rsidP="007D489A">
      <w:pPr>
        <w:suppressLineNumbers/>
        <w:spacing w:after="0"/>
        <w:rPr>
          <w:b/>
          <w:bCs/>
          <w:noProof/>
          <w:lang w:eastAsia="ja-JP"/>
        </w:rPr>
      </w:pPr>
      <w:r>
        <w:rPr>
          <w:b/>
          <w:bCs/>
          <w:noProof/>
          <w:lang w:eastAsia="ja-JP"/>
        </w:rPr>
        <w:t>APPENDICES</w:t>
      </w:r>
    </w:p>
    <w:p w14:paraId="1A55C9E2" w14:textId="6F94CCDD" w:rsidR="007D489A" w:rsidRPr="00DC56BD" w:rsidRDefault="007D489A" w:rsidP="007D489A">
      <w:pPr>
        <w:keepNext/>
        <w:suppressLineNumbers/>
        <w:tabs>
          <w:tab w:val="left" w:pos="400"/>
          <w:tab w:val="right" w:leader="dot" w:pos="9360"/>
          <w:tab w:val="right" w:leader="dot" w:pos="9720"/>
        </w:tabs>
        <w:suppressAutoHyphens/>
        <w:spacing w:after="0" w:line="228" w:lineRule="auto"/>
        <w:ind w:left="360" w:right="360" w:hanging="360"/>
        <w:rPr>
          <w:noProof/>
        </w:rPr>
      </w:pPr>
      <w:r w:rsidRPr="00513463">
        <w:rPr>
          <w:noProof/>
        </w:rPr>
        <w:t>A</w:t>
      </w:r>
      <w:r w:rsidRPr="00513463">
        <w:rPr>
          <w:noProof/>
        </w:rPr>
        <w:tab/>
      </w:r>
      <w:hyperlink w:anchor="AppendixA" w:history="1">
        <w:r w:rsidR="009170BE">
          <w:rPr>
            <w:rStyle w:val="Hyperlink"/>
          </w:rPr>
          <w:t>OTH-11.1 Quantity-Related Expressions on a Principal Display Panel</w:t>
        </w:r>
        <w:r w:rsidRPr="00671778">
          <w:rPr>
            <w:rStyle w:val="Hyperlink"/>
          </w:rPr>
          <w:tab/>
          <w:t>A</w:t>
        </w:r>
        <w:r w:rsidR="00CF704C" w:rsidRPr="00671778">
          <w:rPr>
            <w:rStyle w:val="Hyperlink"/>
          </w:rPr>
          <w:t>97</w:t>
        </w:r>
      </w:hyperlink>
    </w:p>
    <w:p w14:paraId="1C30E1DE" w14:textId="77777777" w:rsidR="007D489A" w:rsidRPr="007D489A" w:rsidRDefault="007D489A" w:rsidP="007D489A">
      <w:pPr>
        <w:suppressLineNumbers/>
        <w:rPr>
          <w:b/>
          <w:bCs/>
          <w:noProof/>
          <w:lang w:eastAsia="ja-JP"/>
        </w:rPr>
      </w:pPr>
    </w:p>
    <w:p w14:paraId="55EB0820" w14:textId="230360D3" w:rsidR="000D0F2A" w:rsidRPr="000D0F2A" w:rsidRDefault="00214C38" w:rsidP="009C131E">
      <w:pPr>
        <w:pStyle w:val="TOC2"/>
        <w:keepNext/>
        <w:spacing w:after="240"/>
        <w:ind w:left="0" w:firstLine="0"/>
      </w:pPr>
      <w:r w:rsidRPr="00793645">
        <w:lastRenderedPageBreak/>
        <w:fldChar w:fldCharType="end"/>
      </w:r>
    </w:p>
    <w:tbl>
      <w:tblPr>
        <w:tblW w:w="9360" w:type="dxa"/>
        <w:jc w:val="center"/>
        <w:tblBorders>
          <w:top w:val="single" w:sz="4" w:space="0" w:color="auto"/>
          <w:bottom w:val="single" w:sz="4" w:space="0" w:color="auto"/>
        </w:tblBorders>
        <w:tblLook w:val="04A0" w:firstRow="1" w:lastRow="0" w:firstColumn="1" w:lastColumn="0" w:noHBand="0" w:noVBand="1"/>
      </w:tblPr>
      <w:tblGrid>
        <w:gridCol w:w="9360"/>
      </w:tblGrid>
      <w:tr w:rsidR="008D2EE6" w:rsidRPr="00281428" w14:paraId="3B0F1E5C" w14:textId="77777777" w:rsidTr="00604A9C">
        <w:trPr>
          <w:jc w:val="center"/>
        </w:trPr>
        <w:tc>
          <w:tcPr>
            <w:tcW w:w="9360" w:type="dxa"/>
            <w:tcBorders>
              <w:top w:val="single" w:sz="12" w:space="0" w:color="000000"/>
              <w:bottom w:val="single" w:sz="12" w:space="0" w:color="000000"/>
            </w:tcBorders>
          </w:tcPr>
          <w:p w14:paraId="5FAAEB3B" w14:textId="1144EE87" w:rsidR="008D2EE6" w:rsidRPr="00281428" w:rsidRDefault="00644CB3" w:rsidP="00CF4023">
            <w:pPr>
              <w:pStyle w:val="TableHeading"/>
              <w:keepLines w:val="0"/>
              <w:suppressLineNumbers/>
              <w:ind w:left="-220"/>
            </w:pPr>
            <w:r>
              <w:br w:type="page"/>
            </w:r>
            <w:bookmarkStart w:id="7" w:name="_Hlk522695263"/>
            <w:r w:rsidR="008D2EE6" w:rsidRPr="00281428">
              <w:br w:type="page"/>
            </w:r>
            <w:r w:rsidR="008D2EE6" w:rsidRPr="00281428">
              <w:rPr>
                <w:noProof/>
              </w:rPr>
              <w:br w:type="page"/>
            </w:r>
            <w:r w:rsidR="008D2EE6" w:rsidRPr="00281428">
              <w:t xml:space="preserve">Table </w:t>
            </w:r>
            <w:r w:rsidR="005E25F3" w:rsidRPr="00281428">
              <w:t>B</w:t>
            </w:r>
            <w:r w:rsidR="008D2EE6" w:rsidRPr="00281428">
              <w:br/>
              <w:t>Glossary of Acronyms and Terms</w:t>
            </w:r>
          </w:p>
        </w:tc>
      </w:tr>
      <w:bookmarkEnd w:id="7"/>
    </w:tbl>
    <w:p w14:paraId="4E0C86CA" w14:textId="77777777" w:rsidR="008D2EE6" w:rsidRPr="00281428" w:rsidRDefault="008D2EE6" w:rsidP="00CF4023">
      <w:pPr>
        <w:keepNext/>
        <w:suppressLineNumbers/>
        <w:spacing w:after="0"/>
        <w:ind w:left="252"/>
        <w:rPr>
          <w:lang w:eastAsia="ja-JP"/>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croynm chart laws and regulations report"/>
        <w:tblDescription w:val="Acroynm chart laws and regulations report"/>
      </w:tblPr>
      <w:tblGrid>
        <w:gridCol w:w="1219"/>
        <w:gridCol w:w="3258"/>
        <w:gridCol w:w="1583"/>
        <w:gridCol w:w="3305"/>
      </w:tblGrid>
      <w:tr w:rsidR="000813DF" w:rsidRPr="00281428" w14:paraId="051C6CA0" w14:textId="77777777" w:rsidTr="00954271">
        <w:trPr>
          <w:trHeight w:val="260"/>
          <w:jc w:val="center"/>
        </w:trPr>
        <w:tc>
          <w:tcPr>
            <w:tcW w:w="1219" w:type="dxa"/>
            <w:vAlign w:val="center"/>
          </w:tcPr>
          <w:p w14:paraId="1759E03B" w14:textId="77777777" w:rsidR="000813DF" w:rsidRPr="00281428" w:rsidRDefault="000813DF" w:rsidP="00CF4023">
            <w:pPr>
              <w:pStyle w:val="TableColumnHeadings"/>
              <w:keepLines w:val="0"/>
              <w:jc w:val="left"/>
            </w:pPr>
            <w:bookmarkStart w:id="8" w:name="_Hlk31977869"/>
            <w:r w:rsidRPr="00281428">
              <w:t>Acronym</w:t>
            </w:r>
          </w:p>
        </w:tc>
        <w:tc>
          <w:tcPr>
            <w:tcW w:w="3258" w:type="dxa"/>
            <w:vAlign w:val="center"/>
          </w:tcPr>
          <w:p w14:paraId="6DFBF1CD" w14:textId="77777777" w:rsidR="000813DF" w:rsidRPr="00281428" w:rsidRDefault="000813DF" w:rsidP="00CF4023">
            <w:pPr>
              <w:pStyle w:val="TableColumnHeadings"/>
              <w:keepLines w:val="0"/>
              <w:jc w:val="left"/>
            </w:pPr>
            <w:r w:rsidRPr="00281428">
              <w:t>Term</w:t>
            </w:r>
          </w:p>
        </w:tc>
        <w:tc>
          <w:tcPr>
            <w:tcW w:w="1583" w:type="dxa"/>
            <w:vAlign w:val="center"/>
          </w:tcPr>
          <w:p w14:paraId="7578326A" w14:textId="77777777" w:rsidR="000813DF" w:rsidRPr="00281428" w:rsidRDefault="000813DF" w:rsidP="00CF4023">
            <w:pPr>
              <w:pStyle w:val="TableColumnHeadings"/>
              <w:keepLines w:val="0"/>
              <w:jc w:val="left"/>
            </w:pPr>
            <w:r w:rsidRPr="00281428">
              <w:t>Acronym</w:t>
            </w:r>
          </w:p>
        </w:tc>
        <w:tc>
          <w:tcPr>
            <w:tcW w:w="3305" w:type="dxa"/>
            <w:vAlign w:val="center"/>
          </w:tcPr>
          <w:p w14:paraId="1F3310E9" w14:textId="77777777" w:rsidR="000813DF" w:rsidRPr="00281428" w:rsidRDefault="000813DF" w:rsidP="00CF4023">
            <w:pPr>
              <w:pStyle w:val="TableColumnHeadings"/>
              <w:keepLines w:val="0"/>
              <w:jc w:val="left"/>
            </w:pPr>
            <w:r w:rsidRPr="00281428">
              <w:t>Term</w:t>
            </w:r>
          </w:p>
        </w:tc>
      </w:tr>
      <w:tr w:rsidR="00644CB3" w:rsidRPr="00281428" w14:paraId="7731DD3C" w14:textId="77777777" w:rsidTr="00954271">
        <w:trPr>
          <w:trHeight w:val="460"/>
          <w:jc w:val="center"/>
        </w:trPr>
        <w:tc>
          <w:tcPr>
            <w:tcW w:w="1219" w:type="dxa"/>
            <w:vAlign w:val="center"/>
          </w:tcPr>
          <w:p w14:paraId="08791654" w14:textId="40473E35" w:rsidR="00644CB3" w:rsidRPr="00281428" w:rsidRDefault="00644CB3" w:rsidP="00CF4023">
            <w:pPr>
              <w:pStyle w:val="TableText"/>
              <w:keepNext/>
            </w:pPr>
            <w:r w:rsidRPr="00834FE5">
              <w:t>ASTM</w:t>
            </w:r>
          </w:p>
        </w:tc>
        <w:tc>
          <w:tcPr>
            <w:tcW w:w="3258" w:type="dxa"/>
            <w:vAlign w:val="center"/>
          </w:tcPr>
          <w:p w14:paraId="285A39D5" w14:textId="082A56CB" w:rsidR="00644CB3" w:rsidRPr="00281428" w:rsidRDefault="00644CB3" w:rsidP="00CF4023">
            <w:pPr>
              <w:pStyle w:val="TableText"/>
              <w:keepNext/>
            </w:pPr>
            <w:r w:rsidRPr="00834FE5">
              <w:t>ASTM International</w:t>
            </w:r>
          </w:p>
        </w:tc>
        <w:tc>
          <w:tcPr>
            <w:tcW w:w="1583" w:type="dxa"/>
            <w:vAlign w:val="center"/>
          </w:tcPr>
          <w:p w14:paraId="28696564" w14:textId="1B297105" w:rsidR="00644CB3" w:rsidRPr="00281428" w:rsidRDefault="00644CB3" w:rsidP="00CF4023">
            <w:pPr>
              <w:pStyle w:val="TableText"/>
              <w:keepNext/>
            </w:pPr>
            <w:r w:rsidRPr="00281428">
              <w:t>NEWMA</w:t>
            </w:r>
          </w:p>
        </w:tc>
        <w:tc>
          <w:tcPr>
            <w:tcW w:w="3305" w:type="dxa"/>
            <w:vAlign w:val="center"/>
          </w:tcPr>
          <w:p w14:paraId="6E636BF7" w14:textId="1FE19A25" w:rsidR="00644CB3" w:rsidRPr="00281428" w:rsidRDefault="00644CB3" w:rsidP="00CF4023">
            <w:pPr>
              <w:pStyle w:val="TableText"/>
              <w:keepNext/>
            </w:pPr>
            <w:r w:rsidRPr="00281428">
              <w:t>Northeastern Weights and Measures Association</w:t>
            </w:r>
          </w:p>
        </w:tc>
      </w:tr>
      <w:tr w:rsidR="00644CB3" w:rsidRPr="00281428" w14:paraId="09A17194" w14:textId="77777777" w:rsidTr="00954271">
        <w:trPr>
          <w:trHeight w:val="460"/>
          <w:jc w:val="center"/>
        </w:trPr>
        <w:tc>
          <w:tcPr>
            <w:tcW w:w="1219" w:type="dxa"/>
            <w:vAlign w:val="center"/>
          </w:tcPr>
          <w:p w14:paraId="2E7FEF85" w14:textId="5B504D8F" w:rsidR="00644CB3" w:rsidRPr="00281428" w:rsidRDefault="00644CB3" w:rsidP="00CF4023">
            <w:pPr>
              <w:pStyle w:val="TableText"/>
              <w:keepNext/>
            </w:pPr>
            <w:r w:rsidRPr="00834FE5">
              <w:t>API</w:t>
            </w:r>
          </w:p>
        </w:tc>
        <w:tc>
          <w:tcPr>
            <w:tcW w:w="3258" w:type="dxa"/>
            <w:vAlign w:val="center"/>
          </w:tcPr>
          <w:p w14:paraId="7D14A066" w14:textId="32BC6069" w:rsidR="00644CB3" w:rsidRPr="00281428" w:rsidRDefault="00644CB3" w:rsidP="00CF4023">
            <w:pPr>
              <w:pStyle w:val="TableText"/>
              <w:keepNext/>
            </w:pPr>
            <w:r w:rsidRPr="00834FE5">
              <w:t>American Petroleum Institute</w:t>
            </w:r>
          </w:p>
        </w:tc>
        <w:tc>
          <w:tcPr>
            <w:tcW w:w="1583" w:type="dxa"/>
            <w:vAlign w:val="center"/>
          </w:tcPr>
          <w:p w14:paraId="1B5A5627" w14:textId="25735B0B" w:rsidR="00644CB3" w:rsidRPr="00281428" w:rsidRDefault="00644CB3" w:rsidP="00CF4023">
            <w:pPr>
              <w:pStyle w:val="TableText"/>
              <w:keepNext/>
            </w:pPr>
            <w:r w:rsidRPr="00281428">
              <w:t>NIST</w:t>
            </w:r>
          </w:p>
        </w:tc>
        <w:tc>
          <w:tcPr>
            <w:tcW w:w="3305" w:type="dxa"/>
            <w:vAlign w:val="center"/>
          </w:tcPr>
          <w:p w14:paraId="73A7DBA0" w14:textId="07AE773C" w:rsidR="00644CB3" w:rsidRPr="00281428" w:rsidRDefault="00644CB3" w:rsidP="00CF4023">
            <w:pPr>
              <w:pStyle w:val="TableText"/>
              <w:keepNext/>
            </w:pPr>
            <w:r w:rsidRPr="00281428">
              <w:t>National Institute of Standards and Technology</w:t>
            </w:r>
          </w:p>
        </w:tc>
      </w:tr>
      <w:tr w:rsidR="00644CB3" w:rsidRPr="00281428" w14:paraId="7A7A9D2A" w14:textId="77777777" w:rsidTr="00954271">
        <w:trPr>
          <w:trHeight w:val="460"/>
          <w:jc w:val="center"/>
        </w:trPr>
        <w:tc>
          <w:tcPr>
            <w:tcW w:w="1219" w:type="dxa"/>
            <w:vAlign w:val="center"/>
          </w:tcPr>
          <w:p w14:paraId="118EF656" w14:textId="7FCB607A" w:rsidR="00644CB3" w:rsidRPr="00281428" w:rsidRDefault="00644CB3" w:rsidP="00875C70">
            <w:pPr>
              <w:pStyle w:val="TableText"/>
              <w:keepNext/>
              <w:keepLines/>
            </w:pPr>
            <w:r w:rsidRPr="00834FE5">
              <w:t>CFR</w:t>
            </w:r>
          </w:p>
        </w:tc>
        <w:tc>
          <w:tcPr>
            <w:tcW w:w="3258" w:type="dxa"/>
            <w:vAlign w:val="center"/>
          </w:tcPr>
          <w:p w14:paraId="348D043B" w14:textId="34C28530" w:rsidR="00644CB3" w:rsidRPr="00281428" w:rsidRDefault="00644CB3" w:rsidP="00875C70">
            <w:pPr>
              <w:pStyle w:val="TableText"/>
              <w:keepNext/>
              <w:keepLines/>
            </w:pPr>
            <w:r w:rsidRPr="00834FE5">
              <w:t>Code of Federal Regulations</w:t>
            </w:r>
          </w:p>
        </w:tc>
        <w:tc>
          <w:tcPr>
            <w:tcW w:w="1583" w:type="dxa"/>
            <w:vAlign w:val="center"/>
          </w:tcPr>
          <w:p w14:paraId="20E80DBF" w14:textId="3DD4B7E0" w:rsidR="00644CB3" w:rsidRPr="00281428" w:rsidRDefault="00644CB3" w:rsidP="00875C70">
            <w:pPr>
              <w:pStyle w:val="TableText"/>
              <w:keepNext/>
              <w:keepLines/>
            </w:pPr>
            <w:r w:rsidRPr="00281428">
              <w:t>NCWM</w:t>
            </w:r>
          </w:p>
        </w:tc>
        <w:tc>
          <w:tcPr>
            <w:tcW w:w="3305" w:type="dxa"/>
            <w:vAlign w:val="center"/>
          </w:tcPr>
          <w:p w14:paraId="016428B7" w14:textId="4124C59C" w:rsidR="00644CB3" w:rsidRPr="00281428" w:rsidRDefault="00644CB3" w:rsidP="00644CB3">
            <w:pPr>
              <w:pStyle w:val="TableText"/>
              <w:keepNext/>
              <w:keepLines/>
            </w:pPr>
            <w:r w:rsidRPr="00281428">
              <w:t>National Co</w:t>
            </w:r>
            <w:r w:rsidR="008E4AC0">
              <w:t>uncil</w:t>
            </w:r>
            <w:r w:rsidRPr="00281428">
              <w:t xml:space="preserve"> on Weights and Measures</w:t>
            </w:r>
          </w:p>
        </w:tc>
      </w:tr>
      <w:tr w:rsidR="00644CB3" w:rsidRPr="00281428" w14:paraId="7429FB84" w14:textId="77777777" w:rsidTr="00954271">
        <w:trPr>
          <w:trHeight w:val="460"/>
          <w:jc w:val="center"/>
        </w:trPr>
        <w:tc>
          <w:tcPr>
            <w:tcW w:w="1219" w:type="dxa"/>
            <w:vAlign w:val="center"/>
          </w:tcPr>
          <w:p w14:paraId="4CEC464D" w14:textId="257C5F33" w:rsidR="00644CB3" w:rsidRPr="00281428" w:rsidRDefault="00644CB3" w:rsidP="00875C70">
            <w:pPr>
              <w:pStyle w:val="TableText"/>
              <w:keepNext/>
              <w:keepLines/>
            </w:pPr>
            <w:r w:rsidRPr="00834FE5">
              <w:t>CWMA</w:t>
            </w:r>
          </w:p>
        </w:tc>
        <w:tc>
          <w:tcPr>
            <w:tcW w:w="3258" w:type="dxa"/>
            <w:vAlign w:val="center"/>
          </w:tcPr>
          <w:p w14:paraId="1F51C886" w14:textId="2F5CFC6C" w:rsidR="00644CB3" w:rsidRPr="00281428" w:rsidRDefault="00644CB3" w:rsidP="00875C70">
            <w:pPr>
              <w:pStyle w:val="TableText"/>
              <w:keepNext/>
              <w:keepLines/>
            </w:pPr>
            <w:r w:rsidRPr="00834FE5">
              <w:t>Central Weights and Measures Association</w:t>
            </w:r>
          </w:p>
        </w:tc>
        <w:tc>
          <w:tcPr>
            <w:tcW w:w="1583" w:type="dxa"/>
            <w:vAlign w:val="center"/>
          </w:tcPr>
          <w:p w14:paraId="1F867A46" w14:textId="77777777" w:rsidR="00644CB3" w:rsidRPr="00281428" w:rsidRDefault="00644CB3" w:rsidP="00875C70">
            <w:pPr>
              <w:pStyle w:val="TableText"/>
              <w:keepNext/>
              <w:keepLines/>
            </w:pPr>
            <w:r w:rsidRPr="00281428">
              <w:t>OWM</w:t>
            </w:r>
          </w:p>
        </w:tc>
        <w:tc>
          <w:tcPr>
            <w:tcW w:w="3305" w:type="dxa"/>
            <w:vAlign w:val="center"/>
          </w:tcPr>
          <w:p w14:paraId="050D8EBF" w14:textId="77777777" w:rsidR="00644CB3" w:rsidRPr="00281428" w:rsidRDefault="00644CB3" w:rsidP="00644CB3">
            <w:pPr>
              <w:pStyle w:val="TableText"/>
              <w:keepNext/>
              <w:keepLines/>
            </w:pPr>
            <w:r w:rsidRPr="00281428">
              <w:t>Office of Weights and Measures</w:t>
            </w:r>
          </w:p>
        </w:tc>
      </w:tr>
      <w:tr w:rsidR="00644CB3" w:rsidRPr="00281428" w14:paraId="01243983" w14:textId="77777777" w:rsidTr="00954271">
        <w:trPr>
          <w:trHeight w:val="460"/>
          <w:jc w:val="center"/>
        </w:trPr>
        <w:tc>
          <w:tcPr>
            <w:tcW w:w="1219" w:type="dxa"/>
            <w:vAlign w:val="center"/>
          </w:tcPr>
          <w:p w14:paraId="09A2F7C2" w14:textId="1D4C8D5C" w:rsidR="00644CB3" w:rsidRPr="00281428" w:rsidRDefault="00644CB3" w:rsidP="00875C70">
            <w:pPr>
              <w:pStyle w:val="TableText"/>
              <w:keepNext/>
              <w:keepLines/>
            </w:pPr>
            <w:r w:rsidRPr="00834FE5">
              <w:t>FALS</w:t>
            </w:r>
          </w:p>
        </w:tc>
        <w:tc>
          <w:tcPr>
            <w:tcW w:w="3258" w:type="dxa"/>
            <w:vAlign w:val="center"/>
          </w:tcPr>
          <w:p w14:paraId="4C078A3E" w14:textId="1CD7B8E6" w:rsidR="00644CB3" w:rsidRPr="00281428" w:rsidRDefault="00644CB3" w:rsidP="00875C70">
            <w:pPr>
              <w:pStyle w:val="TableText"/>
              <w:keepNext/>
              <w:keepLines/>
            </w:pPr>
            <w:r w:rsidRPr="00834FE5">
              <w:t>Fuels and Lubricants Subcommittee</w:t>
            </w:r>
          </w:p>
        </w:tc>
        <w:tc>
          <w:tcPr>
            <w:tcW w:w="1583" w:type="dxa"/>
            <w:vAlign w:val="center"/>
          </w:tcPr>
          <w:p w14:paraId="584F5246" w14:textId="77777777" w:rsidR="00644CB3" w:rsidRPr="00281428" w:rsidRDefault="00644CB3" w:rsidP="00875C70">
            <w:pPr>
              <w:pStyle w:val="TableText"/>
              <w:keepNext/>
              <w:keepLines/>
            </w:pPr>
            <w:r w:rsidRPr="00281428">
              <w:t>PALS</w:t>
            </w:r>
          </w:p>
        </w:tc>
        <w:tc>
          <w:tcPr>
            <w:tcW w:w="3305" w:type="dxa"/>
            <w:vAlign w:val="center"/>
          </w:tcPr>
          <w:p w14:paraId="76143AE4" w14:textId="77777777" w:rsidR="00644CB3" w:rsidRPr="00281428" w:rsidRDefault="00644CB3" w:rsidP="00644CB3">
            <w:pPr>
              <w:pStyle w:val="TableText"/>
              <w:keepNext/>
              <w:keepLines/>
            </w:pPr>
            <w:r w:rsidRPr="00281428">
              <w:t>Packaging and Labeling Subcommittee</w:t>
            </w:r>
          </w:p>
        </w:tc>
      </w:tr>
      <w:tr w:rsidR="00644CB3" w:rsidRPr="00281428" w14:paraId="297F15D3" w14:textId="77777777" w:rsidTr="00954271">
        <w:trPr>
          <w:trHeight w:val="460"/>
          <w:jc w:val="center"/>
        </w:trPr>
        <w:tc>
          <w:tcPr>
            <w:tcW w:w="1219" w:type="dxa"/>
            <w:vAlign w:val="center"/>
          </w:tcPr>
          <w:p w14:paraId="65BF13A8" w14:textId="1ADD050E" w:rsidR="00644CB3" w:rsidRPr="00281428" w:rsidRDefault="00644CB3" w:rsidP="00875C70">
            <w:pPr>
              <w:pStyle w:val="TableText"/>
              <w:keepNext/>
              <w:keepLines/>
            </w:pPr>
            <w:r w:rsidRPr="00834FE5">
              <w:t>FDA</w:t>
            </w:r>
          </w:p>
        </w:tc>
        <w:tc>
          <w:tcPr>
            <w:tcW w:w="3258" w:type="dxa"/>
            <w:vAlign w:val="center"/>
          </w:tcPr>
          <w:p w14:paraId="6E61EF4B" w14:textId="24FE0134" w:rsidR="00644CB3" w:rsidRPr="00281428" w:rsidRDefault="00644CB3" w:rsidP="00875C70">
            <w:pPr>
              <w:pStyle w:val="TableText"/>
              <w:keepNext/>
              <w:keepLines/>
            </w:pPr>
            <w:r w:rsidRPr="00834FE5">
              <w:t>Food and Drug Administration</w:t>
            </w:r>
          </w:p>
        </w:tc>
        <w:tc>
          <w:tcPr>
            <w:tcW w:w="1583" w:type="dxa"/>
            <w:vAlign w:val="center"/>
          </w:tcPr>
          <w:p w14:paraId="3E25FEB1" w14:textId="77777777" w:rsidR="00644CB3" w:rsidRPr="00281428" w:rsidRDefault="00644CB3" w:rsidP="00875C70">
            <w:pPr>
              <w:pStyle w:val="TableText"/>
              <w:keepNext/>
              <w:keepLines/>
            </w:pPr>
            <w:r w:rsidRPr="00281428">
              <w:t>S&amp;T</w:t>
            </w:r>
          </w:p>
        </w:tc>
        <w:tc>
          <w:tcPr>
            <w:tcW w:w="3305" w:type="dxa"/>
            <w:vAlign w:val="center"/>
          </w:tcPr>
          <w:p w14:paraId="52A89C40" w14:textId="77777777" w:rsidR="00644CB3" w:rsidRPr="00281428" w:rsidRDefault="00644CB3" w:rsidP="00644CB3">
            <w:pPr>
              <w:pStyle w:val="TableText"/>
              <w:keepNext/>
              <w:keepLines/>
            </w:pPr>
            <w:r w:rsidRPr="00281428">
              <w:t>Specifications and Tolerances</w:t>
            </w:r>
          </w:p>
        </w:tc>
      </w:tr>
      <w:tr w:rsidR="00644CB3" w:rsidRPr="00281428" w14:paraId="4F496D5F" w14:textId="77777777" w:rsidTr="00954271">
        <w:trPr>
          <w:trHeight w:val="460"/>
          <w:jc w:val="center"/>
        </w:trPr>
        <w:tc>
          <w:tcPr>
            <w:tcW w:w="1219" w:type="dxa"/>
            <w:vAlign w:val="center"/>
          </w:tcPr>
          <w:p w14:paraId="0B74F993" w14:textId="3F81003B" w:rsidR="00644CB3" w:rsidRPr="00281428" w:rsidRDefault="00644CB3" w:rsidP="00875C70">
            <w:pPr>
              <w:pStyle w:val="TableText"/>
              <w:keepNext/>
              <w:keepLines/>
            </w:pPr>
            <w:r w:rsidRPr="00834FE5">
              <w:t>FTC</w:t>
            </w:r>
          </w:p>
        </w:tc>
        <w:tc>
          <w:tcPr>
            <w:tcW w:w="3258" w:type="dxa"/>
            <w:vAlign w:val="center"/>
          </w:tcPr>
          <w:p w14:paraId="21973F8A" w14:textId="446AB1E3" w:rsidR="00644CB3" w:rsidRPr="00281428" w:rsidRDefault="00644CB3" w:rsidP="00875C70">
            <w:pPr>
              <w:pStyle w:val="TableText"/>
              <w:keepNext/>
              <w:keepLines/>
            </w:pPr>
            <w:r w:rsidRPr="00834FE5">
              <w:t>Federal Trade Commission</w:t>
            </w:r>
          </w:p>
        </w:tc>
        <w:tc>
          <w:tcPr>
            <w:tcW w:w="1583" w:type="dxa"/>
            <w:vAlign w:val="center"/>
          </w:tcPr>
          <w:p w14:paraId="426D6162" w14:textId="77777777" w:rsidR="00644CB3" w:rsidRPr="00281428" w:rsidRDefault="00644CB3" w:rsidP="00875C70">
            <w:pPr>
              <w:pStyle w:val="TableText"/>
              <w:keepNext/>
              <w:keepLines/>
            </w:pPr>
            <w:r w:rsidRPr="00281428">
              <w:t>SAE</w:t>
            </w:r>
          </w:p>
        </w:tc>
        <w:tc>
          <w:tcPr>
            <w:tcW w:w="3305" w:type="dxa"/>
            <w:vAlign w:val="center"/>
          </w:tcPr>
          <w:p w14:paraId="793DB4AE" w14:textId="77777777" w:rsidR="00644CB3" w:rsidRPr="00281428" w:rsidRDefault="00644CB3" w:rsidP="00644CB3">
            <w:pPr>
              <w:pStyle w:val="TableText"/>
              <w:keepNext/>
              <w:keepLines/>
            </w:pPr>
            <w:r w:rsidRPr="00281428">
              <w:t xml:space="preserve">SAE International </w:t>
            </w:r>
          </w:p>
        </w:tc>
      </w:tr>
      <w:tr w:rsidR="00644CB3" w:rsidRPr="00281428" w14:paraId="6D372C0A" w14:textId="77777777" w:rsidTr="00954271">
        <w:trPr>
          <w:trHeight w:val="460"/>
          <w:jc w:val="center"/>
        </w:trPr>
        <w:tc>
          <w:tcPr>
            <w:tcW w:w="1219" w:type="dxa"/>
            <w:vAlign w:val="center"/>
          </w:tcPr>
          <w:p w14:paraId="4EF5C095" w14:textId="4C371832" w:rsidR="00644CB3" w:rsidRPr="00281428" w:rsidRDefault="00644CB3" w:rsidP="00875C70">
            <w:pPr>
              <w:pStyle w:val="TableText"/>
            </w:pPr>
            <w:r w:rsidRPr="004A469B">
              <w:t>HB</w:t>
            </w:r>
          </w:p>
        </w:tc>
        <w:tc>
          <w:tcPr>
            <w:tcW w:w="3258" w:type="dxa"/>
            <w:vAlign w:val="center"/>
          </w:tcPr>
          <w:p w14:paraId="44EA039F" w14:textId="78A821FC" w:rsidR="00644CB3" w:rsidRPr="00281428" w:rsidRDefault="00644CB3" w:rsidP="00875C70">
            <w:pPr>
              <w:pStyle w:val="TableText"/>
            </w:pPr>
            <w:r w:rsidRPr="004A469B">
              <w:t>Handbook</w:t>
            </w:r>
          </w:p>
        </w:tc>
        <w:tc>
          <w:tcPr>
            <w:tcW w:w="1583" w:type="dxa"/>
            <w:vAlign w:val="center"/>
          </w:tcPr>
          <w:p w14:paraId="6099CF64" w14:textId="77777777" w:rsidR="00644CB3" w:rsidRPr="00281428" w:rsidRDefault="00644CB3" w:rsidP="00875C70">
            <w:pPr>
              <w:pStyle w:val="TableText"/>
            </w:pPr>
            <w:r w:rsidRPr="00281428">
              <w:t>SWMA</w:t>
            </w:r>
          </w:p>
        </w:tc>
        <w:tc>
          <w:tcPr>
            <w:tcW w:w="3305" w:type="dxa"/>
            <w:vAlign w:val="center"/>
          </w:tcPr>
          <w:p w14:paraId="07B606FF" w14:textId="77777777" w:rsidR="00644CB3" w:rsidRPr="00281428" w:rsidRDefault="00644CB3" w:rsidP="00644CB3">
            <w:pPr>
              <w:pStyle w:val="TableText"/>
            </w:pPr>
            <w:r w:rsidRPr="00281428">
              <w:t>Southern Weights and Measures Association</w:t>
            </w:r>
          </w:p>
        </w:tc>
      </w:tr>
      <w:tr w:rsidR="00644CB3" w:rsidRPr="00281428" w14:paraId="585082DB" w14:textId="77777777" w:rsidTr="00954271">
        <w:trPr>
          <w:trHeight w:val="460"/>
          <w:jc w:val="center"/>
        </w:trPr>
        <w:tc>
          <w:tcPr>
            <w:tcW w:w="1219" w:type="dxa"/>
            <w:vAlign w:val="center"/>
          </w:tcPr>
          <w:p w14:paraId="78A17FCE" w14:textId="652CA8FF" w:rsidR="00644CB3" w:rsidRPr="00281428" w:rsidRDefault="00644CB3" w:rsidP="00875C70">
            <w:pPr>
              <w:pStyle w:val="TableText"/>
            </w:pPr>
            <w:r w:rsidRPr="006D3B5B">
              <w:t>ILMA</w:t>
            </w:r>
          </w:p>
        </w:tc>
        <w:tc>
          <w:tcPr>
            <w:tcW w:w="3258" w:type="dxa"/>
            <w:vAlign w:val="center"/>
          </w:tcPr>
          <w:p w14:paraId="66B0EB8F" w14:textId="7D5C2091" w:rsidR="00644CB3" w:rsidRPr="00281428" w:rsidRDefault="00644CB3" w:rsidP="00875C70">
            <w:pPr>
              <w:pStyle w:val="TableText"/>
            </w:pPr>
            <w:r w:rsidRPr="006D3B5B">
              <w:t>Independent Lubricant Manufacturers Association</w:t>
            </w:r>
          </w:p>
        </w:tc>
        <w:tc>
          <w:tcPr>
            <w:tcW w:w="1583" w:type="dxa"/>
            <w:vAlign w:val="center"/>
          </w:tcPr>
          <w:p w14:paraId="2C49B22E" w14:textId="77777777" w:rsidR="00644CB3" w:rsidRPr="00281428" w:rsidRDefault="00644CB3" w:rsidP="00875C70">
            <w:pPr>
              <w:pStyle w:val="TableText"/>
            </w:pPr>
            <w:r w:rsidRPr="00281428">
              <w:t>UPLR</w:t>
            </w:r>
          </w:p>
        </w:tc>
        <w:tc>
          <w:tcPr>
            <w:tcW w:w="3305" w:type="dxa"/>
            <w:vAlign w:val="center"/>
          </w:tcPr>
          <w:p w14:paraId="22455166" w14:textId="77777777" w:rsidR="00644CB3" w:rsidRPr="00281428" w:rsidRDefault="00644CB3" w:rsidP="00644CB3">
            <w:pPr>
              <w:pStyle w:val="TableText"/>
            </w:pPr>
            <w:r w:rsidRPr="00281428">
              <w:t>Uniform Packaging and Labeling Regulation</w:t>
            </w:r>
          </w:p>
        </w:tc>
      </w:tr>
      <w:tr w:rsidR="00644CB3" w:rsidRPr="00281428" w14:paraId="4C2D61D8" w14:textId="77777777" w:rsidTr="00954271">
        <w:trPr>
          <w:trHeight w:val="460"/>
          <w:jc w:val="center"/>
        </w:trPr>
        <w:tc>
          <w:tcPr>
            <w:tcW w:w="1219" w:type="dxa"/>
            <w:vAlign w:val="center"/>
          </w:tcPr>
          <w:p w14:paraId="5AB48C5D" w14:textId="525A4406" w:rsidR="00644CB3" w:rsidRPr="00281428" w:rsidRDefault="00644CB3" w:rsidP="00875C70">
            <w:pPr>
              <w:pStyle w:val="TableText"/>
            </w:pPr>
            <w:r w:rsidRPr="006D3B5B">
              <w:t>L&amp;R</w:t>
            </w:r>
          </w:p>
        </w:tc>
        <w:tc>
          <w:tcPr>
            <w:tcW w:w="3258" w:type="dxa"/>
            <w:vAlign w:val="center"/>
          </w:tcPr>
          <w:p w14:paraId="5B79A373" w14:textId="04DE9BA1" w:rsidR="00644CB3" w:rsidRPr="00281428" w:rsidRDefault="00644CB3" w:rsidP="00875C70">
            <w:pPr>
              <w:pStyle w:val="TableText"/>
            </w:pPr>
            <w:r w:rsidRPr="006D3B5B">
              <w:t>Laws and Regulations</w:t>
            </w:r>
          </w:p>
        </w:tc>
        <w:tc>
          <w:tcPr>
            <w:tcW w:w="1583" w:type="dxa"/>
            <w:vAlign w:val="center"/>
          </w:tcPr>
          <w:p w14:paraId="6480608C" w14:textId="6DE4AC9F" w:rsidR="00644CB3" w:rsidRPr="00281428" w:rsidRDefault="00644CB3" w:rsidP="00875C70">
            <w:pPr>
              <w:pStyle w:val="TableText"/>
            </w:pPr>
            <w:r w:rsidRPr="00281428">
              <w:t>USDA – FSIS</w:t>
            </w:r>
          </w:p>
        </w:tc>
        <w:tc>
          <w:tcPr>
            <w:tcW w:w="3305" w:type="dxa"/>
            <w:vAlign w:val="center"/>
          </w:tcPr>
          <w:p w14:paraId="2C04B8AC" w14:textId="0F8ACF0B" w:rsidR="00644CB3" w:rsidRPr="00281428" w:rsidRDefault="00644CB3" w:rsidP="00644CB3">
            <w:pPr>
              <w:pStyle w:val="TableText"/>
            </w:pPr>
            <w:r w:rsidRPr="00281428">
              <w:t>U.S. Department of Agriculture – Food Safety and Inspection Service</w:t>
            </w:r>
          </w:p>
        </w:tc>
      </w:tr>
      <w:tr w:rsidR="00644CB3" w:rsidRPr="00281428" w14:paraId="06C1DE4B" w14:textId="77777777" w:rsidTr="00954271">
        <w:trPr>
          <w:trHeight w:val="460"/>
          <w:jc w:val="center"/>
        </w:trPr>
        <w:tc>
          <w:tcPr>
            <w:tcW w:w="1219" w:type="dxa"/>
            <w:vAlign w:val="center"/>
          </w:tcPr>
          <w:p w14:paraId="23B8EC5E" w14:textId="6B051014" w:rsidR="00644CB3" w:rsidRPr="00281428" w:rsidRDefault="00644CB3" w:rsidP="00875C70">
            <w:pPr>
              <w:pStyle w:val="TableText"/>
            </w:pPr>
            <w:r w:rsidRPr="006D3B5B">
              <w:t>LPG</w:t>
            </w:r>
          </w:p>
        </w:tc>
        <w:tc>
          <w:tcPr>
            <w:tcW w:w="3258" w:type="dxa"/>
            <w:vAlign w:val="center"/>
          </w:tcPr>
          <w:p w14:paraId="08509FB4" w14:textId="3C46CFFE" w:rsidR="00644CB3" w:rsidRPr="00281428" w:rsidRDefault="00644CB3" w:rsidP="00875C70">
            <w:pPr>
              <w:pStyle w:val="TableText"/>
            </w:pPr>
            <w:r w:rsidRPr="006D3B5B">
              <w:t>Liquefied Petroleum Gas</w:t>
            </w:r>
          </w:p>
        </w:tc>
        <w:tc>
          <w:tcPr>
            <w:tcW w:w="1583" w:type="dxa"/>
            <w:vAlign w:val="center"/>
          </w:tcPr>
          <w:p w14:paraId="180B6FCB" w14:textId="77777777" w:rsidR="00644CB3" w:rsidRPr="00281428" w:rsidRDefault="00644CB3" w:rsidP="00644CB3">
            <w:pPr>
              <w:pStyle w:val="TableText"/>
            </w:pPr>
            <w:r w:rsidRPr="00281428">
              <w:t>USNWG</w:t>
            </w:r>
          </w:p>
        </w:tc>
        <w:tc>
          <w:tcPr>
            <w:tcW w:w="3305" w:type="dxa"/>
            <w:vAlign w:val="center"/>
          </w:tcPr>
          <w:p w14:paraId="09CC8974" w14:textId="77777777" w:rsidR="00644CB3" w:rsidRPr="00281428" w:rsidRDefault="00644CB3" w:rsidP="00644CB3">
            <w:pPr>
              <w:pStyle w:val="TableText"/>
            </w:pPr>
            <w:r w:rsidRPr="00281428">
              <w:t>U.S. National Work Group</w:t>
            </w:r>
          </w:p>
        </w:tc>
      </w:tr>
      <w:tr w:rsidR="00644CB3" w:rsidRPr="00281428" w14:paraId="0C562FB2" w14:textId="77777777" w:rsidTr="00954271">
        <w:trPr>
          <w:trHeight w:val="460"/>
          <w:jc w:val="center"/>
        </w:trPr>
        <w:tc>
          <w:tcPr>
            <w:tcW w:w="1219" w:type="dxa"/>
            <w:vAlign w:val="center"/>
          </w:tcPr>
          <w:p w14:paraId="56798ABB" w14:textId="03A61F84" w:rsidR="00644CB3" w:rsidRPr="00281428" w:rsidRDefault="00644CB3" w:rsidP="00875C70">
            <w:pPr>
              <w:pStyle w:val="TableText"/>
            </w:pPr>
            <w:r w:rsidRPr="006D3B5B">
              <w:t>MAV</w:t>
            </w:r>
          </w:p>
        </w:tc>
        <w:tc>
          <w:tcPr>
            <w:tcW w:w="3258" w:type="dxa"/>
            <w:vAlign w:val="center"/>
          </w:tcPr>
          <w:p w14:paraId="0FCC1D93" w14:textId="1713AF12" w:rsidR="00644CB3" w:rsidRPr="00281428" w:rsidRDefault="00644CB3" w:rsidP="00875C70">
            <w:pPr>
              <w:pStyle w:val="TableText"/>
            </w:pPr>
            <w:r w:rsidRPr="006D3B5B">
              <w:t>Maximum Allowable Variation</w:t>
            </w:r>
          </w:p>
        </w:tc>
        <w:tc>
          <w:tcPr>
            <w:tcW w:w="1583" w:type="dxa"/>
            <w:vAlign w:val="center"/>
          </w:tcPr>
          <w:p w14:paraId="24974AA0" w14:textId="77777777" w:rsidR="00644CB3" w:rsidRPr="00281428" w:rsidRDefault="00644CB3" w:rsidP="00644CB3">
            <w:pPr>
              <w:pStyle w:val="TableText"/>
            </w:pPr>
            <w:r w:rsidRPr="00281428">
              <w:t>WWMA</w:t>
            </w:r>
          </w:p>
        </w:tc>
        <w:tc>
          <w:tcPr>
            <w:tcW w:w="3305" w:type="dxa"/>
            <w:vAlign w:val="center"/>
          </w:tcPr>
          <w:p w14:paraId="5B1694C5" w14:textId="77777777" w:rsidR="00644CB3" w:rsidRPr="00281428" w:rsidRDefault="00644CB3" w:rsidP="00644CB3">
            <w:pPr>
              <w:pStyle w:val="TableText"/>
            </w:pPr>
            <w:r w:rsidRPr="00281428">
              <w:t>Western Weights and Measures Association</w:t>
            </w:r>
          </w:p>
        </w:tc>
      </w:tr>
      <w:bookmarkEnd w:id="8"/>
    </w:tbl>
    <w:p w14:paraId="43E46AB2" w14:textId="3F810A93" w:rsidR="003553FC" w:rsidRDefault="003553FC" w:rsidP="00346B96">
      <w:pPr>
        <w:suppressLineNumbers/>
        <w:spacing w:after="0"/>
        <w:jc w:val="left"/>
        <w:rPr>
          <w:lang w:eastAsia="ja-JP"/>
        </w:rPr>
      </w:pPr>
      <w:r>
        <w:rPr>
          <w:lang w:eastAsia="ja-JP"/>
        </w:rPr>
        <w:br w:type="page"/>
      </w:r>
    </w:p>
    <w:tbl>
      <w:tblPr>
        <w:tblW w:w="9360" w:type="dxa"/>
        <w:jc w:val="center"/>
        <w:tblBorders>
          <w:top w:val="single" w:sz="4" w:space="0" w:color="auto"/>
          <w:bottom w:val="single" w:sz="4" w:space="0" w:color="auto"/>
        </w:tblBorders>
        <w:tblLook w:val="04A0" w:firstRow="1" w:lastRow="0" w:firstColumn="1" w:lastColumn="0" w:noHBand="0" w:noVBand="1"/>
      </w:tblPr>
      <w:tblGrid>
        <w:gridCol w:w="9360"/>
      </w:tblGrid>
      <w:tr w:rsidR="000006B8" w:rsidRPr="00281428" w14:paraId="5BC47B9B" w14:textId="77777777" w:rsidTr="00604A9C">
        <w:trPr>
          <w:jc w:val="center"/>
        </w:trPr>
        <w:tc>
          <w:tcPr>
            <w:tcW w:w="9360" w:type="dxa"/>
            <w:tcBorders>
              <w:top w:val="single" w:sz="12" w:space="0" w:color="auto"/>
              <w:bottom w:val="single" w:sz="12" w:space="0" w:color="auto"/>
            </w:tcBorders>
          </w:tcPr>
          <w:p w14:paraId="605FF19A" w14:textId="77777777" w:rsidR="000006B8" w:rsidRPr="00281428" w:rsidRDefault="00A8385E" w:rsidP="00E4465B">
            <w:pPr>
              <w:pStyle w:val="TableHeading"/>
              <w:ind w:left="-220"/>
            </w:pPr>
            <w:r w:rsidRPr="00281428">
              <w:rPr>
                <w:b w:val="0"/>
                <w:bCs w:val="0"/>
              </w:rPr>
              <w:lastRenderedPageBreak/>
              <w:br w:type="page"/>
            </w:r>
            <w:r w:rsidR="000006B8" w:rsidRPr="00281428">
              <w:t>Details of All Items</w:t>
            </w:r>
            <w:r w:rsidR="00443A38" w:rsidRPr="00281428">
              <w:br/>
            </w:r>
            <w:r w:rsidR="000006B8" w:rsidRPr="00281428">
              <w:rPr>
                <w:b w:val="0"/>
                <w:i/>
              </w:rPr>
              <w:t>(In order by Reference Key)</w:t>
            </w:r>
          </w:p>
        </w:tc>
      </w:tr>
    </w:tbl>
    <w:p w14:paraId="3AC2DF0E" w14:textId="77777777" w:rsidR="002C05E0" w:rsidRDefault="002C05E0" w:rsidP="005F1929">
      <w:pPr>
        <w:pStyle w:val="Heading1"/>
      </w:pPr>
      <w:bookmarkStart w:id="9" w:name="_Toc224019612"/>
      <w:bookmarkStart w:id="10" w:name="_Hlk497996425"/>
      <w:bookmarkStart w:id="11" w:name="_Hlk61505009"/>
      <w:bookmarkStart w:id="12" w:name="_Toc302379796"/>
      <w:bookmarkStart w:id="13" w:name="_Toc302381449"/>
      <w:bookmarkStart w:id="14" w:name="_Toc302382310"/>
      <w:bookmarkStart w:id="15" w:name="_Toc302382374"/>
      <w:bookmarkStart w:id="16" w:name="_Toc302382670"/>
      <w:bookmarkStart w:id="17" w:name="_Toc302383030"/>
      <w:bookmarkStart w:id="18" w:name="_Toc302383261"/>
      <w:bookmarkStart w:id="19" w:name="_Toc302383542"/>
      <w:r>
        <w:t>pal – uniform packaging and labeling regulation</w:t>
      </w:r>
      <w:bookmarkEnd w:id="9"/>
    </w:p>
    <w:p w14:paraId="0745379B" w14:textId="283385A9" w:rsidR="002C05E0" w:rsidRPr="002419A6" w:rsidRDefault="002C05E0" w:rsidP="002C05E0">
      <w:pPr>
        <w:pStyle w:val="ItemHeading"/>
        <w:rPr>
          <w:lang w:val="fr-FR"/>
        </w:rPr>
      </w:pPr>
      <w:bookmarkStart w:id="20" w:name="_Toc224019613"/>
      <w:r w:rsidRPr="002419A6">
        <w:rPr>
          <w:lang w:val="fr-FR"/>
        </w:rPr>
        <w:t>PAL-26.1</w:t>
      </w:r>
      <w:r w:rsidRPr="002419A6">
        <w:rPr>
          <w:lang w:val="fr-FR"/>
        </w:rPr>
        <w:tab/>
      </w:r>
      <w:r w:rsidR="002D4F72" w:rsidRPr="002419A6">
        <w:rPr>
          <w:lang w:val="fr-FR"/>
        </w:rPr>
        <w:t>W</w:t>
      </w:r>
      <w:r w:rsidRPr="002419A6">
        <w:rPr>
          <w:lang w:val="fr-FR"/>
        </w:rPr>
        <w:tab/>
        <w:t xml:space="preserve">6.3. Net </w:t>
      </w:r>
      <w:proofErr w:type="spellStart"/>
      <w:r w:rsidRPr="002419A6">
        <w:rPr>
          <w:lang w:val="fr-FR"/>
        </w:rPr>
        <w:t>Quantity</w:t>
      </w:r>
      <w:proofErr w:type="spellEnd"/>
      <w:r w:rsidR="00F96274" w:rsidRPr="002419A6">
        <w:rPr>
          <w:lang w:val="fr-FR"/>
        </w:rPr>
        <w:t>.</w:t>
      </w:r>
      <w:bookmarkEnd w:id="20"/>
    </w:p>
    <w:p w14:paraId="22E9493F" w14:textId="77777777" w:rsidR="002C05E0" w:rsidRPr="00D95DB8" w:rsidRDefault="002C05E0" w:rsidP="002C05E0">
      <w:pPr>
        <w:spacing w:after="0"/>
        <w:rPr>
          <w:b/>
          <w:lang w:val="fr-FR"/>
        </w:rPr>
      </w:pPr>
      <w:proofErr w:type="gramStart"/>
      <w:r w:rsidRPr="00D95DB8">
        <w:rPr>
          <w:b/>
          <w:lang w:val="fr-FR"/>
        </w:rPr>
        <w:t>Source:</w:t>
      </w:r>
      <w:proofErr w:type="gramEnd"/>
    </w:p>
    <w:p w14:paraId="6AABC5AF" w14:textId="126D299D" w:rsidR="002C05E0" w:rsidRDefault="002C05E0" w:rsidP="002C05E0">
      <w:r>
        <w:t>CPR Squared</w:t>
      </w:r>
      <w:r w:rsidR="004C5461">
        <w:t xml:space="preserve"> </w:t>
      </w:r>
    </w:p>
    <w:p w14:paraId="5ACBB592" w14:textId="77777777" w:rsidR="002C05E0" w:rsidRPr="00E025F9" w:rsidRDefault="002C05E0" w:rsidP="002C05E0">
      <w:pPr>
        <w:spacing w:after="0"/>
        <w:rPr>
          <w:b/>
        </w:rPr>
      </w:pPr>
      <w:r w:rsidRPr="00E025F9">
        <w:rPr>
          <w:b/>
        </w:rPr>
        <w:t>Purpose:</w:t>
      </w:r>
    </w:p>
    <w:p w14:paraId="54018A90" w14:textId="4447C1E7" w:rsidR="002C05E0" w:rsidRPr="00C36659" w:rsidRDefault="002C05E0" w:rsidP="00C36659">
      <w:r w:rsidRPr="00C36659">
        <w:t>To enhance consumer safety and reduce the financial burden of product recalls by mandating dynamic QR codes unique to each production batch on consumer package labels. Currently, inadequate batch-specific labeling leads to broader, costlier recalls, with an average direct cost of $10 million per food recall and approximately $7 billion in annual U.S. economic losses due to foodborne outbreaks. These inefficiencies expose consumers to heightened health risks, with 48 million annual foodborne illness cases, 128,000 hospitalizations, and 3,000 deaths. Dynamic QR codes enable precise tracking, targeted recalls, and real-time safety information access, minimizing health risks, reducing unnecessary product waste, and lowering economic losses for businesses and consumers.</w:t>
      </w:r>
    </w:p>
    <w:p w14:paraId="5A2D9F10" w14:textId="77777777" w:rsidR="002C05E0" w:rsidRPr="00E025F9" w:rsidRDefault="002C05E0" w:rsidP="002C05E0">
      <w:pPr>
        <w:spacing w:after="0"/>
        <w:rPr>
          <w:b/>
        </w:rPr>
      </w:pPr>
      <w:r w:rsidRPr="00E025F9">
        <w:rPr>
          <w:b/>
        </w:rPr>
        <w:t>Item under Consideration:</w:t>
      </w:r>
    </w:p>
    <w:p w14:paraId="233C001B" w14:textId="56AA1EE1" w:rsidR="002C05E0" w:rsidRDefault="002C05E0" w:rsidP="002C05E0">
      <w:r>
        <w:t>Amend NIST Handbook 130 Uniform Packaging and Labeling Regulation as follows:</w:t>
      </w:r>
    </w:p>
    <w:p w14:paraId="6625B15D" w14:textId="77777777" w:rsidR="002C05E0" w:rsidRPr="002C05E0" w:rsidRDefault="002C05E0" w:rsidP="002C05E0">
      <w:pPr>
        <w:ind w:left="360"/>
        <w:rPr>
          <w:b/>
          <w:bCs/>
          <w:iCs/>
          <w:vanish/>
          <w:specVanish/>
        </w:rPr>
      </w:pPr>
      <w:bookmarkStart w:id="21" w:name="_Toc523833971"/>
      <w:bookmarkStart w:id="22" w:name="_Toc523840467"/>
      <w:bookmarkStart w:id="23" w:name="_Toc178161993"/>
      <w:bookmarkStart w:id="24" w:name="_Toc173408645"/>
      <w:bookmarkStart w:id="25" w:name="_Toc173471420"/>
      <w:bookmarkStart w:id="26" w:name="_Toc173472712"/>
      <w:bookmarkStart w:id="27" w:name="_Toc173474068"/>
      <w:bookmarkStart w:id="28" w:name="_Toc173770935"/>
      <w:bookmarkStart w:id="29" w:name="_Toc173771710"/>
      <w:r w:rsidRPr="002C05E0">
        <w:rPr>
          <w:b/>
          <w:bCs/>
        </w:rPr>
        <w:t>6.3.</w:t>
      </w:r>
      <w:r w:rsidRPr="002C05E0">
        <w:rPr>
          <w:b/>
          <w:bCs/>
        </w:rPr>
        <w:t> </w:t>
      </w:r>
      <w:r w:rsidRPr="002C05E0">
        <w:rPr>
          <w:b/>
          <w:bCs/>
        </w:rPr>
        <w:t>Net Quantity.</w:t>
      </w:r>
      <w:bookmarkEnd w:id="21"/>
      <w:bookmarkEnd w:id="22"/>
      <w:bookmarkEnd w:id="23"/>
    </w:p>
    <w:p w14:paraId="4F122E60" w14:textId="77777777" w:rsidR="002C05E0" w:rsidRPr="002C05E0" w:rsidRDefault="002C05E0" w:rsidP="002C05E0">
      <w:pPr>
        <w:ind w:left="360"/>
        <w:rPr>
          <w:iCs/>
        </w:rPr>
      </w:pPr>
      <w:r w:rsidRPr="002C05E0">
        <w:rPr>
          <w:b/>
        </w:rPr>
        <w:t xml:space="preserve"> </w:t>
      </w:r>
      <w:r w:rsidRPr="002C05E0">
        <w:fldChar w:fldCharType="begin"/>
      </w:r>
      <w:r w:rsidRPr="002C05E0">
        <w:rPr>
          <w:b/>
        </w:rPr>
        <w:instrText>xe "Net quantity"</w:instrText>
      </w:r>
      <w:r w:rsidRPr="002C05E0">
        <w:fldChar w:fldCharType="end"/>
      </w:r>
      <w:r w:rsidRPr="002C05E0">
        <w:t xml:space="preserve"> – A declaration of net quantity of the commodity in the package, exclusive of wrappers and any other material packed with such commodity (except as noted in Section 10.3. Aerosols</w:t>
      </w:r>
      <w:r w:rsidRPr="002C05E0">
        <w:fldChar w:fldCharType="begin"/>
      </w:r>
      <w:r w:rsidRPr="002C05E0">
        <w:instrText>xe "</w:instrText>
      </w:r>
      <w:r w:rsidRPr="002C05E0">
        <w:rPr>
          <w:bCs/>
        </w:rPr>
        <w:instrText>Aerosol</w:instrText>
      </w:r>
      <w:r w:rsidRPr="002C05E0">
        <w:instrText>"</w:instrText>
      </w:r>
      <w:r w:rsidRPr="002C05E0">
        <w:fldChar w:fldCharType="end"/>
      </w:r>
      <w:r w:rsidRPr="002C05E0">
        <w:t xml:space="preserve"> and Other Pre-pressurized Containers Dispensing Product Under Pressure</w:t>
      </w:r>
      <w:r w:rsidRPr="002C05E0">
        <w:fldChar w:fldCharType="begin"/>
      </w:r>
      <w:r w:rsidRPr="002C05E0">
        <w:instrText>xe "</w:instrText>
      </w:r>
      <w:proofErr w:type="gramStart"/>
      <w:r w:rsidRPr="002C05E0">
        <w:instrText>Containers:Pressurized</w:instrText>
      </w:r>
      <w:proofErr w:type="gramEnd"/>
      <w:r w:rsidRPr="002C05E0">
        <w:instrText>"</w:instrText>
      </w:r>
      <w:r w:rsidRPr="002C05E0">
        <w:fldChar w:fldCharType="end"/>
      </w:r>
      <w:r w:rsidRPr="002C05E0">
        <w:fldChar w:fldCharType="begin"/>
      </w:r>
      <w:r w:rsidRPr="002C05E0">
        <w:instrText xml:space="preserve"> XE "</w:instrText>
      </w:r>
      <w:proofErr w:type="gramStart"/>
      <w:r w:rsidRPr="002C05E0">
        <w:instrText>Containers:Pre</w:instrText>
      </w:r>
      <w:proofErr w:type="gramEnd"/>
      <w:r w:rsidRPr="002C05E0">
        <w:instrText xml:space="preserve">-pressurized" </w:instrText>
      </w:r>
      <w:r w:rsidRPr="002C05E0">
        <w:fldChar w:fldCharType="end"/>
      </w:r>
      <w:r w:rsidRPr="002C05E0">
        <w:t>), shall appear on the principal display panel of a consumer package and, unless otherwise specified in this regulation (see Sections 6.6. Prescribed Units, SI, through 6.9. Bi-dimensional Commodities), shall be in terms of the largest whole unit.</w:t>
      </w:r>
      <w:bookmarkEnd w:id="24"/>
      <w:bookmarkEnd w:id="25"/>
      <w:bookmarkEnd w:id="26"/>
      <w:bookmarkEnd w:id="27"/>
      <w:bookmarkEnd w:id="28"/>
      <w:bookmarkEnd w:id="29"/>
    </w:p>
    <w:p w14:paraId="078A00CE" w14:textId="77777777" w:rsidR="002C05E0" w:rsidRPr="002C05E0" w:rsidRDefault="002C05E0" w:rsidP="002C05E0">
      <w:pPr>
        <w:ind w:left="360"/>
        <w:rPr>
          <w:b/>
          <w:bCs/>
          <w:iCs/>
          <w:vanish/>
          <w:specVanish/>
        </w:rPr>
      </w:pPr>
      <w:bookmarkStart w:id="30" w:name="_Toc523833972"/>
      <w:bookmarkStart w:id="31" w:name="_Toc523840468"/>
      <w:bookmarkStart w:id="32" w:name="_Toc178161994"/>
      <w:bookmarkStart w:id="33" w:name="_Toc173408646"/>
      <w:bookmarkStart w:id="34" w:name="_Toc173472713"/>
      <w:bookmarkStart w:id="35" w:name="_Toc173770936"/>
      <w:r w:rsidRPr="002C05E0">
        <w:rPr>
          <w:b/>
          <w:bCs/>
        </w:rPr>
        <w:t>6.3.1.</w:t>
      </w:r>
      <w:r w:rsidRPr="002C05E0">
        <w:rPr>
          <w:b/>
          <w:bCs/>
        </w:rPr>
        <w:t> </w:t>
      </w:r>
      <w:r w:rsidRPr="002C05E0">
        <w:rPr>
          <w:b/>
          <w:bCs/>
        </w:rPr>
        <w:t>Use of “Net Mass” or “Net Weight.”</w:t>
      </w:r>
      <w:bookmarkEnd w:id="30"/>
      <w:bookmarkEnd w:id="31"/>
      <w:bookmarkEnd w:id="32"/>
    </w:p>
    <w:p w14:paraId="544D8FD7" w14:textId="77777777" w:rsidR="002C05E0" w:rsidRPr="002C05E0" w:rsidRDefault="002C05E0" w:rsidP="002C05E0">
      <w:pPr>
        <w:spacing w:after="0"/>
        <w:ind w:left="360"/>
        <w:rPr>
          <w:iCs/>
        </w:rPr>
      </w:pPr>
      <w:r w:rsidRPr="002C05E0">
        <w:rPr>
          <w:b/>
        </w:rPr>
        <w:t xml:space="preserve"> </w:t>
      </w:r>
      <w:r w:rsidRPr="002C05E0">
        <w:fldChar w:fldCharType="begin"/>
      </w:r>
      <w:r w:rsidRPr="002C05E0">
        <w:rPr>
          <w:b/>
        </w:rPr>
        <w:instrText>xe "Net mass"</w:instrText>
      </w:r>
      <w:r w:rsidRPr="002C05E0">
        <w:fldChar w:fldCharType="end"/>
      </w:r>
      <w:r w:rsidRPr="002C05E0">
        <w:fldChar w:fldCharType="begin"/>
      </w:r>
      <w:r w:rsidRPr="002C05E0">
        <w:rPr>
          <w:b/>
        </w:rPr>
        <w:instrText>xe "Net weight"</w:instrText>
      </w:r>
      <w:r w:rsidRPr="002C05E0">
        <w:fldChar w:fldCharType="end"/>
      </w:r>
      <w:r w:rsidRPr="002C05E0">
        <w:t xml:space="preserve"> – When stating the net quantity of contents in terms of weight a quantity declaration may stand alone [e.g., “200 g (7 oz)” or “1 lb (453 g)”] or may include the term “net mass” or “net weight” either preceding or following the declaration.  The term “net” by itself may be used on food labels.  However, the quantity of </w:t>
      </w:r>
      <w:proofErr w:type="gramStart"/>
      <w:r w:rsidRPr="002C05E0">
        <w:t>contents</w:t>
      </w:r>
      <w:proofErr w:type="gramEnd"/>
      <w:r w:rsidRPr="002C05E0">
        <w:t xml:space="preserve"> shall always </w:t>
      </w:r>
      <w:proofErr w:type="gramStart"/>
      <w:r w:rsidRPr="002C05E0">
        <w:t>declare</w:t>
      </w:r>
      <w:proofErr w:type="gramEnd"/>
      <w:r w:rsidRPr="002C05E0">
        <w:t xml:space="preserve"> the net quantity of contents even when such terms are not used.</w:t>
      </w:r>
      <w:bookmarkEnd w:id="33"/>
      <w:bookmarkEnd w:id="34"/>
      <w:bookmarkEnd w:id="35"/>
    </w:p>
    <w:p w14:paraId="3E93FD01" w14:textId="77777777" w:rsidR="002C05E0" w:rsidRPr="002C05E0" w:rsidRDefault="002C05E0" w:rsidP="002C05E0">
      <w:pPr>
        <w:ind w:left="360"/>
      </w:pPr>
      <w:r w:rsidRPr="002C05E0">
        <w:t>(Amended 1993)</w:t>
      </w:r>
    </w:p>
    <w:p w14:paraId="4E5DD74B" w14:textId="77777777" w:rsidR="002C05E0" w:rsidRPr="002C05E0" w:rsidRDefault="002C05E0" w:rsidP="002C05E0">
      <w:pPr>
        <w:ind w:left="360"/>
        <w:rPr>
          <w:b/>
          <w:bCs/>
          <w:iCs/>
          <w:vanish/>
          <w:specVanish/>
        </w:rPr>
      </w:pPr>
      <w:bookmarkStart w:id="36" w:name="_Toc178161995"/>
      <w:bookmarkStart w:id="37" w:name="_Toc523833973"/>
      <w:bookmarkStart w:id="38" w:name="_Toc523840469"/>
      <w:bookmarkStart w:id="39" w:name="_Toc173408647"/>
      <w:bookmarkStart w:id="40" w:name="_Toc173472714"/>
      <w:bookmarkStart w:id="41" w:name="_Toc173770937"/>
      <w:r w:rsidRPr="002C05E0">
        <w:rPr>
          <w:b/>
          <w:bCs/>
        </w:rPr>
        <w:t>6.3.2.</w:t>
      </w:r>
      <w:r w:rsidRPr="002C05E0">
        <w:rPr>
          <w:b/>
          <w:bCs/>
        </w:rPr>
        <w:t> </w:t>
      </w:r>
      <w:r w:rsidRPr="002C05E0">
        <w:rPr>
          <w:b/>
          <w:bCs/>
        </w:rPr>
        <w:t>Use of “Net Contents”.</w:t>
      </w:r>
      <w:bookmarkEnd w:id="36"/>
    </w:p>
    <w:p w14:paraId="0119407A" w14:textId="77777777" w:rsidR="002C05E0" w:rsidRPr="002C05E0" w:rsidRDefault="002C05E0" w:rsidP="002C05E0">
      <w:pPr>
        <w:spacing w:after="0"/>
        <w:ind w:left="360"/>
        <w:rPr>
          <w:b/>
          <w:iCs/>
        </w:rPr>
      </w:pPr>
      <w:r w:rsidRPr="002C05E0">
        <w:t xml:space="preserve">  – When stating the net quantity of contents in terms of fluid measure or numerical count, a quantity declaration may stand alone [e.g., “177 mL (6 </w:t>
      </w:r>
      <w:proofErr w:type="spellStart"/>
      <w:r w:rsidRPr="002C05E0">
        <w:t>fl</w:t>
      </w:r>
      <w:proofErr w:type="spellEnd"/>
      <w:r w:rsidRPr="002C05E0">
        <w:t xml:space="preserve"> oz)”] or may include the term “net” or “net contents” either preceding or following the declaration.</w:t>
      </w:r>
    </w:p>
    <w:p w14:paraId="40CB2ED5" w14:textId="77777777" w:rsidR="002C05E0" w:rsidRPr="002C05E0" w:rsidRDefault="002C05E0" w:rsidP="002C05E0">
      <w:pPr>
        <w:ind w:left="360"/>
      </w:pPr>
      <w:r w:rsidRPr="002C05E0">
        <w:t>(Amended 2019)</w:t>
      </w:r>
    </w:p>
    <w:p w14:paraId="4DD08928" w14:textId="77777777" w:rsidR="002C05E0" w:rsidRPr="002C05E0" w:rsidRDefault="002C05E0" w:rsidP="002C05E0">
      <w:pPr>
        <w:ind w:left="360"/>
        <w:rPr>
          <w:b/>
          <w:bCs/>
          <w:iCs/>
          <w:vanish/>
          <w:specVanish/>
        </w:rPr>
      </w:pPr>
      <w:bookmarkStart w:id="42" w:name="_Toc178161996"/>
      <w:bookmarkEnd w:id="37"/>
      <w:bookmarkEnd w:id="38"/>
      <w:bookmarkEnd w:id="39"/>
      <w:bookmarkEnd w:id="40"/>
      <w:bookmarkEnd w:id="41"/>
      <w:r w:rsidRPr="002C05E0">
        <w:rPr>
          <w:b/>
          <w:bCs/>
        </w:rPr>
        <w:t>6.3.3.</w:t>
      </w:r>
      <w:r w:rsidRPr="002C05E0">
        <w:rPr>
          <w:b/>
          <w:bCs/>
        </w:rPr>
        <w:t> </w:t>
      </w:r>
      <w:r w:rsidRPr="002C05E0">
        <w:rPr>
          <w:b/>
          <w:bCs/>
        </w:rPr>
        <w:t>Lines of Print or Type.</w:t>
      </w:r>
      <w:bookmarkEnd w:id="42"/>
    </w:p>
    <w:p w14:paraId="542A986D" w14:textId="77777777" w:rsidR="002C05E0" w:rsidRPr="002C05E0" w:rsidRDefault="002C05E0" w:rsidP="002C05E0">
      <w:pPr>
        <w:spacing w:after="0"/>
        <w:ind w:left="360"/>
        <w:rPr>
          <w:iCs/>
        </w:rPr>
      </w:pPr>
      <w:r w:rsidRPr="002C05E0">
        <w:rPr>
          <w:b/>
        </w:rPr>
        <w:t xml:space="preserve"> </w:t>
      </w:r>
      <w:r w:rsidRPr="002C05E0">
        <w:t>– A declaration of quantity may appear on one or more lines of print or type.</w:t>
      </w:r>
    </w:p>
    <w:p w14:paraId="6D9B3449" w14:textId="10E19E10" w:rsidR="002C05E0" w:rsidRDefault="002C05E0" w:rsidP="002C05E0">
      <w:pPr>
        <w:ind w:left="360"/>
      </w:pPr>
      <w:r w:rsidRPr="002C05E0">
        <w:t>(Amended 1982</w:t>
      </w:r>
      <w:r>
        <w:t>)</w:t>
      </w:r>
    </w:p>
    <w:p w14:paraId="74D7F369" w14:textId="77777777" w:rsidR="002C05E0" w:rsidRPr="002C05E0" w:rsidRDefault="002C05E0" w:rsidP="002C05E0">
      <w:pPr>
        <w:ind w:left="360"/>
        <w:rPr>
          <w:b/>
          <w:bCs/>
          <w:szCs w:val="20"/>
          <w:u w:val="single"/>
        </w:rPr>
      </w:pPr>
      <w:r w:rsidRPr="002C05E0">
        <w:rPr>
          <w:b/>
          <w:bCs/>
          <w:szCs w:val="20"/>
          <w:u w:val="single"/>
        </w:rPr>
        <w:t xml:space="preserve">6.3.X Dynamic QR Code – </w:t>
      </w:r>
    </w:p>
    <w:p w14:paraId="1BA1F0EB" w14:textId="77777777" w:rsidR="002C05E0" w:rsidRPr="002C05E0" w:rsidRDefault="002C05E0" w:rsidP="002C05E0">
      <w:pPr>
        <w:ind w:left="720"/>
        <w:rPr>
          <w:b/>
          <w:bCs/>
          <w:szCs w:val="20"/>
          <w:u w:val="single"/>
        </w:rPr>
      </w:pPr>
      <w:r w:rsidRPr="002C05E0">
        <w:rPr>
          <w:b/>
          <w:bCs/>
          <w:szCs w:val="20"/>
          <w:u w:val="single"/>
        </w:rPr>
        <w:t>(a) Requirement: All food and beverage consumer packages subject to this regulation shall include a dynamic QR code unique to each production batch on the label. The dynamic QR code shall link to a secure, updatable digital platform providing real-time information on product safety, recall status, and traceability details, compliant with ISO/IEC 18004 standards.</w:t>
      </w:r>
    </w:p>
    <w:p w14:paraId="2EA41EE5" w14:textId="77777777" w:rsidR="002C05E0" w:rsidRPr="002C05E0" w:rsidRDefault="002C05E0" w:rsidP="002C05E0">
      <w:pPr>
        <w:ind w:left="720"/>
        <w:rPr>
          <w:b/>
          <w:bCs/>
          <w:szCs w:val="20"/>
          <w:u w:val="single"/>
        </w:rPr>
      </w:pPr>
      <w:r w:rsidRPr="002C05E0">
        <w:rPr>
          <w:b/>
          <w:bCs/>
          <w:szCs w:val="20"/>
          <w:u w:val="single"/>
        </w:rPr>
        <w:t>(b) Content: The digital platform accessible via the dynamic QR code shall include, at minimum:</w:t>
      </w:r>
    </w:p>
    <w:p w14:paraId="69420185" w14:textId="77777777" w:rsidR="002C05E0" w:rsidRPr="002C05E0" w:rsidRDefault="002C05E0" w:rsidP="007169B6">
      <w:pPr>
        <w:numPr>
          <w:ilvl w:val="0"/>
          <w:numId w:val="55"/>
        </w:numPr>
        <w:tabs>
          <w:tab w:val="clear" w:pos="720"/>
        </w:tabs>
        <w:spacing w:after="160" w:line="278" w:lineRule="auto"/>
        <w:ind w:left="1440"/>
        <w:jc w:val="left"/>
        <w:rPr>
          <w:b/>
          <w:bCs/>
          <w:szCs w:val="20"/>
          <w:u w:val="single"/>
        </w:rPr>
      </w:pPr>
      <w:r w:rsidRPr="002C05E0">
        <w:rPr>
          <w:b/>
          <w:bCs/>
          <w:szCs w:val="20"/>
          <w:u w:val="single"/>
        </w:rPr>
        <w:t>Batch identification number.</w:t>
      </w:r>
    </w:p>
    <w:p w14:paraId="24412C5A" w14:textId="77777777" w:rsidR="002C05E0" w:rsidRPr="002C05E0" w:rsidRDefault="002C05E0" w:rsidP="007169B6">
      <w:pPr>
        <w:numPr>
          <w:ilvl w:val="0"/>
          <w:numId w:val="55"/>
        </w:numPr>
        <w:tabs>
          <w:tab w:val="clear" w:pos="720"/>
        </w:tabs>
        <w:spacing w:after="160" w:line="278" w:lineRule="auto"/>
        <w:ind w:left="1440"/>
        <w:jc w:val="left"/>
        <w:rPr>
          <w:b/>
          <w:bCs/>
          <w:szCs w:val="20"/>
          <w:u w:val="single"/>
        </w:rPr>
      </w:pPr>
      <w:r w:rsidRPr="002C05E0">
        <w:rPr>
          <w:b/>
          <w:bCs/>
          <w:szCs w:val="20"/>
          <w:u w:val="single"/>
        </w:rPr>
        <w:lastRenderedPageBreak/>
        <w:t>Production and expiration dates.</w:t>
      </w:r>
    </w:p>
    <w:p w14:paraId="734F34C9" w14:textId="77777777" w:rsidR="002C05E0" w:rsidRPr="002C05E0" w:rsidRDefault="002C05E0" w:rsidP="007169B6">
      <w:pPr>
        <w:numPr>
          <w:ilvl w:val="0"/>
          <w:numId w:val="55"/>
        </w:numPr>
        <w:tabs>
          <w:tab w:val="clear" w:pos="720"/>
        </w:tabs>
        <w:spacing w:after="160" w:line="278" w:lineRule="auto"/>
        <w:ind w:left="1440"/>
        <w:jc w:val="left"/>
        <w:rPr>
          <w:b/>
          <w:bCs/>
          <w:szCs w:val="20"/>
          <w:u w:val="single"/>
        </w:rPr>
      </w:pPr>
      <w:proofErr w:type="gramStart"/>
      <w:r w:rsidRPr="002C05E0">
        <w:rPr>
          <w:b/>
          <w:bCs/>
          <w:szCs w:val="20"/>
          <w:u w:val="single"/>
        </w:rPr>
        <w:t>Recall</w:t>
      </w:r>
      <w:proofErr w:type="gramEnd"/>
      <w:r w:rsidRPr="002C05E0">
        <w:rPr>
          <w:b/>
          <w:bCs/>
          <w:szCs w:val="20"/>
          <w:u w:val="single"/>
        </w:rPr>
        <w:t xml:space="preserve"> status, if applicable, including details of any safety alerts or corrective actions specific to food safety (e.g., contamination, allergen mislabeling).</w:t>
      </w:r>
    </w:p>
    <w:p w14:paraId="40A8F6C9" w14:textId="77777777" w:rsidR="002C05E0" w:rsidRPr="002C05E0" w:rsidRDefault="002C05E0" w:rsidP="007169B6">
      <w:pPr>
        <w:numPr>
          <w:ilvl w:val="0"/>
          <w:numId w:val="55"/>
        </w:numPr>
        <w:tabs>
          <w:tab w:val="clear" w:pos="720"/>
        </w:tabs>
        <w:spacing w:after="160" w:line="278" w:lineRule="auto"/>
        <w:ind w:left="1440"/>
        <w:jc w:val="left"/>
        <w:rPr>
          <w:b/>
          <w:bCs/>
          <w:szCs w:val="20"/>
          <w:u w:val="single"/>
        </w:rPr>
      </w:pPr>
      <w:r w:rsidRPr="002C05E0">
        <w:rPr>
          <w:b/>
          <w:bCs/>
          <w:szCs w:val="20"/>
          <w:u w:val="single"/>
        </w:rPr>
        <w:t>Contact information for the manufacturer or responsible entity.</w:t>
      </w:r>
    </w:p>
    <w:p w14:paraId="2D1048EC" w14:textId="77777777" w:rsidR="002C05E0" w:rsidRPr="002C05E0" w:rsidRDefault="002C05E0" w:rsidP="007169B6">
      <w:pPr>
        <w:numPr>
          <w:ilvl w:val="0"/>
          <w:numId w:val="55"/>
        </w:numPr>
        <w:tabs>
          <w:tab w:val="clear" w:pos="720"/>
        </w:tabs>
        <w:spacing w:after="160" w:line="278" w:lineRule="auto"/>
        <w:ind w:left="1440"/>
        <w:jc w:val="left"/>
        <w:rPr>
          <w:b/>
          <w:bCs/>
          <w:szCs w:val="20"/>
          <w:u w:val="single"/>
        </w:rPr>
      </w:pPr>
      <w:r w:rsidRPr="002C05E0">
        <w:rPr>
          <w:b/>
          <w:bCs/>
          <w:szCs w:val="20"/>
          <w:u w:val="single"/>
        </w:rPr>
        <w:t xml:space="preserve">Traceability data, such as the source of ingredients or production facility, </w:t>
      </w:r>
      <w:proofErr w:type="gramStart"/>
      <w:r w:rsidRPr="002C05E0">
        <w:rPr>
          <w:b/>
          <w:bCs/>
          <w:szCs w:val="20"/>
          <w:u w:val="single"/>
        </w:rPr>
        <w:t>where</w:t>
      </w:r>
      <w:proofErr w:type="gramEnd"/>
      <w:r w:rsidRPr="002C05E0">
        <w:rPr>
          <w:b/>
          <w:bCs/>
          <w:szCs w:val="20"/>
          <w:u w:val="single"/>
        </w:rPr>
        <w:t xml:space="preserve"> relevant to food safety.</w:t>
      </w:r>
    </w:p>
    <w:p w14:paraId="64CA5FA5" w14:textId="77777777" w:rsidR="002C05E0" w:rsidRPr="002C05E0" w:rsidRDefault="002C05E0" w:rsidP="002C05E0">
      <w:pPr>
        <w:ind w:left="720"/>
        <w:rPr>
          <w:b/>
          <w:bCs/>
          <w:szCs w:val="20"/>
          <w:u w:val="single"/>
        </w:rPr>
      </w:pPr>
      <w:r w:rsidRPr="002C05E0">
        <w:rPr>
          <w:b/>
          <w:bCs/>
          <w:szCs w:val="20"/>
          <w:u w:val="single"/>
        </w:rPr>
        <w:t>(c) Accessibility: To ensure inclusivity, food and beverage packages shall also display the batch identification number in human-readable form and provide a toll-free telephone number or website URL as alternative methods to access the information specified in paragraph (b).</w:t>
      </w:r>
    </w:p>
    <w:p w14:paraId="42C43BF2" w14:textId="77777777" w:rsidR="002C05E0" w:rsidRPr="002C05E0" w:rsidRDefault="002C05E0" w:rsidP="002C05E0">
      <w:pPr>
        <w:ind w:left="720"/>
        <w:rPr>
          <w:b/>
          <w:bCs/>
          <w:szCs w:val="20"/>
          <w:u w:val="single"/>
        </w:rPr>
      </w:pPr>
      <w:r w:rsidRPr="002C05E0">
        <w:rPr>
          <w:b/>
          <w:bCs/>
          <w:szCs w:val="20"/>
          <w:u w:val="single"/>
        </w:rPr>
        <w:t>(d) Security: Dynamic QR codes shall incorporate encrypted links and cryptographic signatures to prevent unauthorized access, tampering, or fraudulent redirects, adhering to industry-standard cybersecurity protocols.</w:t>
      </w:r>
    </w:p>
    <w:p w14:paraId="7D3C882E" w14:textId="77777777" w:rsidR="002C05E0" w:rsidRPr="002C05E0" w:rsidRDefault="002C05E0" w:rsidP="002C05E0">
      <w:pPr>
        <w:ind w:left="720"/>
        <w:rPr>
          <w:b/>
          <w:bCs/>
          <w:szCs w:val="20"/>
          <w:u w:val="single"/>
        </w:rPr>
      </w:pPr>
      <w:r w:rsidRPr="002C05E0">
        <w:rPr>
          <w:b/>
          <w:bCs/>
          <w:szCs w:val="20"/>
          <w:u w:val="single"/>
        </w:rPr>
        <w:t>(e) Implementation: This requirement shall apply to all food and beverage consumer packages produced on or after January 1, 2027, to allow sufficient time for manufacturers to adapt labeling processes and establish digital infrastructure.</w:t>
      </w:r>
    </w:p>
    <w:p w14:paraId="64179467" w14:textId="55EB730B" w:rsidR="002C05E0" w:rsidRPr="002C05E0" w:rsidRDefault="002C05E0" w:rsidP="002C05E0">
      <w:pPr>
        <w:ind w:left="720"/>
        <w:rPr>
          <w:b/>
          <w:bCs/>
        </w:rPr>
      </w:pPr>
      <w:r w:rsidRPr="002C05E0">
        <w:rPr>
          <w:b/>
          <w:bCs/>
          <w:szCs w:val="20"/>
          <w:u w:val="single"/>
        </w:rPr>
        <w:t xml:space="preserve">(f) Exemptions: Food and beverage consumer packages exempt from this requirement include those with a net weight or volume less than 10 grams or 10 milliliters, or as otherwise determined by the National </w:t>
      </w:r>
      <w:r w:rsidRPr="00503B33">
        <w:rPr>
          <w:b/>
          <w:bCs/>
          <w:szCs w:val="20"/>
          <w:u w:val="single"/>
        </w:rPr>
        <w:t>Co</w:t>
      </w:r>
      <w:r w:rsidR="006E03A8">
        <w:rPr>
          <w:b/>
          <w:bCs/>
          <w:szCs w:val="20"/>
          <w:u w:val="single"/>
        </w:rPr>
        <w:t xml:space="preserve">uncil </w:t>
      </w:r>
      <w:r w:rsidRPr="002C05E0">
        <w:rPr>
          <w:b/>
          <w:bCs/>
          <w:szCs w:val="20"/>
          <w:u w:val="single"/>
        </w:rPr>
        <w:t>on Weights and Measures, where labeling space constraints render compliance impractical.</w:t>
      </w:r>
    </w:p>
    <w:p w14:paraId="4FDCD6BC" w14:textId="77777777" w:rsidR="002C05E0" w:rsidRDefault="002C05E0" w:rsidP="002C05E0">
      <w:pPr>
        <w:keepNext/>
        <w:spacing w:after="0"/>
      </w:pPr>
      <w:r w:rsidRPr="00E025F9">
        <w:rPr>
          <w:b/>
        </w:rPr>
        <w:t xml:space="preserve">Previous </w:t>
      </w:r>
      <w:r>
        <w:rPr>
          <w:b/>
        </w:rPr>
        <w:t>Status</w:t>
      </w:r>
      <w:r w:rsidRPr="00E025F9">
        <w:rPr>
          <w:b/>
        </w:rPr>
        <w:t>:</w:t>
      </w:r>
    </w:p>
    <w:p w14:paraId="24CA2ADE" w14:textId="600B8579" w:rsidR="002C05E0" w:rsidRDefault="002C05E0" w:rsidP="0022672C">
      <w:r>
        <w:t xml:space="preserve">New Proposal </w:t>
      </w:r>
    </w:p>
    <w:p w14:paraId="7ADB553F" w14:textId="77777777" w:rsidR="002C05E0" w:rsidRPr="00AB010B" w:rsidRDefault="002C05E0" w:rsidP="002C05E0">
      <w:pPr>
        <w:keepNext/>
        <w:spacing w:after="0"/>
        <w:rPr>
          <w:b/>
        </w:rPr>
      </w:pPr>
      <w:r w:rsidRPr="00AB010B">
        <w:rPr>
          <w:b/>
        </w:rPr>
        <w:t>Original Justification:</w:t>
      </w:r>
    </w:p>
    <w:p w14:paraId="4B62407B" w14:textId="07898AC2" w:rsidR="002C05E0" w:rsidRPr="00C36659" w:rsidRDefault="002C05E0" w:rsidP="00C36659">
      <w:r w:rsidRPr="00C36659">
        <w:t>Current labeling practices often use generic information that does not distinguish between batches, complicating recalls and exposing consumers to unnecessary dangers. Dynamic QR codes per batch provide a secure, updatable mechanism for tracking products from production to consumption, enabling swift, targeted recalls for specific batches (e.g., due to contamination or mislabeling). This approach reduces the scope of recalls, prevents widespread panic, minimizes economic losses, and empowers consumers with instant access to safety information via their smartphones, fostering greater trust and protection. Nationally, this addresses inconsistencies in recall efficiency across states and aligns with federal initiatives for food safety and traceability, such as those from the FDA.</w:t>
      </w:r>
    </w:p>
    <w:p w14:paraId="1730B34F" w14:textId="0190E76B" w:rsidR="002C05E0" w:rsidRPr="00C36659" w:rsidRDefault="002C05E0" w:rsidP="00C36659">
      <w:r w:rsidRPr="00C36659">
        <w:t>Concern: Mandating dynamic QR codes increases costs for manufacturers, especially small businesses, due to labeling and database maintenance expenses.</w:t>
      </w:r>
    </w:p>
    <w:p w14:paraId="425B9931" w14:textId="77777777" w:rsidR="002C05E0" w:rsidRPr="00C36659" w:rsidRDefault="002C05E0" w:rsidP="00C36659">
      <w:r w:rsidRPr="00C36659">
        <w:t>Rebuttal: Many food and beverage products already include voluntary QR codes, so switching to dynamic QR codes is a simple change that leverages existing infrastructure. Affordable platforms exist for about $50/month.</w:t>
      </w:r>
    </w:p>
    <w:p w14:paraId="4F10CF2E" w14:textId="77777777" w:rsidR="002C05E0" w:rsidRPr="00C36659" w:rsidRDefault="002C05E0" w:rsidP="00C36659">
      <w:r w:rsidRPr="00C36659">
        <w:t>Concern: Consumers without smartphones or internet access may be unable to scan QR codes, limiting accessibility.</w:t>
      </w:r>
    </w:p>
    <w:p w14:paraId="52E90482" w14:textId="77777777" w:rsidR="002C05E0" w:rsidRPr="00C36659" w:rsidRDefault="002C05E0" w:rsidP="00C36659">
      <w:r w:rsidRPr="00C36659">
        <w:t>Rebuttal: Voluntary QR codes are already common, and dynamic QR codes can include printed batch numbers or toll-free lines as alternatives, ensuring inclusivity while improving safety.</w:t>
      </w:r>
    </w:p>
    <w:p w14:paraId="505EBF2D" w14:textId="77777777" w:rsidR="002C05E0" w:rsidRPr="00C36659" w:rsidRDefault="002C05E0" w:rsidP="00C36659">
      <w:r w:rsidRPr="00C36659">
        <w:t>Concern: Dynamic QR codes are vulnerable to hacking, risking consumer data or fraudulent redirects.</w:t>
      </w:r>
    </w:p>
    <w:p w14:paraId="5DD8F3EB" w14:textId="77777777" w:rsidR="002C05E0" w:rsidRPr="00C36659" w:rsidRDefault="002C05E0" w:rsidP="00C36659">
      <w:r w:rsidRPr="00C36659">
        <w:t>Rebuttal: Many food and beverage products use voluntary QR codes securely; dynamic QR codes with ISO/IEC 18004 standards and encrypted links enhance safety, with audits preventing cyber risks.</w:t>
      </w:r>
    </w:p>
    <w:p w14:paraId="67125EA7" w14:textId="77777777" w:rsidR="002C05E0" w:rsidRPr="00C36659" w:rsidRDefault="002C05E0" w:rsidP="00C36659">
      <w:r w:rsidRPr="00C36659">
        <w:lastRenderedPageBreak/>
        <w:t>Concern: Adding dynamic QR codes complicates labeling, potentially confusing consumers or cluttering packaging.</w:t>
      </w:r>
    </w:p>
    <w:p w14:paraId="46C6162B" w14:textId="77777777" w:rsidR="002C05E0" w:rsidRPr="00C36659" w:rsidRDefault="002C05E0" w:rsidP="00C36659">
      <w:r w:rsidRPr="00C36659">
        <w:t>Rebuttal: Since many food and beverage products already feature voluntary QR codes, switching to dynamic ones is a minor adjustment that integrates seamlessly, enhancing safety with clear instructions.</w:t>
      </w:r>
    </w:p>
    <w:p w14:paraId="384D3FDF" w14:textId="77777777" w:rsidR="002C05E0" w:rsidRPr="00C36659" w:rsidRDefault="002C05E0" w:rsidP="00C36659">
      <w:r w:rsidRPr="00C36659">
        <w:t xml:space="preserve">Concern: Small manufacturers lack expertise </w:t>
      </w:r>
      <w:proofErr w:type="gramStart"/>
      <w:r w:rsidRPr="00C36659">
        <w:t>to implement</w:t>
      </w:r>
      <w:proofErr w:type="gramEnd"/>
      <w:r w:rsidRPr="00C36659">
        <w:t xml:space="preserve"> dynamic QR code systems.</w:t>
      </w:r>
    </w:p>
    <w:p w14:paraId="06981619" w14:textId="77777777" w:rsidR="002C05E0" w:rsidRPr="00C36659" w:rsidRDefault="002C05E0" w:rsidP="00C36659">
      <w:r w:rsidRPr="00C36659">
        <w:t>Rebuttal: Voluntary QR codes are already widely used; transitioning to dynamic codes is straightforward with user-friendly platforms and NCWM support, boosting consumer safety.</w:t>
      </w:r>
    </w:p>
    <w:p w14:paraId="13946685" w14:textId="77777777" w:rsidR="002C05E0" w:rsidRPr="00C36659" w:rsidRDefault="002C05E0" w:rsidP="00C36659">
      <w:r w:rsidRPr="00C36659">
        <w:t>Concern: QR code scanning may fail in areas with poor internet, hindering safety information access.</w:t>
      </w:r>
    </w:p>
    <w:p w14:paraId="3F2DC0F3" w14:textId="3A70EBD4" w:rsidR="002C05E0" w:rsidRPr="00C36659" w:rsidRDefault="002C05E0" w:rsidP="00C36659">
      <w:r w:rsidRPr="00C36659">
        <w:t xml:space="preserve">Rebuttal: Many food and beverage products use voluntary QR codes effectively; dynamic codes can include </w:t>
      </w:r>
      <w:r w:rsidR="002C0774" w:rsidRPr="00C36659">
        <w:t>offline</w:t>
      </w:r>
      <w:r w:rsidRPr="00C36659">
        <w:t>-readable data, and infrastructure improvements ensure broader safety benefits.</w:t>
      </w:r>
    </w:p>
    <w:p w14:paraId="595012CD" w14:textId="77777777" w:rsidR="002C05E0" w:rsidRPr="00C36659" w:rsidRDefault="002C05E0" w:rsidP="00C36659">
      <w:r w:rsidRPr="00C36659">
        <w:t>Concern: Mandating QR codes may reduce reliance on traditional safety communication methods.</w:t>
      </w:r>
    </w:p>
    <w:p w14:paraId="6FEE2B38" w14:textId="77777777" w:rsidR="002C05E0" w:rsidRPr="00C36659" w:rsidRDefault="002C05E0" w:rsidP="00C36659">
      <w:r w:rsidRPr="00C36659">
        <w:t>Rebuttal: Voluntary QR codes already complement labels; dynamic QR codes enhance this system, providing batch-specific safety data without replacing existing disclosures/</w:t>
      </w:r>
    </w:p>
    <w:p w14:paraId="1EFD0100" w14:textId="77777777" w:rsidR="002C05E0" w:rsidRPr="00C36659" w:rsidRDefault="002C05E0" w:rsidP="00C36659">
      <w:r w:rsidRPr="00C36659">
        <w:t>Concern: Maintaining dynamic QR code databases is resource-intensive for manufacturers and regulators.</w:t>
      </w:r>
    </w:p>
    <w:p w14:paraId="32378163" w14:textId="3A250074" w:rsidR="002C05E0" w:rsidRPr="00C36659" w:rsidRDefault="002C05E0" w:rsidP="00C36659">
      <w:r w:rsidRPr="00C36659">
        <w:t>Rebuttal: Many food and beverage products already manage voluntary QR code databases; dynamic systems use scalable cloud solutions, simplifying the shift for enhanced recall safety.</w:t>
      </w:r>
    </w:p>
    <w:p w14:paraId="166B7055" w14:textId="77777777" w:rsidR="002C05E0" w:rsidRPr="00C36659" w:rsidRDefault="002C05E0" w:rsidP="00C36659">
      <w:r w:rsidRPr="00C36659">
        <w:t xml:space="preserve">Concern: Consumers may distrust QR </w:t>
      </w:r>
      <w:proofErr w:type="gramStart"/>
      <w:r w:rsidRPr="00C36659">
        <w:t>codes</w:t>
      </w:r>
      <w:proofErr w:type="gramEnd"/>
      <w:r w:rsidRPr="00C36659">
        <w:t xml:space="preserve"> due to privacy concerns, reducing adoption.</w:t>
      </w:r>
    </w:p>
    <w:p w14:paraId="6A6A18F0" w14:textId="77777777" w:rsidR="002C05E0" w:rsidRPr="00C36659" w:rsidRDefault="002C05E0" w:rsidP="00C36659">
      <w:r w:rsidRPr="00C36659">
        <w:t>Rebuttal: Voluntary QR codes are widely accepted; dynamic codes with transparent, anonymized data policies build trust, improving safety through better recall access.</w:t>
      </w:r>
    </w:p>
    <w:p w14:paraId="52957125" w14:textId="388F3ED4" w:rsidR="002C05E0" w:rsidRPr="00C36659" w:rsidRDefault="002C05E0" w:rsidP="00C36659">
      <w:r w:rsidRPr="00C36659">
        <w:t>Concern: Small retailers may struggle to verify dynamic QR code compliance, increasing burden.</w:t>
      </w:r>
    </w:p>
    <w:p w14:paraId="4A227700" w14:textId="77777777" w:rsidR="002C05E0" w:rsidRPr="00C36659" w:rsidRDefault="002C05E0" w:rsidP="00C36659">
      <w:r w:rsidRPr="00C36659">
        <w:t>Rebuttal: With voluntary QR codes already in use, dynamic codes are a simple upgrade, and NCWM guidelines can streamline retailer verification for safety compliance.</w:t>
      </w:r>
    </w:p>
    <w:p w14:paraId="273C1DAF" w14:textId="77777777" w:rsidR="002C05E0" w:rsidRPr="00C36659" w:rsidRDefault="002C05E0" w:rsidP="00C36659">
      <w:r w:rsidRPr="00C36659">
        <w:t>Concern: Dynamic QR codes could be counterfeited, leading to fraudulent recalls or misinformation.</w:t>
      </w:r>
    </w:p>
    <w:p w14:paraId="484B7E84" w14:textId="77777777" w:rsidR="002C05E0" w:rsidRPr="00C36659" w:rsidRDefault="002C05E0" w:rsidP="00C36659">
      <w:r w:rsidRPr="00C36659">
        <w:t>Rebuttal: Voluntary QR codes already exist securely; dynamic codes with cryptographic signatures ensure authenticity, enhancing consumer safety and recall precision.</w:t>
      </w:r>
    </w:p>
    <w:p w14:paraId="134173C9" w14:textId="77777777" w:rsidR="002C05E0" w:rsidRPr="00C36659" w:rsidRDefault="002C05E0" w:rsidP="00C36659">
      <w:r w:rsidRPr="00C36659">
        <w:t>Concern: Industry may resist QR code mandates, prioritizing cost over safety.</w:t>
      </w:r>
    </w:p>
    <w:p w14:paraId="510393BA" w14:textId="77777777" w:rsidR="002C05E0" w:rsidRPr="00C36659" w:rsidRDefault="002C05E0" w:rsidP="00C36659">
      <w:r w:rsidRPr="00C36659">
        <w:t>Rebuttal: Many food and beverage products already use voluntary QR codes, so dynamic codes are a low-cost shift that reduces recall costs and boosts consumer safety, aligning with industry goals.</w:t>
      </w:r>
    </w:p>
    <w:p w14:paraId="114718C5" w14:textId="77777777" w:rsidR="002C05E0" w:rsidRPr="00C36659" w:rsidRDefault="002C05E0" w:rsidP="00C36659">
      <w:r w:rsidRPr="00C36659">
        <w:t>Concern: QR code mandates may delay product launches due to compliance timelines.</w:t>
      </w:r>
    </w:p>
    <w:p w14:paraId="6F8DFB01" w14:textId="77777777" w:rsidR="002C05E0" w:rsidRPr="00C36659" w:rsidRDefault="002C05E0" w:rsidP="00C36659">
      <w:r w:rsidRPr="00C36659">
        <w:t>Rebuttal: Voluntary QR codes are common; transitioning to dynamic codes by January 1, 2027, is a simple change that aligns with existing processes, prioritizing safety.</w:t>
      </w:r>
    </w:p>
    <w:p w14:paraId="1C336CB7" w14:textId="77777777" w:rsidR="009D6B6D" w:rsidRDefault="002C05E0" w:rsidP="00C36659">
      <w:r w:rsidRPr="00C36659">
        <w:t xml:space="preserve">Concern: Not all consumers will scan QR codes, limiting safety benefits. </w:t>
      </w:r>
    </w:p>
    <w:p w14:paraId="34E35378" w14:textId="10EE2CA5" w:rsidR="002C05E0" w:rsidRPr="00C36659" w:rsidRDefault="002C05E0" w:rsidP="00C36659">
      <w:r w:rsidRPr="00C36659">
        <w:t xml:space="preserve">Rebuttal: Voluntary QR codes are already scanned by many; dynamic codes enhance safety for those who use them, complementing traditional labels for broader impact. Batch </w:t>
      </w:r>
      <w:proofErr w:type="gramStart"/>
      <w:r w:rsidRPr="00C36659">
        <w:t>number</w:t>
      </w:r>
      <w:proofErr w:type="gramEnd"/>
      <w:r w:rsidRPr="00C36659">
        <w:t xml:space="preserve"> can be looked up on </w:t>
      </w:r>
      <w:proofErr w:type="spellStart"/>
      <w:r w:rsidRPr="00C36659">
        <w:t>mfgr</w:t>
      </w:r>
      <w:proofErr w:type="spellEnd"/>
      <w:r w:rsidRPr="00C36659">
        <w:t xml:space="preserve"> website.</w:t>
      </w:r>
    </w:p>
    <w:p w14:paraId="1005F10C" w14:textId="77777777" w:rsidR="002C05E0" w:rsidRPr="00C36659" w:rsidRDefault="002C05E0" w:rsidP="00C36659">
      <w:r w:rsidRPr="00C36659">
        <w:lastRenderedPageBreak/>
        <w:t>Concern: QR codes may not integrate with existing recall processes, causing inefficiencies.</w:t>
      </w:r>
    </w:p>
    <w:p w14:paraId="4EFD13A7" w14:textId="77777777" w:rsidR="002C05E0" w:rsidRPr="00C36659" w:rsidRDefault="002C05E0" w:rsidP="00C36659">
      <w:r w:rsidRPr="00C36659">
        <w:t>Rebuttal: Many food and beverage products use voluntary QR codes; dynamic codes align with FDA/USDA protocols, simplifying recalls and improving consumer safety outcomes.</w:t>
      </w:r>
    </w:p>
    <w:p w14:paraId="5DE7D3A5" w14:textId="77777777" w:rsidR="002C05E0" w:rsidRPr="00C36659" w:rsidRDefault="002C05E0" w:rsidP="00C36659">
      <w:r w:rsidRPr="00C36659">
        <w:t>Concern: Mandating dynamic QR codes for batch-specific traceability on food and beverage package labels is a regulatory action that falls under the FDA’s jurisdiction, as the FDA oversees food safety and labeling requirements under the Federal Food, Drug, and Cosmetic Act and the Food Safety Modernization Act. The NCWM’s role is limited to weights and measures, and imposing QR code requirements exceeds its authority, potentially creating overlapping or conflicting federal and state regulations.</w:t>
      </w:r>
    </w:p>
    <w:p w14:paraId="18BA8A78" w14:textId="45EA6FA6" w:rsidR="002C05E0" w:rsidRPr="00C36659" w:rsidRDefault="002C05E0" w:rsidP="00C36659">
      <w:r w:rsidRPr="00C36659">
        <w:t>Rebuttal: The NCWM has clear authority under NIST Handbook 130 to establish uniform labeling standards for consumer commodities, including food and beverage products, to ensure accurate and consumer-relevant information, as seen in existing regulations like Section 6. The proposed dynamic QR code requirement complements FDA regulations, such as FSMA’s traceability provisions, by providing a state-level mechanism to enhance recall precision and consumer safety without conflicting with federal rules. The NCWM’s focus on batch-specific labeling aligns with its mission to standardize packaging information, and coordination with FDA guidelines (e.g., ISO/IEC 18004 standards for QR codes) ensures harmony. States adopting this amendment can implement it as part of their weights and measures programs, which already regulate food labeling, thereby supporting rather than duplicating FDA efforts.</w:t>
      </w:r>
    </w:p>
    <w:p w14:paraId="5AAF1E64" w14:textId="6D83792B" w:rsidR="002C05E0" w:rsidRPr="00C36659" w:rsidRDefault="002C05E0" w:rsidP="00C36659">
      <w:r w:rsidRPr="00C36659">
        <w:t>The submitter requested Voting status in 2026.</w:t>
      </w:r>
    </w:p>
    <w:p w14:paraId="13508C6C" w14:textId="77777777" w:rsidR="002C05E0" w:rsidRPr="002A7C3B" w:rsidRDefault="002C05E0" w:rsidP="002C05E0">
      <w:pPr>
        <w:keepNext/>
        <w:rPr>
          <w:b/>
        </w:rPr>
      </w:pPr>
      <w:r>
        <w:rPr>
          <w:b/>
        </w:rPr>
        <w:t>Comments</w:t>
      </w:r>
      <w:r w:rsidRPr="002A7C3B">
        <w:rPr>
          <w:b/>
        </w:rPr>
        <w:t xml:space="preserve"> in Favor:</w:t>
      </w:r>
    </w:p>
    <w:p w14:paraId="1427C7A1" w14:textId="44A93EF8" w:rsidR="002C05E0" w:rsidRPr="002A7C3B" w:rsidRDefault="0042639E" w:rsidP="002C05E0">
      <w:pPr>
        <w:keepNext/>
        <w:spacing w:after="0"/>
        <w:ind w:left="720"/>
        <w:rPr>
          <w:b/>
        </w:rPr>
      </w:pPr>
      <w:r>
        <w:rPr>
          <w:b/>
        </w:rPr>
        <w:t>Weights and Measures Officials</w:t>
      </w:r>
      <w:r w:rsidR="002C05E0" w:rsidRPr="002A7C3B">
        <w:rPr>
          <w:b/>
        </w:rPr>
        <w:t>:</w:t>
      </w:r>
    </w:p>
    <w:p w14:paraId="55222E66" w14:textId="6A197DEA" w:rsidR="002C05E0" w:rsidRPr="002A7C3B" w:rsidRDefault="001B3709" w:rsidP="002C05E0">
      <w:pPr>
        <w:pStyle w:val="ListParagraph"/>
        <w:numPr>
          <w:ilvl w:val="0"/>
          <w:numId w:val="26"/>
        </w:numPr>
        <w:spacing w:after="0" w:line="259" w:lineRule="auto"/>
        <w:contextualSpacing/>
        <w:jc w:val="left"/>
      </w:pPr>
      <w:r>
        <w:t>N</w:t>
      </w:r>
      <w:r w:rsidR="00BE4A00">
        <w:t>one</w:t>
      </w:r>
    </w:p>
    <w:p w14:paraId="1B5AE0C4" w14:textId="77777777" w:rsidR="002C05E0" w:rsidRPr="002A7C3B" w:rsidRDefault="002C05E0" w:rsidP="002C05E0">
      <w:pPr>
        <w:spacing w:before="240" w:after="0"/>
        <w:ind w:left="720"/>
        <w:rPr>
          <w:b/>
        </w:rPr>
      </w:pPr>
      <w:r w:rsidRPr="002A7C3B">
        <w:rPr>
          <w:b/>
        </w:rPr>
        <w:t>Industry:</w:t>
      </w:r>
    </w:p>
    <w:p w14:paraId="086D6D4A" w14:textId="34765E7C" w:rsidR="002C05E0" w:rsidRPr="002A7C3B" w:rsidRDefault="00BE4A00" w:rsidP="002C05E0">
      <w:pPr>
        <w:pStyle w:val="ListParagraph"/>
        <w:numPr>
          <w:ilvl w:val="0"/>
          <w:numId w:val="26"/>
        </w:numPr>
        <w:spacing w:after="0" w:line="259" w:lineRule="auto"/>
        <w:contextualSpacing/>
        <w:jc w:val="left"/>
      </w:pPr>
      <w:r>
        <w:t>None</w:t>
      </w:r>
    </w:p>
    <w:p w14:paraId="69065831" w14:textId="77777777" w:rsidR="002C05E0" w:rsidRPr="002A7C3B" w:rsidRDefault="002C05E0" w:rsidP="002C05E0">
      <w:pPr>
        <w:spacing w:before="240" w:after="0"/>
        <w:ind w:left="720"/>
        <w:rPr>
          <w:b/>
        </w:rPr>
      </w:pPr>
      <w:r w:rsidRPr="002A7C3B">
        <w:rPr>
          <w:b/>
        </w:rPr>
        <w:t>Advisory:</w:t>
      </w:r>
    </w:p>
    <w:p w14:paraId="3372455D" w14:textId="0A27F427" w:rsidR="002C05E0" w:rsidRPr="002A7C3B" w:rsidRDefault="00BE4A00" w:rsidP="002C05E0">
      <w:pPr>
        <w:pStyle w:val="ListParagraph"/>
        <w:numPr>
          <w:ilvl w:val="0"/>
          <w:numId w:val="26"/>
        </w:numPr>
        <w:spacing w:after="0" w:line="259" w:lineRule="auto"/>
        <w:contextualSpacing/>
        <w:jc w:val="left"/>
      </w:pPr>
      <w:r>
        <w:t>None</w:t>
      </w:r>
    </w:p>
    <w:p w14:paraId="41DBDA66" w14:textId="77777777" w:rsidR="002C05E0" w:rsidRPr="002A7C3B" w:rsidRDefault="002C05E0" w:rsidP="002C05E0">
      <w:pPr>
        <w:spacing w:before="240"/>
        <w:rPr>
          <w:b/>
        </w:rPr>
      </w:pPr>
      <w:r>
        <w:rPr>
          <w:b/>
        </w:rPr>
        <w:t>Comments</w:t>
      </w:r>
      <w:r w:rsidRPr="002A7C3B">
        <w:rPr>
          <w:b/>
        </w:rPr>
        <w:t xml:space="preserve"> Against:</w:t>
      </w:r>
    </w:p>
    <w:p w14:paraId="2A565E30" w14:textId="2BE17EFF" w:rsidR="002C05E0" w:rsidRPr="002A7C3B" w:rsidRDefault="0042639E" w:rsidP="002C05E0">
      <w:pPr>
        <w:spacing w:after="0"/>
        <w:ind w:left="720"/>
        <w:rPr>
          <w:b/>
        </w:rPr>
      </w:pPr>
      <w:r>
        <w:rPr>
          <w:b/>
        </w:rPr>
        <w:t>Weights and Measures Officials</w:t>
      </w:r>
      <w:r w:rsidR="002C05E0" w:rsidRPr="002A7C3B">
        <w:rPr>
          <w:b/>
        </w:rPr>
        <w:t>:</w:t>
      </w:r>
    </w:p>
    <w:p w14:paraId="4E6816D4" w14:textId="5AAC30B8" w:rsidR="002C05E0" w:rsidRPr="002A7C3B" w:rsidRDefault="00BE4A00" w:rsidP="002C05E0">
      <w:pPr>
        <w:pStyle w:val="ListParagraph"/>
        <w:numPr>
          <w:ilvl w:val="0"/>
          <w:numId w:val="27"/>
        </w:numPr>
        <w:spacing w:after="0" w:line="259" w:lineRule="auto"/>
        <w:contextualSpacing/>
        <w:jc w:val="left"/>
      </w:pPr>
      <w:r w:rsidRPr="001B29F9">
        <w:t xml:space="preserve">Multiple </w:t>
      </w:r>
      <w:r w:rsidR="001B29F9">
        <w:t>w</w:t>
      </w:r>
      <w:r w:rsidRPr="001B29F9">
        <w:t xml:space="preserve">eights and </w:t>
      </w:r>
      <w:r w:rsidR="001B29F9">
        <w:t>m</w:t>
      </w:r>
      <w:r w:rsidR="003723D6" w:rsidRPr="001B29F9">
        <w:t xml:space="preserve">easures </w:t>
      </w:r>
      <w:r w:rsidR="00F3407F" w:rsidRPr="001B29F9">
        <w:t>o</w:t>
      </w:r>
      <w:r w:rsidR="0042639E" w:rsidRPr="001B29F9">
        <w:t>fficial</w:t>
      </w:r>
      <w:r w:rsidRPr="001B29F9">
        <w:t>s</w:t>
      </w:r>
      <w:r>
        <w:t xml:space="preserve"> opposed this item stating it is not a weights and measures issue</w:t>
      </w:r>
      <w:r w:rsidR="007873B9">
        <w:t>,</w:t>
      </w:r>
      <w:r w:rsidR="002F1699">
        <w:t xml:space="preserve"> </w:t>
      </w:r>
      <w:r w:rsidR="00B06058">
        <w:t>that</w:t>
      </w:r>
      <w:r w:rsidR="002F1699">
        <w:t xml:space="preserve"> </w:t>
      </w:r>
      <w:r w:rsidR="00EA4A90">
        <w:t xml:space="preserve">the item addresses </w:t>
      </w:r>
      <w:r w:rsidR="00637BC0">
        <w:t>food safety and publi</w:t>
      </w:r>
      <w:r w:rsidR="00B06058">
        <w:t>c</w:t>
      </w:r>
      <w:r w:rsidR="00637BC0">
        <w:t xml:space="preserve"> health </w:t>
      </w:r>
      <w:r w:rsidR="006D5243">
        <w:t>concerns</w:t>
      </w:r>
      <w:r w:rsidR="00C31F0D">
        <w:t xml:space="preserve"> and</w:t>
      </w:r>
      <w:r w:rsidR="009E3104">
        <w:t xml:space="preserve"> fa</w:t>
      </w:r>
      <w:r w:rsidR="00B06058">
        <w:t>ll</w:t>
      </w:r>
      <w:r w:rsidR="00C31F0D">
        <w:t>s</w:t>
      </w:r>
      <w:r w:rsidR="00B06058">
        <w:t xml:space="preserve"> under federal regulations instead, others </w:t>
      </w:r>
      <w:r w:rsidR="009E5BA8">
        <w:t xml:space="preserve">pointed </w:t>
      </w:r>
      <w:r w:rsidR="00656AF8">
        <w:t xml:space="preserve">fraud concerns </w:t>
      </w:r>
      <w:r w:rsidR="002140F8">
        <w:t>using</w:t>
      </w:r>
      <w:r w:rsidR="00C21D75">
        <w:t xml:space="preserve"> QR codes and </w:t>
      </w:r>
      <w:r w:rsidR="00135A96">
        <w:t xml:space="preserve">questioned </w:t>
      </w:r>
      <w:r w:rsidR="00C21D75">
        <w:t xml:space="preserve">the fact </w:t>
      </w:r>
      <w:r w:rsidR="00F815F1">
        <w:t xml:space="preserve">that </w:t>
      </w:r>
      <w:r w:rsidR="00440E2E">
        <w:t xml:space="preserve">duplicate information </w:t>
      </w:r>
      <w:r w:rsidR="00224DE0">
        <w:t>is</w:t>
      </w:r>
      <w:r w:rsidR="00440E2E">
        <w:t xml:space="preserve"> requested</w:t>
      </w:r>
      <w:r w:rsidR="004D075F">
        <w:t>. In addition</w:t>
      </w:r>
      <w:r w:rsidR="00154399">
        <w:t xml:space="preserve">, </w:t>
      </w:r>
      <w:proofErr w:type="gramStart"/>
      <w:r w:rsidR="00154399">
        <w:t xml:space="preserve">it  </w:t>
      </w:r>
      <w:r w:rsidR="00BD7011">
        <w:t>questioned</w:t>
      </w:r>
      <w:proofErr w:type="gramEnd"/>
      <w:r w:rsidR="00BD7011">
        <w:t xml:space="preserve"> </w:t>
      </w:r>
      <w:r w:rsidR="00154399">
        <w:t xml:space="preserve"> </w:t>
      </w:r>
      <w:r w:rsidR="000F69D2">
        <w:t>the inclusion of th</w:t>
      </w:r>
      <w:r w:rsidR="004276B1">
        <w:t>i</w:t>
      </w:r>
      <w:r w:rsidR="00224DE0">
        <w:t>s</w:t>
      </w:r>
      <w:r w:rsidR="004276B1">
        <w:t xml:space="preserve"> item in section 6.3 Net Quantity</w:t>
      </w:r>
      <w:r w:rsidR="00D91687">
        <w:t xml:space="preserve">. All of them </w:t>
      </w:r>
      <w:r w:rsidR="008C10AF">
        <w:t>recommended</w:t>
      </w:r>
      <w:r>
        <w:t xml:space="preserve"> Withdraw</w:t>
      </w:r>
      <w:r w:rsidR="006F7DEB">
        <w:t>.</w:t>
      </w:r>
    </w:p>
    <w:p w14:paraId="0A40901F" w14:textId="77777777" w:rsidR="002C05E0" w:rsidRPr="002A7C3B" w:rsidRDefault="002C05E0" w:rsidP="002C05E0">
      <w:pPr>
        <w:spacing w:before="240" w:after="0"/>
        <w:ind w:left="720"/>
        <w:rPr>
          <w:b/>
        </w:rPr>
      </w:pPr>
      <w:r w:rsidRPr="002A7C3B">
        <w:rPr>
          <w:b/>
        </w:rPr>
        <w:t>Industry:</w:t>
      </w:r>
    </w:p>
    <w:p w14:paraId="69E5A537" w14:textId="3EB39FAA" w:rsidR="002C05E0" w:rsidRPr="002A7C3B" w:rsidRDefault="006F7DEB" w:rsidP="002C05E0">
      <w:pPr>
        <w:pStyle w:val="ListParagraph"/>
        <w:numPr>
          <w:ilvl w:val="0"/>
          <w:numId w:val="27"/>
        </w:numPr>
        <w:spacing w:after="0" w:line="259" w:lineRule="auto"/>
        <w:contextualSpacing/>
        <w:jc w:val="left"/>
      </w:pPr>
      <w:r>
        <w:t>None</w:t>
      </w:r>
    </w:p>
    <w:p w14:paraId="2A001269" w14:textId="77777777" w:rsidR="002C05E0" w:rsidRPr="00AC5B86" w:rsidRDefault="002C05E0" w:rsidP="002C05E0">
      <w:pPr>
        <w:spacing w:before="240" w:after="0"/>
        <w:ind w:left="720"/>
        <w:rPr>
          <w:b/>
        </w:rPr>
      </w:pPr>
      <w:r w:rsidRPr="002A7C3B">
        <w:rPr>
          <w:b/>
        </w:rPr>
        <w:t>Advisory:</w:t>
      </w:r>
    </w:p>
    <w:p w14:paraId="5FCF2168" w14:textId="5D07F64B" w:rsidR="002C05E0" w:rsidRDefault="006F7DEB" w:rsidP="002C05E0">
      <w:pPr>
        <w:pStyle w:val="ListParagraph"/>
        <w:numPr>
          <w:ilvl w:val="0"/>
          <w:numId w:val="27"/>
        </w:numPr>
        <w:spacing w:after="0" w:line="259" w:lineRule="auto"/>
        <w:contextualSpacing/>
        <w:jc w:val="left"/>
      </w:pPr>
      <w:r>
        <w:t>The NIST OWM representative recommended Withdraw.</w:t>
      </w:r>
    </w:p>
    <w:p w14:paraId="284175C3" w14:textId="77777777" w:rsidR="002C05E0" w:rsidRPr="002A7C3B" w:rsidRDefault="002C05E0" w:rsidP="002C05E0">
      <w:pPr>
        <w:spacing w:before="240"/>
        <w:rPr>
          <w:b/>
        </w:rPr>
      </w:pPr>
      <w:r>
        <w:rPr>
          <w:b/>
        </w:rPr>
        <w:t>Neutral Comments</w:t>
      </w:r>
      <w:r w:rsidRPr="002A7C3B">
        <w:rPr>
          <w:b/>
        </w:rPr>
        <w:t>:</w:t>
      </w:r>
    </w:p>
    <w:p w14:paraId="724F91A7" w14:textId="4399C2AB" w:rsidR="002C05E0" w:rsidRPr="002A7C3B" w:rsidRDefault="0042639E" w:rsidP="002C05E0">
      <w:pPr>
        <w:spacing w:after="0"/>
        <w:ind w:left="720"/>
        <w:rPr>
          <w:b/>
        </w:rPr>
      </w:pPr>
      <w:r>
        <w:rPr>
          <w:b/>
        </w:rPr>
        <w:t>Weights and Measures Officials</w:t>
      </w:r>
      <w:r w:rsidR="002C05E0" w:rsidRPr="002A7C3B">
        <w:rPr>
          <w:b/>
        </w:rPr>
        <w:t>:</w:t>
      </w:r>
    </w:p>
    <w:p w14:paraId="7193AF5F" w14:textId="551FDDA8" w:rsidR="002C05E0" w:rsidRPr="002A7C3B" w:rsidRDefault="006F7DEB" w:rsidP="002C05E0">
      <w:pPr>
        <w:pStyle w:val="ListParagraph"/>
        <w:numPr>
          <w:ilvl w:val="0"/>
          <w:numId w:val="27"/>
        </w:numPr>
        <w:spacing w:after="0" w:line="259" w:lineRule="auto"/>
        <w:contextualSpacing/>
        <w:jc w:val="left"/>
      </w:pPr>
      <w:r>
        <w:t>None</w:t>
      </w:r>
    </w:p>
    <w:p w14:paraId="49BBCB85" w14:textId="77777777" w:rsidR="002C05E0" w:rsidRPr="002A7C3B" w:rsidRDefault="002C05E0" w:rsidP="002C05E0">
      <w:pPr>
        <w:spacing w:before="240" w:after="0"/>
        <w:ind w:left="720"/>
        <w:rPr>
          <w:b/>
        </w:rPr>
      </w:pPr>
      <w:r w:rsidRPr="002A7C3B">
        <w:rPr>
          <w:b/>
        </w:rPr>
        <w:lastRenderedPageBreak/>
        <w:t>Industry:</w:t>
      </w:r>
    </w:p>
    <w:p w14:paraId="447B7878" w14:textId="30A90708" w:rsidR="002C05E0" w:rsidRPr="002A7C3B" w:rsidRDefault="006F7DEB" w:rsidP="002C05E0">
      <w:pPr>
        <w:pStyle w:val="ListParagraph"/>
        <w:numPr>
          <w:ilvl w:val="0"/>
          <w:numId w:val="27"/>
        </w:numPr>
        <w:spacing w:after="0" w:line="259" w:lineRule="auto"/>
        <w:contextualSpacing/>
        <w:jc w:val="left"/>
      </w:pPr>
      <w:r>
        <w:t>None</w:t>
      </w:r>
    </w:p>
    <w:p w14:paraId="4FC9748D" w14:textId="77777777" w:rsidR="002C05E0" w:rsidRPr="002A7C3B" w:rsidRDefault="002C05E0" w:rsidP="002C05E0">
      <w:pPr>
        <w:spacing w:before="240" w:after="0"/>
        <w:ind w:left="720"/>
        <w:rPr>
          <w:b/>
        </w:rPr>
      </w:pPr>
      <w:r w:rsidRPr="002A7C3B">
        <w:rPr>
          <w:b/>
        </w:rPr>
        <w:t>Advisory:</w:t>
      </w:r>
    </w:p>
    <w:p w14:paraId="7E8920B5" w14:textId="219427BE" w:rsidR="002C05E0" w:rsidRDefault="006F7DEB" w:rsidP="002C05E0">
      <w:pPr>
        <w:pStyle w:val="ListParagraph"/>
        <w:numPr>
          <w:ilvl w:val="0"/>
          <w:numId w:val="27"/>
        </w:numPr>
        <w:spacing w:after="0" w:line="259" w:lineRule="auto"/>
        <w:contextualSpacing/>
        <w:jc w:val="left"/>
      </w:pPr>
      <w:r>
        <w:t>None</w:t>
      </w:r>
    </w:p>
    <w:p w14:paraId="6DB8B7A3" w14:textId="77777777" w:rsidR="002C05E0" w:rsidRPr="00E025F9" w:rsidRDefault="002C05E0" w:rsidP="00207E03">
      <w:pPr>
        <w:keepNext/>
        <w:keepLines/>
        <w:spacing w:before="240" w:after="0"/>
        <w:rPr>
          <w:b/>
        </w:rPr>
      </w:pPr>
      <w:r w:rsidRPr="002A7C3B">
        <w:rPr>
          <w:b/>
        </w:rPr>
        <w:t>Item Develop</w:t>
      </w:r>
      <w:r w:rsidRPr="00E025F9">
        <w:rPr>
          <w:b/>
        </w:rPr>
        <w:t>ment:</w:t>
      </w:r>
    </w:p>
    <w:p w14:paraId="6269DA07" w14:textId="08060E82" w:rsidR="002C05E0" w:rsidRDefault="002C05E0" w:rsidP="00207E03">
      <w:pPr>
        <w:keepNext/>
        <w:keepLines/>
      </w:pPr>
      <w:r>
        <w:t>New Proposal</w:t>
      </w:r>
      <w:r w:rsidR="00AA5807">
        <w:t xml:space="preserve"> 2026</w:t>
      </w:r>
    </w:p>
    <w:p w14:paraId="7AA64634" w14:textId="5184BF91" w:rsidR="00122110" w:rsidRDefault="00122110" w:rsidP="00207E03">
      <w:pPr>
        <w:keepNext/>
        <w:keepLines/>
      </w:pPr>
      <w:r w:rsidRPr="00276CA7">
        <w:rPr>
          <w:u w:val="single"/>
        </w:rPr>
        <w:t>NCWM Interim 2026</w:t>
      </w:r>
      <w:proofErr w:type="gramStart"/>
      <w:r w:rsidRPr="00276CA7">
        <w:rPr>
          <w:u w:val="single"/>
        </w:rPr>
        <w:t>:</w:t>
      </w:r>
      <w:r>
        <w:t xml:space="preserve"> </w:t>
      </w:r>
      <w:r w:rsidR="001A0470">
        <w:t xml:space="preserve"> Several</w:t>
      </w:r>
      <w:proofErr w:type="gramEnd"/>
      <w:r w:rsidR="001A0470">
        <w:t xml:space="preserve"> weights and measures </w:t>
      </w:r>
      <w:r w:rsidR="000357B1">
        <w:t>officials</w:t>
      </w:r>
      <w:r w:rsidR="001A0470">
        <w:t xml:space="preserve"> voiced concern that this item was not a weights</w:t>
      </w:r>
      <w:r w:rsidR="000357B1">
        <w:t xml:space="preserve"> and measures</w:t>
      </w:r>
      <w:r w:rsidR="003E34EE">
        <w:t xml:space="preserve"> issue and recommended withdraw. Based on those comments </w:t>
      </w:r>
      <w:r w:rsidR="0020204D">
        <w:t>and those from NIST OWM, the</w:t>
      </w:r>
      <w:r w:rsidR="00040B3D">
        <w:t xml:space="preserve"> </w:t>
      </w:r>
      <w:r w:rsidR="00DC794F">
        <w:t>C</w:t>
      </w:r>
      <w:r w:rsidR="00993A2E">
        <w:t xml:space="preserve">ommittee concurred </w:t>
      </w:r>
      <w:r w:rsidR="00EC126D">
        <w:t xml:space="preserve">and withdrew the item. </w:t>
      </w:r>
    </w:p>
    <w:p w14:paraId="11DE3B74" w14:textId="77777777" w:rsidR="002C05E0" w:rsidRPr="00E025F9" w:rsidRDefault="002C05E0" w:rsidP="002C05E0">
      <w:pPr>
        <w:spacing w:after="0"/>
        <w:rPr>
          <w:b/>
        </w:rPr>
      </w:pPr>
      <w:r w:rsidRPr="00E025F9">
        <w:rPr>
          <w:b/>
        </w:rPr>
        <w:t>Regional Associations’ Comments:</w:t>
      </w:r>
    </w:p>
    <w:p w14:paraId="745EEF15" w14:textId="0874ED79" w:rsidR="00707B0C" w:rsidRDefault="00707B0C" w:rsidP="00707B0C">
      <w:pPr>
        <w:spacing w:after="0"/>
        <w:rPr>
          <w:rFonts w:eastAsia="Times New Roman"/>
          <w:szCs w:val="24"/>
          <w:u w:val="single"/>
        </w:rPr>
      </w:pPr>
      <w:r w:rsidRPr="008D62FB">
        <w:rPr>
          <w:rFonts w:eastAsia="Times New Roman"/>
          <w:szCs w:val="24"/>
          <w:u w:val="single"/>
        </w:rPr>
        <w:t>WWMA 202</w:t>
      </w:r>
      <w:r w:rsidR="005323E4">
        <w:rPr>
          <w:rFonts w:eastAsia="Times New Roman"/>
          <w:szCs w:val="24"/>
          <w:u w:val="single"/>
        </w:rPr>
        <w:t>5</w:t>
      </w:r>
      <w:r w:rsidRPr="008D62FB">
        <w:rPr>
          <w:rFonts w:eastAsia="Times New Roman"/>
          <w:szCs w:val="24"/>
          <w:u w:val="single"/>
        </w:rPr>
        <w:t xml:space="preserve"> Annual Meeting:</w:t>
      </w:r>
    </w:p>
    <w:p w14:paraId="320C6731" w14:textId="77777777" w:rsidR="00B55C17" w:rsidRDefault="00B55C17" w:rsidP="00707B0C">
      <w:pPr>
        <w:spacing w:after="0"/>
        <w:rPr>
          <w:rFonts w:eastAsia="Times New Roman"/>
          <w:szCs w:val="24"/>
          <w:u w:val="single"/>
        </w:rPr>
      </w:pPr>
    </w:p>
    <w:p w14:paraId="76F7FA86" w14:textId="77777777" w:rsidR="00A46DE4" w:rsidRDefault="00A46DE4" w:rsidP="00A46DE4">
      <w:pPr>
        <w:spacing w:after="0"/>
        <w:rPr>
          <w:rFonts w:eastAsia="Times New Roman"/>
          <w:szCs w:val="24"/>
        </w:rPr>
      </w:pPr>
      <w:r>
        <w:rPr>
          <w:rFonts w:eastAsia="Times New Roman"/>
          <w:szCs w:val="24"/>
        </w:rPr>
        <w:t xml:space="preserve">The committee received comments from Ms. Wendy Hahn (County of Stanislaus, California), Mr. Aaron Yanker </w:t>
      </w:r>
      <w:r w:rsidRPr="005D61E3">
        <w:rPr>
          <w:rFonts w:eastAsia="Times New Roman"/>
          <w:szCs w:val="24"/>
        </w:rPr>
        <w:t>(Colorado Department</w:t>
      </w:r>
      <w:r>
        <w:rPr>
          <w:rFonts w:eastAsia="Times New Roman"/>
          <w:szCs w:val="24"/>
        </w:rPr>
        <w:t xml:space="preserve"> </w:t>
      </w:r>
      <w:r w:rsidRPr="005D61E3">
        <w:rPr>
          <w:rFonts w:eastAsia="Times New Roman"/>
          <w:szCs w:val="24"/>
        </w:rPr>
        <w:t>of Agriculture, Weights and Measures)</w:t>
      </w:r>
      <w:r>
        <w:rPr>
          <w:rFonts w:eastAsia="Times New Roman"/>
          <w:szCs w:val="24"/>
        </w:rPr>
        <w:t>, Mr. Jose Arriaga (County of Orange, California), Mr. Mike Brooks (</w:t>
      </w:r>
      <w:r w:rsidRPr="009F7C1A">
        <w:rPr>
          <w:rFonts w:eastAsia="Times New Roman"/>
          <w:szCs w:val="24"/>
        </w:rPr>
        <w:t>Arizona Department of Agriculture Weights and Measures</w:t>
      </w:r>
      <w:r>
        <w:rPr>
          <w:rFonts w:eastAsia="Times New Roman"/>
          <w:szCs w:val="24"/>
        </w:rPr>
        <w:t xml:space="preserve"> </w:t>
      </w:r>
      <w:r w:rsidRPr="009F7C1A">
        <w:rPr>
          <w:rFonts w:eastAsia="Times New Roman"/>
          <w:szCs w:val="24"/>
        </w:rPr>
        <w:t>Services Division</w:t>
      </w:r>
      <w:r>
        <w:rPr>
          <w:rFonts w:eastAsia="Times New Roman"/>
          <w:szCs w:val="24"/>
        </w:rPr>
        <w:t xml:space="preserve">), Mr. Kurt Floren (County of Los Angeles, California), Mr. Austin Shepherd (County of San Diego, California), and Mr. Matt Douglas (California Division of Measurement Standards) with a general consensus that this is not a Weights and Measures issue and recommending that the item be withdrawn. </w:t>
      </w:r>
    </w:p>
    <w:p w14:paraId="2252CCA9" w14:textId="77777777" w:rsidR="00A46DE4" w:rsidRDefault="00A46DE4" w:rsidP="00A46DE4">
      <w:pPr>
        <w:spacing w:after="0"/>
        <w:rPr>
          <w:rFonts w:eastAsia="Times New Roman"/>
          <w:szCs w:val="24"/>
        </w:rPr>
      </w:pPr>
    </w:p>
    <w:p w14:paraId="5D822B1C" w14:textId="77777777" w:rsidR="00A46DE4" w:rsidRDefault="00A46DE4" w:rsidP="00A46DE4">
      <w:pPr>
        <w:spacing w:after="0"/>
        <w:rPr>
          <w:rFonts w:eastAsia="Times New Roman"/>
          <w:szCs w:val="24"/>
        </w:rPr>
      </w:pPr>
      <w:r>
        <w:rPr>
          <w:rFonts w:eastAsia="Times New Roman"/>
          <w:szCs w:val="24"/>
        </w:rPr>
        <w:t xml:space="preserve">Some of the comments heard also included that this might be an FDA jurisdictional matter; that this might be better addressed by, or included in, the Food Safety Modernization Act; or that this might be a Public Health jurisdictional matter. </w:t>
      </w:r>
    </w:p>
    <w:p w14:paraId="65BCC875" w14:textId="77777777" w:rsidR="00A46DE4" w:rsidRDefault="00A46DE4" w:rsidP="00A46DE4">
      <w:pPr>
        <w:spacing w:after="0"/>
        <w:rPr>
          <w:rFonts w:eastAsia="Times New Roman"/>
          <w:szCs w:val="24"/>
        </w:rPr>
      </w:pPr>
    </w:p>
    <w:p w14:paraId="166310F1" w14:textId="77777777" w:rsidR="00A46DE4" w:rsidRPr="00A43BF4" w:rsidRDefault="00A46DE4" w:rsidP="00A46DE4">
      <w:pPr>
        <w:spacing w:after="0"/>
        <w:rPr>
          <w:rFonts w:eastAsia="Times New Roman"/>
          <w:szCs w:val="24"/>
        </w:rPr>
      </w:pPr>
      <w:r>
        <w:rPr>
          <w:rFonts w:eastAsia="Times New Roman"/>
          <w:szCs w:val="24"/>
        </w:rPr>
        <w:t>Other concerns raised included that this may increase production costs and create gaps in usability for non-smart phone users. Enforcement concerns were also heard including that Weights &amp; Measures officials do not have the authority to implement broad recalls as well as the concern that this is not just a matter of verifying that the quick response (QR) code is present but also that the information provided by use of the QR code is accurate.</w:t>
      </w:r>
    </w:p>
    <w:p w14:paraId="718D9842" w14:textId="77777777" w:rsidR="00A46DE4" w:rsidRPr="00A43BF4" w:rsidRDefault="00A46DE4" w:rsidP="00A46DE4">
      <w:pPr>
        <w:spacing w:after="0"/>
        <w:rPr>
          <w:rFonts w:eastAsia="Times New Roman"/>
          <w:szCs w:val="24"/>
        </w:rPr>
      </w:pPr>
    </w:p>
    <w:p w14:paraId="78CCD0A2" w14:textId="6EB7A637" w:rsidR="00A46DE4" w:rsidRPr="00A46DE4" w:rsidRDefault="00A46DE4" w:rsidP="00707B0C">
      <w:pPr>
        <w:spacing w:after="0"/>
        <w:rPr>
          <w:rFonts w:eastAsia="Times New Roman"/>
          <w:szCs w:val="24"/>
        </w:rPr>
      </w:pPr>
      <w:r>
        <w:rPr>
          <w:rFonts w:eastAsia="Times New Roman"/>
          <w:szCs w:val="24"/>
        </w:rPr>
        <w:t>The WWMA L&amp;R committee recommends the item be withdrawn.</w:t>
      </w:r>
    </w:p>
    <w:p w14:paraId="7906E2A6" w14:textId="77777777" w:rsidR="00707B0C" w:rsidRPr="00A43BF4" w:rsidRDefault="00707B0C" w:rsidP="00707B0C">
      <w:pPr>
        <w:spacing w:after="0"/>
        <w:rPr>
          <w:rFonts w:eastAsia="Times New Roman"/>
          <w:szCs w:val="24"/>
        </w:rPr>
      </w:pPr>
    </w:p>
    <w:p w14:paraId="6ABE118F" w14:textId="40122D10" w:rsidR="00EB6963" w:rsidRPr="00B531E0" w:rsidRDefault="00C8190C" w:rsidP="00B531E0">
      <w:pPr>
        <w:jc w:val="left"/>
        <w:rPr>
          <w:rFonts w:eastAsia="Times New Roman"/>
          <w:szCs w:val="24"/>
          <w:u w:val="single"/>
        </w:rPr>
      </w:pPr>
      <w:r>
        <w:rPr>
          <w:rFonts w:eastAsia="Times New Roman"/>
          <w:szCs w:val="24"/>
          <w:u w:val="single"/>
        </w:rPr>
        <w:t>C</w:t>
      </w:r>
      <w:r w:rsidR="00707B0C" w:rsidRPr="0051426D">
        <w:rPr>
          <w:rFonts w:eastAsia="Times New Roman"/>
          <w:szCs w:val="24"/>
          <w:u w:val="single"/>
        </w:rPr>
        <w:t>WMA 202</w:t>
      </w:r>
      <w:r w:rsidR="005323E4">
        <w:rPr>
          <w:rFonts w:eastAsia="Times New Roman"/>
          <w:szCs w:val="24"/>
          <w:u w:val="single"/>
        </w:rPr>
        <w:t>5</w:t>
      </w:r>
      <w:r w:rsidR="00707B0C" w:rsidRPr="0051426D">
        <w:rPr>
          <w:rFonts w:eastAsia="Times New Roman"/>
          <w:szCs w:val="24"/>
          <w:u w:val="single"/>
        </w:rPr>
        <w:t xml:space="preserve"> </w:t>
      </w:r>
      <w:r w:rsidR="00F102E2">
        <w:rPr>
          <w:rFonts w:eastAsia="Times New Roman"/>
          <w:szCs w:val="24"/>
          <w:u w:val="single"/>
        </w:rPr>
        <w:t>Interim</w:t>
      </w:r>
      <w:r w:rsidR="00707B0C" w:rsidRPr="0051426D">
        <w:rPr>
          <w:rFonts w:eastAsia="Times New Roman"/>
          <w:szCs w:val="24"/>
          <w:u w:val="single"/>
        </w:rPr>
        <w:t xml:space="preserve"> Meeting:</w:t>
      </w:r>
      <w:r w:rsidR="00B55C17">
        <w:rPr>
          <w:rFonts w:eastAsia="Times New Roman"/>
          <w:szCs w:val="24"/>
          <w:u w:val="single"/>
        </w:rPr>
        <w:br/>
      </w:r>
      <w:r w:rsidR="00B531E0">
        <w:rPr>
          <w:rFonts w:eastAsia="Times New Roman"/>
          <w:szCs w:val="24"/>
          <w:u w:val="single"/>
        </w:rPr>
        <w:br/>
      </w:r>
      <w:r w:rsidR="00EB6963">
        <w:rPr>
          <w:rFonts w:eastAsia="Times New Roman"/>
          <w:szCs w:val="24"/>
        </w:rPr>
        <w:t>Questions were brought up as to how this really applies to Weights &amp; Measures and one individual wanted the item withdrawn.  Nothing currently exists that would prohibit an entity from adding a dynamic QR code of this nature.</w:t>
      </w:r>
    </w:p>
    <w:p w14:paraId="6468BFD5" w14:textId="18B78142" w:rsidR="00EB6963" w:rsidRPr="00EB6963" w:rsidRDefault="00EB6963" w:rsidP="00EB6963">
      <w:pPr>
        <w:spacing w:after="0"/>
        <w:jc w:val="left"/>
        <w:rPr>
          <w:rFonts w:eastAsia="Times New Roman"/>
          <w:szCs w:val="24"/>
        </w:rPr>
      </w:pPr>
      <w:r>
        <w:rPr>
          <w:rFonts w:eastAsia="Times New Roman"/>
          <w:szCs w:val="24"/>
        </w:rPr>
        <w:t>The CWMA L&amp;R committee recommends the item be withdrawn.</w:t>
      </w:r>
      <w:r>
        <w:rPr>
          <w:rFonts w:eastAsia="Times New Roman"/>
          <w:szCs w:val="24"/>
        </w:rPr>
        <w:br/>
      </w:r>
    </w:p>
    <w:p w14:paraId="3368A5C0" w14:textId="77777777" w:rsidR="00E677EF" w:rsidRDefault="00707B0C" w:rsidP="00707B0C">
      <w:pPr>
        <w:jc w:val="left"/>
        <w:rPr>
          <w:u w:val="single"/>
        </w:rPr>
      </w:pPr>
      <w:r w:rsidRPr="006C7BFB">
        <w:rPr>
          <w:u w:val="single"/>
        </w:rPr>
        <w:t>NEWMA 202</w:t>
      </w:r>
      <w:r w:rsidR="005323E4">
        <w:rPr>
          <w:u w:val="single"/>
        </w:rPr>
        <w:t>5</w:t>
      </w:r>
      <w:r w:rsidRPr="006C7BFB">
        <w:rPr>
          <w:u w:val="single"/>
        </w:rPr>
        <w:t xml:space="preserve"> Interim Meeting:</w:t>
      </w:r>
    </w:p>
    <w:p w14:paraId="62796923" w14:textId="77777777" w:rsidR="00E677EF" w:rsidRDefault="00E677EF" w:rsidP="00E677EF">
      <w:pPr>
        <w:spacing w:after="0"/>
        <w:rPr>
          <w:rFonts w:eastAsia="Times New Roman"/>
          <w:szCs w:val="24"/>
        </w:rPr>
      </w:pPr>
      <w:r>
        <w:rPr>
          <w:rFonts w:eastAsia="Times New Roman"/>
          <w:szCs w:val="24"/>
        </w:rPr>
        <w:t xml:space="preserve">A regulator from New York commented they are not opposed to QR </w:t>
      </w:r>
      <w:proofErr w:type="gramStart"/>
      <w:r>
        <w:rPr>
          <w:rFonts w:eastAsia="Times New Roman"/>
          <w:szCs w:val="24"/>
        </w:rPr>
        <w:t>codes, but</w:t>
      </w:r>
      <w:proofErr w:type="gramEnd"/>
      <w:r>
        <w:rPr>
          <w:rFonts w:eastAsia="Times New Roman"/>
          <w:szCs w:val="24"/>
        </w:rPr>
        <w:t xml:space="preserve"> feels it is not a weights and measures issue, and indicated they do not enforce food safety regulations.  A regulator from New Jersey commented that this is not a weights and measures issue, but may be geared toward FDA or FTC regulations, and recommended a Withdrawn status.  A regulator from Vermont agreed with New York and New Jersey.</w:t>
      </w:r>
    </w:p>
    <w:p w14:paraId="66C34EC9" w14:textId="77777777" w:rsidR="00E677EF" w:rsidRDefault="00E677EF" w:rsidP="00E677EF">
      <w:pPr>
        <w:spacing w:after="0"/>
        <w:rPr>
          <w:rFonts w:eastAsia="Times New Roman"/>
          <w:szCs w:val="24"/>
        </w:rPr>
      </w:pPr>
    </w:p>
    <w:p w14:paraId="090AD208" w14:textId="799255B5" w:rsidR="00707B0C" w:rsidRDefault="00E677EF" w:rsidP="00A00510">
      <w:pPr>
        <w:spacing w:after="0"/>
        <w:rPr>
          <w:u w:val="single"/>
        </w:rPr>
      </w:pPr>
      <w:r>
        <w:rPr>
          <w:rFonts w:eastAsia="Times New Roman"/>
          <w:szCs w:val="24"/>
        </w:rPr>
        <w:t>After hearing comments from the floor, the committee recommended a Withdrawn status, and the body concurred.</w:t>
      </w:r>
      <w:r w:rsidR="00707B0C">
        <w:rPr>
          <w:u w:val="single"/>
        </w:rPr>
        <w:br/>
      </w:r>
      <w:r w:rsidR="00707B0C">
        <w:rPr>
          <w:u w:val="single"/>
        </w:rPr>
        <w:br/>
      </w:r>
      <w:r w:rsidR="00C8190C">
        <w:rPr>
          <w:u w:val="single"/>
        </w:rPr>
        <w:t>S</w:t>
      </w:r>
      <w:r w:rsidR="00707B0C" w:rsidRPr="00EF1ACC">
        <w:rPr>
          <w:u w:val="single"/>
        </w:rPr>
        <w:t>WMA 202</w:t>
      </w:r>
      <w:r w:rsidR="005323E4">
        <w:rPr>
          <w:u w:val="single"/>
        </w:rPr>
        <w:t>5</w:t>
      </w:r>
      <w:r w:rsidR="00707B0C" w:rsidRPr="00EF1ACC">
        <w:rPr>
          <w:u w:val="single"/>
        </w:rPr>
        <w:t xml:space="preserve"> </w:t>
      </w:r>
      <w:r w:rsidR="00F102E2">
        <w:rPr>
          <w:u w:val="single"/>
        </w:rPr>
        <w:t>Annual</w:t>
      </w:r>
      <w:r w:rsidR="00707B0C" w:rsidRPr="00EF1ACC">
        <w:rPr>
          <w:u w:val="single"/>
        </w:rPr>
        <w:t xml:space="preserve"> Meeting</w:t>
      </w:r>
      <w:r w:rsidR="00707B0C">
        <w:rPr>
          <w:u w:val="single"/>
        </w:rPr>
        <w:t>:</w:t>
      </w:r>
    </w:p>
    <w:p w14:paraId="2A95B679" w14:textId="1B7AC2FE" w:rsidR="00D55B0D" w:rsidRDefault="00D55B0D" w:rsidP="00346B96">
      <w:pPr>
        <w:rPr>
          <w:rFonts w:eastAsia="Times New Roman"/>
          <w:szCs w:val="24"/>
        </w:rPr>
      </w:pPr>
      <w:r>
        <w:rPr>
          <w:rFonts w:eastAsia="Times New Roman"/>
          <w:szCs w:val="24"/>
        </w:rPr>
        <w:t>Mr. Tory Brewer with West Virginia commented that this is not a weights and measures issue. That the item specifically asks for there to be a requirement for recalls. He opposes this item and recommends Withdraw.</w:t>
      </w:r>
    </w:p>
    <w:p w14:paraId="4C6AFD61" w14:textId="28BBC4E2" w:rsidR="00D55B0D" w:rsidRDefault="00D55B0D" w:rsidP="00346B96">
      <w:pPr>
        <w:rPr>
          <w:rFonts w:eastAsia="Times New Roman"/>
          <w:szCs w:val="24"/>
        </w:rPr>
      </w:pPr>
      <w:r w:rsidRPr="002B390A">
        <w:rPr>
          <w:rFonts w:eastAsia="Times New Roman"/>
          <w:szCs w:val="24"/>
        </w:rPr>
        <w:lastRenderedPageBreak/>
        <w:t xml:space="preserve">Matthew Curran, Florida – recommend forwarding this item and asking that it be </w:t>
      </w:r>
      <w:r>
        <w:rPr>
          <w:rFonts w:eastAsia="Times New Roman"/>
          <w:szCs w:val="24"/>
        </w:rPr>
        <w:t>A</w:t>
      </w:r>
      <w:r w:rsidRPr="002B390A">
        <w:rPr>
          <w:rFonts w:eastAsia="Times New Roman"/>
          <w:szCs w:val="24"/>
        </w:rPr>
        <w:t xml:space="preserve">ssigned to PALS for further evaluation and vetting. </w:t>
      </w:r>
      <w:r>
        <w:rPr>
          <w:rFonts w:eastAsia="Times New Roman"/>
          <w:szCs w:val="24"/>
        </w:rPr>
        <w:t>He</w:t>
      </w:r>
      <w:r w:rsidRPr="002B390A">
        <w:rPr>
          <w:rFonts w:eastAsia="Times New Roman"/>
          <w:szCs w:val="24"/>
        </w:rPr>
        <w:t xml:space="preserve"> believe</w:t>
      </w:r>
      <w:r>
        <w:rPr>
          <w:rFonts w:eastAsia="Times New Roman"/>
          <w:szCs w:val="24"/>
        </w:rPr>
        <w:t>s</w:t>
      </w:r>
      <w:r w:rsidRPr="002B390A">
        <w:rPr>
          <w:rFonts w:eastAsia="Times New Roman"/>
          <w:szCs w:val="24"/>
        </w:rPr>
        <w:t xml:space="preserve"> the topic has potential merit and </w:t>
      </w:r>
      <w:proofErr w:type="gramStart"/>
      <w:r w:rsidRPr="002B390A">
        <w:rPr>
          <w:rFonts w:eastAsia="Times New Roman"/>
          <w:szCs w:val="24"/>
        </w:rPr>
        <w:t>use</w:t>
      </w:r>
      <w:proofErr w:type="gramEnd"/>
      <w:r w:rsidRPr="002B390A">
        <w:rPr>
          <w:rFonts w:eastAsia="Times New Roman"/>
          <w:szCs w:val="24"/>
        </w:rPr>
        <w:t xml:space="preserve"> beyond the weights and measures realm but </w:t>
      </w:r>
      <w:proofErr w:type="gramStart"/>
      <w:r w:rsidRPr="002B390A">
        <w:rPr>
          <w:rFonts w:eastAsia="Times New Roman"/>
          <w:szCs w:val="24"/>
        </w:rPr>
        <w:t>need</w:t>
      </w:r>
      <w:proofErr w:type="gramEnd"/>
      <w:r w:rsidRPr="002B390A">
        <w:rPr>
          <w:rFonts w:eastAsia="Times New Roman"/>
          <w:szCs w:val="24"/>
        </w:rPr>
        <w:t xml:space="preserve"> to ensure it is weights and measures related before going into the Handbooks. There are currently food products in Florida that are required to have QR codes for required consumer information and there are many companies that have elected to add QR codes on their products, so the concept is currently utilized. </w:t>
      </w:r>
      <w:r>
        <w:rPr>
          <w:rFonts w:eastAsia="Times New Roman"/>
          <w:szCs w:val="24"/>
        </w:rPr>
        <w:t>He</w:t>
      </w:r>
      <w:r w:rsidRPr="002B390A">
        <w:rPr>
          <w:rFonts w:eastAsia="Times New Roman"/>
          <w:szCs w:val="24"/>
        </w:rPr>
        <w:t xml:space="preserve"> also would caution against exclusions (as proposed) as this may create unintended loopholes, if not written properly.</w:t>
      </w:r>
    </w:p>
    <w:p w14:paraId="46BA7334" w14:textId="5B1A5BF7" w:rsidR="00D55B0D" w:rsidRDefault="00D55B0D" w:rsidP="00D55B0D">
      <w:pPr>
        <w:spacing w:after="0"/>
        <w:rPr>
          <w:rFonts w:eastAsia="Times New Roman"/>
          <w:szCs w:val="24"/>
        </w:rPr>
      </w:pPr>
      <w:r>
        <w:rPr>
          <w:rFonts w:eastAsia="Times New Roman"/>
          <w:szCs w:val="24"/>
        </w:rPr>
        <w:t xml:space="preserve">Ms. Alison </w:t>
      </w:r>
      <w:proofErr w:type="gramStart"/>
      <w:r>
        <w:rPr>
          <w:rFonts w:eastAsia="Times New Roman"/>
          <w:szCs w:val="24"/>
        </w:rPr>
        <w:t>Wilkinson</w:t>
      </w:r>
      <w:proofErr w:type="gramEnd"/>
      <w:r>
        <w:rPr>
          <w:rFonts w:eastAsia="Times New Roman"/>
          <w:szCs w:val="24"/>
        </w:rPr>
        <w:t xml:space="preserve"> with the state of </w:t>
      </w:r>
      <w:proofErr w:type="gramStart"/>
      <w:r>
        <w:rPr>
          <w:rFonts w:eastAsia="Times New Roman"/>
          <w:szCs w:val="24"/>
        </w:rPr>
        <w:t>Maryland</w:t>
      </w:r>
      <w:proofErr w:type="gramEnd"/>
      <w:r>
        <w:rPr>
          <w:rFonts w:eastAsia="Times New Roman"/>
          <w:szCs w:val="24"/>
        </w:rPr>
        <w:t xml:space="preserve"> echoes Florida in that the item be Assigned to PALS</w:t>
      </w:r>
      <w:r w:rsidR="00003C73">
        <w:rPr>
          <w:rFonts w:eastAsia="Times New Roman"/>
          <w:szCs w:val="24"/>
        </w:rPr>
        <w:t>.</w:t>
      </w:r>
    </w:p>
    <w:p w14:paraId="79E25CD1" w14:textId="77777777" w:rsidR="00D55B0D" w:rsidRDefault="00D55B0D" w:rsidP="00D55B0D">
      <w:pPr>
        <w:spacing w:after="0"/>
        <w:rPr>
          <w:rFonts w:eastAsia="Times New Roman"/>
          <w:szCs w:val="24"/>
        </w:rPr>
      </w:pPr>
      <w:r>
        <w:rPr>
          <w:rFonts w:eastAsia="Times New Roman"/>
          <w:szCs w:val="24"/>
        </w:rPr>
        <w:t xml:space="preserve">Mr. Jason </w:t>
      </w:r>
      <w:r w:rsidRPr="00102A19">
        <w:rPr>
          <w:rFonts w:eastAsia="Times New Roman"/>
          <w:szCs w:val="24"/>
        </w:rPr>
        <w:t>Glass with the state of Kentucky recommends</w:t>
      </w:r>
      <w:r>
        <w:rPr>
          <w:rFonts w:eastAsia="Times New Roman"/>
          <w:szCs w:val="24"/>
        </w:rPr>
        <w:t xml:space="preserve"> an editorial change with section </w:t>
      </w:r>
      <w:proofErr w:type="gramStart"/>
      <w:r>
        <w:rPr>
          <w:rFonts w:eastAsia="Times New Roman"/>
          <w:szCs w:val="24"/>
        </w:rPr>
        <w:t>6.3.X  (</w:t>
      </w:r>
      <w:proofErr w:type="gramEnd"/>
      <w:r>
        <w:rPr>
          <w:rFonts w:eastAsia="Times New Roman"/>
          <w:szCs w:val="24"/>
        </w:rPr>
        <w:t>f). To edit “conference” to “council” within the section.</w:t>
      </w:r>
    </w:p>
    <w:p w14:paraId="7C0FB057" w14:textId="77777777" w:rsidR="00D55B0D" w:rsidRDefault="00D55B0D" w:rsidP="00D55B0D">
      <w:pPr>
        <w:ind w:left="360"/>
        <w:jc w:val="left"/>
        <w:rPr>
          <w:b/>
          <w:bCs/>
          <w:szCs w:val="20"/>
          <w:u w:val="single"/>
        </w:rPr>
      </w:pPr>
      <w:r w:rsidRPr="002C05E0">
        <w:rPr>
          <w:b/>
          <w:bCs/>
          <w:szCs w:val="20"/>
          <w:u w:val="single"/>
        </w:rPr>
        <w:t xml:space="preserve">6.3.X Dynamic QR Code – </w:t>
      </w:r>
    </w:p>
    <w:p w14:paraId="00ECE189" w14:textId="77777777" w:rsidR="00D55B0D" w:rsidRPr="00CF59D2" w:rsidRDefault="00D55B0D" w:rsidP="00D55B0D">
      <w:pPr>
        <w:ind w:left="360"/>
        <w:jc w:val="left"/>
        <w:rPr>
          <w:b/>
          <w:bCs/>
          <w:szCs w:val="20"/>
          <w:u w:val="single"/>
        </w:rPr>
      </w:pPr>
      <w:r w:rsidRPr="002C05E0">
        <w:rPr>
          <w:b/>
          <w:bCs/>
          <w:szCs w:val="20"/>
          <w:u w:val="single"/>
        </w:rPr>
        <w:t xml:space="preserve">(f) Exemptions: Food and beverage consumer packages exempt from this requirement include those with a net weight or volume less than 10 grams or 10 milliliters, or as otherwise determined by the National </w:t>
      </w:r>
      <w:r w:rsidRPr="009201DC">
        <w:rPr>
          <w:b/>
          <w:bCs/>
          <w:strike/>
          <w:szCs w:val="20"/>
          <w:u w:val="single"/>
        </w:rPr>
        <w:t>Conference</w:t>
      </w:r>
      <w:r w:rsidRPr="002C05E0">
        <w:rPr>
          <w:b/>
          <w:bCs/>
          <w:szCs w:val="20"/>
          <w:u w:val="single"/>
        </w:rPr>
        <w:t xml:space="preserve"> </w:t>
      </w:r>
      <w:r>
        <w:rPr>
          <w:b/>
          <w:bCs/>
          <w:szCs w:val="20"/>
          <w:u w:val="single"/>
        </w:rPr>
        <w:t xml:space="preserve">Council </w:t>
      </w:r>
      <w:r w:rsidRPr="002C05E0">
        <w:rPr>
          <w:b/>
          <w:bCs/>
          <w:szCs w:val="20"/>
          <w:u w:val="single"/>
        </w:rPr>
        <w:t>on Weights and Measures, where labeling space constraints render compliance impractical.</w:t>
      </w:r>
      <w:r>
        <w:rPr>
          <w:rFonts w:eastAsia="Times New Roman"/>
          <w:szCs w:val="24"/>
        </w:rPr>
        <w:t xml:space="preserve">                </w:t>
      </w:r>
    </w:p>
    <w:p w14:paraId="16E1E143" w14:textId="61A3B726" w:rsidR="00D55B0D" w:rsidRPr="00D55B0D" w:rsidRDefault="00D55B0D" w:rsidP="00A00510">
      <w:pPr>
        <w:spacing w:after="0"/>
        <w:rPr>
          <w:rFonts w:eastAsia="Times New Roman"/>
          <w:szCs w:val="24"/>
        </w:rPr>
      </w:pPr>
      <w:r>
        <w:rPr>
          <w:rFonts w:eastAsia="Times New Roman"/>
          <w:szCs w:val="24"/>
        </w:rPr>
        <w:t xml:space="preserve">The Committee has referenced the recommended editorial changes to this item </w:t>
      </w:r>
      <w:proofErr w:type="gramStart"/>
      <w:r>
        <w:rPr>
          <w:rFonts w:eastAsia="Times New Roman"/>
          <w:szCs w:val="24"/>
        </w:rPr>
        <w:t>and</w:t>
      </w:r>
      <w:proofErr w:type="gramEnd"/>
      <w:r>
        <w:rPr>
          <w:rFonts w:eastAsia="Times New Roman"/>
          <w:szCs w:val="24"/>
        </w:rPr>
        <w:t xml:space="preserve"> based on the comments made </w:t>
      </w:r>
      <w:proofErr w:type="gramStart"/>
      <w:r>
        <w:rPr>
          <w:rFonts w:eastAsia="Times New Roman"/>
          <w:szCs w:val="24"/>
        </w:rPr>
        <w:t>from</w:t>
      </w:r>
      <w:proofErr w:type="gramEnd"/>
      <w:r>
        <w:rPr>
          <w:rFonts w:eastAsia="Times New Roman"/>
          <w:szCs w:val="24"/>
        </w:rPr>
        <w:t xml:space="preserve"> the floor, believes this item has </w:t>
      </w:r>
      <w:proofErr w:type="gramStart"/>
      <w:r>
        <w:rPr>
          <w:rFonts w:eastAsia="Times New Roman"/>
          <w:szCs w:val="24"/>
        </w:rPr>
        <w:t>merit</w:t>
      </w:r>
      <w:proofErr w:type="gramEnd"/>
      <w:r>
        <w:rPr>
          <w:rFonts w:eastAsia="Times New Roman"/>
          <w:szCs w:val="24"/>
        </w:rPr>
        <w:t xml:space="preserve"> and recommends Developing status.</w:t>
      </w:r>
    </w:p>
    <w:p w14:paraId="2425258C" w14:textId="77777777" w:rsidR="00A00510" w:rsidRPr="00A00510" w:rsidRDefault="00A00510" w:rsidP="00A00510">
      <w:pPr>
        <w:spacing w:after="0"/>
        <w:rPr>
          <w:rFonts w:eastAsia="Times New Roman"/>
          <w:szCs w:val="24"/>
        </w:rPr>
      </w:pPr>
    </w:p>
    <w:p w14:paraId="090DA0A7" w14:textId="77777777" w:rsidR="002C05E0" w:rsidRDefault="002C05E0" w:rsidP="002C05E0">
      <w:r>
        <w:t xml:space="preserve">Additional letters, </w:t>
      </w:r>
      <w:proofErr w:type="gramStart"/>
      <w:r>
        <w:t>presentation</w:t>
      </w:r>
      <w:proofErr w:type="gramEnd"/>
      <w:r>
        <w:t xml:space="preserve"> and data may have been submitted for consideration with this item.  Please refer to </w:t>
      </w:r>
      <w:hyperlink r:id="rId12" w:history="1">
        <w:r w:rsidRPr="002A1164">
          <w:rPr>
            <w:rStyle w:val="Hyperlink"/>
          </w:rPr>
          <w:t>https://www.ncwm.com/publication-15</w:t>
        </w:r>
      </w:hyperlink>
      <w:r>
        <w:t xml:space="preserve"> to </w:t>
      </w:r>
      <w:proofErr w:type="gramStart"/>
      <w:r>
        <w:t>review these documents.</w:t>
      </w:r>
      <w:proofErr w:type="gramEnd"/>
    </w:p>
    <w:p w14:paraId="50692108" w14:textId="34C66950" w:rsidR="002F4E07" w:rsidRDefault="002F4E07" w:rsidP="005F1929">
      <w:pPr>
        <w:pStyle w:val="Heading1"/>
      </w:pPr>
      <w:bookmarkStart w:id="43" w:name="_Toc224019614"/>
      <w:r>
        <w:t>MOS – uniform regulation for the Method of Sale of commodities</w:t>
      </w:r>
      <w:bookmarkEnd w:id="43"/>
    </w:p>
    <w:p w14:paraId="70FA06F8" w14:textId="2B7250D6" w:rsidR="002F4E07" w:rsidRPr="003C355F" w:rsidRDefault="002F4E07" w:rsidP="005F1929">
      <w:pPr>
        <w:pStyle w:val="ItemHeading"/>
      </w:pPr>
      <w:bookmarkStart w:id="44" w:name="_Toc224019615"/>
      <w:r>
        <w:t>MOS-24.2</w:t>
      </w:r>
      <w:r w:rsidRPr="003C355F">
        <w:t xml:space="preserve"> </w:t>
      </w:r>
      <w:r w:rsidRPr="003C355F">
        <w:tab/>
      </w:r>
      <w:r w:rsidR="0080355C">
        <w:t>V</w:t>
      </w:r>
      <w:r w:rsidRPr="003C355F">
        <w:tab/>
      </w:r>
      <w:r>
        <w:t>2.16.3.1. Tare Weights</w:t>
      </w:r>
      <w:r w:rsidR="000E02AA">
        <w:t>, Part</w:t>
      </w:r>
      <w:r>
        <w:t xml:space="preserve"> (c) Allowable difference.</w:t>
      </w:r>
      <w:bookmarkEnd w:id="44"/>
    </w:p>
    <w:p w14:paraId="323359FA" w14:textId="77777777" w:rsidR="002F4E07" w:rsidRPr="00E025F9" w:rsidRDefault="002F4E07" w:rsidP="005F1929">
      <w:pPr>
        <w:keepNext/>
        <w:keepLines/>
        <w:spacing w:after="0"/>
        <w:rPr>
          <w:b/>
        </w:rPr>
      </w:pPr>
      <w:r w:rsidRPr="00E025F9">
        <w:rPr>
          <w:b/>
        </w:rPr>
        <w:t>Source:</w:t>
      </w:r>
    </w:p>
    <w:p w14:paraId="770F9CE4" w14:textId="17420CB0" w:rsidR="002F4E07" w:rsidRDefault="002F4E07" w:rsidP="005F1929">
      <w:pPr>
        <w:keepNext/>
        <w:keepLines/>
      </w:pPr>
      <w:r>
        <w:t>National Propane Gas Association</w:t>
      </w:r>
    </w:p>
    <w:p w14:paraId="2D02C533" w14:textId="77777777" w:rsidR="002F4E07" w:rsidRPr="00E025F9" w:rsidRDefault="002F4E07" w:rsidP="005E3AFA">
      <w:pPr>
        <w:keepNext/>
        <w:spacing w:after="0"/>
        <w:rPr>
          <w:b/>
        </w:rPr>
      </w:pPr>
      <w:r w:rsidRPr="00E025F9">
        <w:rPr>
          <w:b/>
        </w:rPr>
        <w:t>Purpose:</w:t>
      </w:r>
    </w:p>
    <w:p w14:paraId="5E53FE6E" w14:textId="37E523CC" w:rsidR="002F4E07" w:rsidRDefault="002F4E07" w:rsidP="002F4E07">
      <w:r>
        <w:rPr>
          <w:szCs w:val="20"/>
        </w:rPr>
        <w:t>Resolve the discrepancy that exists between Handbook 130 and Title 49 of the Code of Federal Regulations with respect to the allowable differences between the stamped tare weight and the actual tare weight of cylinders used for compressed or liquefied gases in refillable cylinders.</w:t>
      </w:r>
    </w:p>
    <w:p w14:paraId="5754B80C" w14:textId="77777777" w:rsidR="002F4E07" w:rsidRPr="00E025F9" w:rsidRDefault="002F4E07" w:rsidP="002F4E07">
      <w:pPr>
        <w:spacing w:after="0"/>
        <w:rPr>
          <w:b/>
        </w:rPr>
      </w:pPr>
      <w:r w:rsidRPr="00E025F9">
        <w:rPr>
          <w:b/>
        </w:rPr>
        <w:t>Item under Consideration:</w:t>
      </w:r>
    </w:p>
    <w:p w14:paraId="68258863" w14:textId="0208DFBE" w:rsidR="002F4E07" w:rsidRDefault="00FF4EEA" w:rsidP="002F4E07">
      <w:r>
        <w:t>Amend the Uniform Regulation for the Method of Sale of Commodities as follows:</w:t>
      </w:r>
    </w:p>
    <w:p w14:paraId="7ABEA0CF" w14:textId="2D2754C8" w:rsidR="00FF4EEA" w:rsidRDefault="00FF4EEA" w:rsidP="00FF4EEA">
      <w:pPr>
        <w:spacing w:before="40"/>
        <w:ind w:left="252"/>
        <w:rPr>
          <w:b/>
          <w:szCs w:val="20"/>
        </w:rPr>
      </w:pPr>
      <w:bookmarkStart w:id="45" w:name="_Toc115622733"/>
      <w:r w:rsidRPr="0015076E">
        <w:rPr>
          <w:b/>
          <w:szCs w:val="20"/>
        </w:rPr>
        <w:t>2.16.3.1.  Tare weights</w:t>
      </w:r>
      <w:r w:rsidRPr="0015076E">
        <w:rPr>
          <w:b/>
          <w:szCs w:val="20"/>
        </w:rPr>
        <w:fldChar w:fldCharType="begin"/>
      </w:r>
      <w:r w:rsidRPr="0015076E">
        <w:rPr>
          <w:szCs w:val="20"/>
        </w:rPr>
        <w:instrText xml:space="preserve"> XE "</w:instrText>
      </w:r>
      <w:r w:rsidRPr="0015076E">
        <w:rPr>
          <w:b/>
          <w:szCs w:val="20"/>
        </w:rPr>
        <w:instrText>Tare weight:</w:instrText>
      </w:r>
      <w:r w:rsidRPr="0015076E">
        <w:rPr>
          <w:szCs w:val="20"/>
        </w:rPr>
        <w:instrText xml:space="preserve">Compressed or liquefied gases in refillable cylinders" </w:instrText>
      </w:r>
      <w:r w:rsidRPr="0015076E">
        <w:rPr>
          <w:b/>
          <w:szCs w:val="20"/>
        </w:rPr>
        <w:fldChar w:fldCharType="end"/>
      </w:r>
      <w:r w:rsidRPr="0015076E">
        <w:rPr>
          <w:b/>
          <w:szCs w:val="20"/>
        </w:rPr>
        <w:t>.</w:t>
      </w:r>
      <w:bookmarkEnd w:id="45"/>
    </w:p>
    <w:p w14:paraId="1CD5B667" w14:textId="7EE42D3F" w:rsidR="004913B3" w:rsidRDefault="00FF4EEA" w:rsidP="007C4507">
      <w:pPr>
        <w:spacing w:before="40"/>
        <w:ind w:left="252"/>
        <w:rPr>
          <w:b/>
          <w:szCs w:val="20"/>
        </w:rPr>
      </w:pPr>
      <w:r w:rsidRPr="00FF4EEA">
        <w:rPr>
          <w:b/>
          <w:szCs w:val="20"/>
        </w:rPr>
        <w:t>…</w:t>
      </w:r>
    </w:p>
    <w:p w14:paraId="035D2C0C" w14:textId="77777777" w:rsidR="001F5BC2" w:rsidRPr="00052688" w:rsidRDefault="001F5BC2" w:rsidP="001F5BC2">
      <w:pPr>
        <w:spacing w:line="239" w:lineRule="auto"/>
        <w:ind w:left="720" w:right="56" w:hanging="360"/>
        <w:rPr>
          <w:rFonts w:ascii="Calibri" w:hAnsi="Calibri" w:cs="Calibri"/>
          <w:color w:val="000000"/>
          <w:kern w:val="2"/>
          <w:sz w:val="22"/>
          <w:szCs w:val="24"/>
          <w14:ligatures w14:val="standardContextual"/>
        </w:rPr>
      </w:pPr>
      <w:r w:rsidRPr="004C7B72">
        <w:rPr>
          <w:rFonts w:eastAsia="Times New Roman"/>
          <w:color w:val="000000"/>
          <w:kern w:val="2"/>
          <w:sz w:val="22"/>
          <w:szCs w:val="24"/>
          <w14:ligatures w14:val="standardContextual"/>
        </w:rPr>
        <w:t xml:space="preserve">(c) </w:t>
      </w:r>
      <w:r w:rsidRPr="004C7B72">
        <w:rPr>
          <w:rFonts w:eastAsia="Times New Roman"/>
          <w:b/>
          <w:color w:val="000000"/>
          <w:kern w:val="2"/>
          <w:sz w:val="22"/>
          <w:szCs w:val="24"/>
          <w14:ligatures w14:val="standardContextual"/>
        </w:rPr>
        <w:t xml:space="preserve">Allowable difference. </w:t>
      </w:r>
      <w:r w:rsidRPr="004C7B72">
        <w:rPr>
          <w:rFonts w:eastAsia="Times New Roman"/>
          <w:color w:val="000000"/>
          <w:kern w:val="2"/>
          <w:sz w:val="22"/>
          <w:szCs w:val="24"/>
          <w14:ligatures w14:val="standardContextual"/>
        </w:rPr>
        <w:t>–  If the stamped or stenciled tare is used to determine the net contents of the cylinder</w:t>
      </w:r>
      <w:r w:rsidRPr="00B530E4">
        <w:rPr>
          <w:rFonts w:eastAsia="Times New Roman"/>
          <w:strike/>
          <w:color w:val="000000"/>
          <w:kern w:val="2"/>
          <w:sz w:val="22"/>
          <w:szCs w:val="24"/>
          <w14:ligatures w14:val="standardContextual"/>
        </w:rPr>
        <w:t xml:space="preserve">, the allowable difference between the actual tare weight and the stamped (or stenciled) tare weight, or the tare weight on a tag attached to the cylinder </w:t>
      </w:r>
      <w:r w:rsidRPr="003A6BC5">
        <w:rPr>
          <w:rFonts w:eastAsia="Times New Roman"/>
          <w:b/>
          <w:strike/>
          <w:color w:val="000000"/>
          <w:kern w:val="2"/>
          <w:sz w:val="22"/>
          <w:szCs w:val="24"/>
          <w14:ligatures w14:val="standardContextual"/>
        </w:rPr>
        <w:t>for a new or used</w:t>
      </w:r>
      <w:r w:rsidRPr="00052688">
        <w:rPr>
          <w:rFonts w:eastAsia="Times New Roman"/>
          <w:b/>
          <w:color w:val="000000"/>
          <w:kern w:val="2"/>
          <w:sz w:val="22"/>
          <w:szCs w:val="24"/>
          <w14:ligatures w14:val="standardContextual"/>
        </w:rPr>
        <w:t xml:space="preserve"> </w:t>
      </w:r>
      <w:r w:rsidRPr="00C8624A">
        <w:rPr>
          <w:rFonts w:eastAsia="Times New Roman"/>
          <w:b/>
          <w:strike/>
          <w:color w:val="000000"/>
          <w:kern w:val="2"/>
          <w:sz w:val="22"/>
          <w:szCs w:val="24"/>
          <w14:ligatures w14:val="standardContextual"/>
        </w:rPr>
        <w:t>cylinder, shall be within</w:t>
      </w:r>
      <w:r w:rsidRPr="00052688">
        <w:rPr>
          <w:rFonts w:eastAsia="Times New Roman"/>
          <w:color w:val="000000"/>
          <w:kern w:val="2"/>
          <w:sz w:val="22"/>
          <w:szCs w:val="24"/>
          <w14:ligatures w14:val="standardContextual"/>
        </w:rPr>
        <w:t xml:space="preserve">: </w:t>
      </w:r>
    </w:p>
    <w:p w14:paraId="286F825B" w14:textId="77777777" w:rsidR="001F5BC2" w:rsidRPr="00B530E4" w:rsidRDefault="001F5BC2" w:rsidP="001F5BC2">
      <w:pPr>
        <w:spacing w:line="239" w:lineRule="auto"/>
        <w:ind w:left="720" w:right="56" w:hanging="360"/>
        <w:rPr>
          <w:rFonts w:ascii="Calibri" w:hAnsi="Calibri" w:cs="Calibri"/>
          <w:strike/>
          <w:color w:val="000000"/>
          <w:kern w:val="2"/>
          <w:szCs w:val="20"/>
          <w14:ligatures w14:val="standardContextual"/>
        </w:rPr>
      </w:pPr>
      <w:r>
        <w:rPr>
          <w:rFonts w:eastAsia="Times New Roman"/>
          <w:szCs w:val="24"/>
        </w:rPr>
        <w:t xml:space="preserve">             </w:t>
      </w:r>
      <w:r w:rsidRPr="00B530E4">
        <w:rPr>
          <w:rFonts w:eastAsia="Times New Roman"/>
          <w:b/>
          <w:bCs/>
          <w:strike/>
          <w:szCs w:val="24"/>
          <w:u w:val="single"/>
        </w:rPr>
        <w:t>(1)</w:t>
      </w:r>
      <w:r w:rsidRPr="00B530E4">
        <w:rPr>
          <w:rFonts w:eastAsia="Times New Roman"/>
          <w:strike/>
          <w:szCs w:val="24"/>
        </w:rPr>
        <w:t xml:space="preserve"> </w:t>
      </w:r>
      <w:r w:rsidRPr="00B530E4">
        <w:rPr>
          <w:rFonts w:eastAsia="Times New Roman"/>
          <w:b/>
          <w:strike/>
          <w:color w:val="000000"/>
          <w:kern w:val="2"/>
          <w:szCs w:val="20"/>
          <w:u w:val="single" w:color="000000"/>
          <w14:ligatures w14:val="standardContextual"/>
        </w:rPr>
        <w:t>For cylinders manufactured prior to December 28, 2022, shall be within:</w:t>
      </w:r>
      <w:r w:rsidRPr="00B530E4">
        <w:rPr>
          <w:rFonts w:eastAsia="Times New Roman"/>
          <w:b/>
          <w:strike/>
          <w:color w:val="000000"/>
          <w:kern w:val="2"/>
          <w:szCs w:val="20"/>
          <w14:ligatures w14:val="standardContextual"/>
        </w:rPr>
        <w:t xml:space="preserve"> </w:t>
      </w:r>
    </w:p>
    <w:p w14:paraId="58E8A729" w14:textId="77777777" w:rsidR="001F5BC2" w:rsidRPr="00B530E4" w:rsidRDefault="001F5BC2" w:rsidP="001F5BC2">
      <w:pPr>
        <w:spacing w:after="112" w:line="366" w:lineRule="auto"/>
        <w:ind w:left="1080" w:right="2428"/>
        <w:rPr>
          <w:rFonts w:eastAsia="Times New Roman"/>
          <w:b/>
          <w:strike/>
          <w:color w:val="000000"/>
          <w:kern w:val="2"/>
          <w:szCs w:val="20"/>
          <w14:ligatures w14:val="standardContextual"/>
        </w:rPr>
      </w:pPr>
      <w:r w:rsidRPr="00B530E4">
        <w:rPr>
          <w:rFonts w:eastAsia="Times New Roman"/>
          <w:bCs/>
          <w:strike/>
          <w:color w:val="000000"/>
          <w:kern w:val="2"/>
          <w:szCs w:val="20"/>
          <w14:ligatures w14:val="standardContextual"/>
        </w:rPr>
        <w:t xml:space="preserve">   </w:t>
      </w:r>
      <w:r w:rsidRPr="00B530E4">
        <w:rPr>
          <w:rFonts w:eastAsia="Times New Roman"/>
          <w:b/>
          <w:strike/>
          <w:color w:val="000000"/>
          <w:kern w:val="2"/>
          <w:szCs w:val="20"/>
          <w:u w:val="single" w:color="000000"/>
          <w14:ligatures w14:val="standardContextual"/>
        </w:rPr>
        <w:t xml:space="preserve"> i. </w:t>
      </w:r>
      <w:r w:rsidRPr="00B530E4">
        <w:rPr>
          <w:rFonts w:eastAsia="Times New Roman"/>
          <w:b/>
          <w:strike/>
          <w:color w:val="000000"/>
          <w:kern w:val="2"/>
          <w:szCs w:val="20"/>
          <w14:ligatures w14:val="standardContextual"/>
        </w:rPr>
        <w:t xml:space="preserve">     </w:t>
      </w:r>
      <w:r w:rsidRPr="00B530E4">
        <w:rPr>
          <w:rFonts w:eastAsia="Times New Roman"/>
          <w:b/>
          <w:strike/>
          <w:color w:val="000000"/>
          <w:kern w:val="2"/>
          <w:szCs w:val="20"/>
          <w:u w:val="single" w:color="000000"/>
          <w14:ligatures w14:val="standardContextual"/>
        </w:rPr>
        <w:t xml:space="preserve"> </w:t>
      </w:r>
      <w:r w:rsidRPr="00B530E4">
        <w:rPr>
          <w:rFonts w:eastAsia="Times New Roman"/>
          <w:b/>
          <w:strike/>
          <w:color w:val="000000"/>
          <w:kern w:val="2"/>
          <w:szCs w:val="20"/>
          <w:u w:val="single"/>
          <w:vertAlign w:val="superscript"/>
          <w14:ligatures w14:val="standardContextual"/>
        </w:rPr>
        <w:t>1</w:t>
      </w:r>
      <w:r w:rsidRPr="00B530E4">
        <w:rPr>
          <w:rFonts w:eastAsia="Times New Roman"/>
          <w:b/>
          <w:strike/>
          <w:color w:val="000000"/>
          <w:kern w:val="2"/>
          <w:szCs w:val="20"/>
          <w:u w:val="single" w:color="000000"/>
          <w14:ligatures w14:val="standardContextual"/>
        </w:rPr>
        <w:t>/</w:t>
      </w:r>
      <w:proofErr w:type="gramStart"/>
      <w:r w:rsidRPr="00B530E4">
        <w:rPr>
          <w:rFonts w:eastAsia="Times New Roman"/>
          <w:b/>
          <w:strike/>
          <w:color w:val="000000"/>
          <w:kern w:val="2"/>
          <w:szCs w:val="20"/>
          <w:u w:val="single" w:color="000000"/>
          <w:vertAlign w:val="subscript"/>
          <w14:ligatures w14:val="standardContextual"/>
        </w:rPr>
        <w:t>2</w:t>
      </w:r>
      <w:r w:rsidRPr="00B530E4">
        <w:rPr>
          <w:rFonts w:eastAsia="Times New Roman"/>
          <w:b/>
          <w:strike/>
          <w:color w:val="000000"/>
          <w:kern w:val="2"/>
          <w:szCs w:val="20"/>
          <w:u w:val="single" w:color="000000"/>
          <w14:ligatures w14:val="standardContextual"/>
        </w:rPr>
        <w:t xml:space="preserve"> </w:t>
      </w:r>
      <w:r w:rsidRPr="00B530E4">
        <w:rPr>
          <w:rFonts w:eastAsia="Times New Roman"/>
          <w:b/>
          <w:strike/>
          <w:color w:val="000000"/>
          <w:kern w:val="2"/>
          <w:szCs w:val="20"/>
          <w:u w:val="single" w:color="000000"/>
          <w:vertAlign w:val="subscript"/>
          <w14:ligatures w14:val="standardContextual"/>
        </w:rPr>
        <w:t xml:space="preserve"> </w:t>
      </w:r>
      <w:r w:rsidRPr="00B530E4">
        <w:rPr>
          <w:rFonts w:eastAsia="Times New Roman"/>
          <w:b/>
          <w:strike/>
          <w:color w:val="000000"/>
          <w:kern w:val="2"/>
          <w:szCs w:val="20"/>
          <w:u w:val="single" w:color="000000"/>
          <w14:ligatures w14:val="standardContextual"/>
        </w:rPr>
        <w:t>%</w:t>
      </w:r>
      <w:proofErr w:type="gramEnd"/>
      <w:r w:rsidRPr="00B530E4">
        <w:rPr>
          <w:rFonts w:eastAsia="Times New Roman"/>
          <w:b/>
          <w:strike/>
          <w:color w:val="000000"/>
          <w:kern w:val="2"/>
          <w:szCs w:val="20"/>
          <w:u w:val="single" w:color="000000"/>
          <w14:ligatures w14:val="standardContextual"/>
        </w:rPr>
        <w:t xml:space="preserve"> for tare weights of 9 kg (20 lb) or less; or</w:t>
      </w:r>
      <w:r w:rsidRPr="00B530E4">
        <w:rPr>
          <w:rFonts w:eastAsia="Times New Roman"/>
          <w:b/>
          <w:strike/>
          <w:color w:val="000000"/>
          <w:kern w:val="2"/>
          <w:szCs w:val="20"/>
          <w14:ligatures w14:val="standardContextual"/>
        </w:rPr>
        <w:t xml:space="preserve"> </w:t>
      </w:r>
    </w:p>
    <w:p w14:paraId="7061C262" w14:textId="77777777" w:rsidR="001F5BC2" w:rsidRDefault="001F5BC2" w:rsidP="001F5BC2">
      <w:pPr>
        <w:spacing w:after="112" w:line="366" w:lineRule="auto"/>
        <w:ind w:left="1080" w:right="2428"/>
        <w:rPr>
          <w:rFonts w:eastAsia="Times New Roman"/>
          <w:b/>
          <w:strike/>
          <w:color w:val="000000"/>
          <w:kern w:val="2"/>
          <w:szCs w:val="20"/>
          <w14:ligatures w14:val="standardContextual"/>
        </w:rPr>
      </w:pPr>
      <w:r w:rsidRPr="00B530E4">
        <w:rPr>
          <w:rFonts w:eastAsia="Times New Roman"/>
          <w:bCs/>
          <w:strike/>
          <w:color w:val="000000"/>
          <w:kern w:val="2"/>
          <w:szCs w:val="20"/>
          <w14:ligatures w14:val="standardContextual"/>
        </w:rPr>
        <w:t xml:space="preserve">  </w:t>
      </w:r>
      <w:r w:rsidRPr="00B530E4">
        <w:rPr>
          <w:rFonts w:eastAsia="Times New Roman"/>
          <w:b/>
          <w:strike/>
          <w:color w:val="000000"/>
          <w:kern w:val="2"/>
          <w:szCs w:val="20"/>
          <w:u w:val="single"/>
          <w14:ligatures w14:val="standardContextual"/>
        </w:rPr>
        <w:t xml:space="preserve"> ii</w:t>
      </w:r>
      <w:r w:rsidRPr="00B530E4">
        <w:rPr>
          <w:rFonts w:eastAsia="Times New Roman"/>
          <w:b/>
          <w:strike/>
          <w:color w:val="000000"/>
          <w:kern w:val="2"/>
          <w:szCs w:val="20"/>
          <w:u w:val="single" w:color="000000"/>
          <w14:ligatures w14:val="standardContextual"/>
        </w:rPr>
        <w:t>.</w:t>
      </w:r>
      <w:r w:rsidRPr="00B530E4">
        <w:rPr>
          <w:rFonts w:eastAsia="Times New Roman"/>
          <w:b/>
          <w:strike/>
          <w:color w:val="000000"/>
          <w:kern w:val="2"/>
          <w:szCs w:val="20"/>
          <w14:ligatures w14:val="standardContextual"/>
        </w:rPr>
        <w:t xml:space="preserve">      </w:t>
      </w:r>
      <w:r w:rsidRPr="00B530E4">
        <w:rPr>
          <w:rFonts w:eastAsia="Times New Roman"/>
          <w:b/>
          <w:strike/>
          <w:color w:val="000000"/>
          <w:kern w:val="2"/>
          <w:szCs w:val="20"/>
          <w:u w:val="single" w:color="000000"/>
          <w14:ligatures w14:val="standardContextual"/>
        </w:rPr>
        <w:t xml:space="preserve"> </w:t>
      </w:r>
      <w:r w:rsidRPr="00B530E4">
        <w:rPr>
          <w:rFonts w:eastAsia="Times New Roman"/>
          <w:b/>
          <w:strike/>
          <w:color w:val="000000"/>
          <w:kern w:val="2"/>
          <w:szCs w:val="20"/>
          <w:u w:val="single"/>
          <w:vertAlign w:val="superscript"/>
          <w14:ligatures w14:val="standardContextual"/>
        </w:rPr>
        <w:t>1</w:t>
      </w:r>
      <w:r w:rsidRPr="00B530E4">
        <w:rPr>
          <w:rFonts w:eastAsia="Times New Roman"/>
          <w:b/>
          <w:strike/>
          <w:color w:val="000000"/>
          <w:kern w:val="2"/>
          <w:szCs w:val="20"/>
          <w:u w:val="single" w:color="000000"/>
          <w14:ligatures w14:val="standardContextual"/>
        </w:rPr>
        <w:t>/</w:t>
      </w:r>
      <w:proofErr w:type="gramStart"/>
      <w:r w:rsidRPr="00B530E4">
        <w:rPr>
          <w:rFonts w:eastAsia="Times New Roman"/>
          <w:b/>
          <w:strike/>
          <w:color w:val="000000"/>
          <w:kern w:val="2"/>
          <w:szCs w:val="20"/>
          <w:u w:val="single" w:color="000000"/>
          <w:vertAlign w:val="subscript"/>
          <w14:ligatures w14:val="standardContextual"/>
        </w:rPr>
        <w:t>4</w:t>
      </w:r>
      <w:r w:rsidRPr="00B530E4">
        <w:rPr>
          <w:rFonts w:eastAsia="Times New Roman"/>
          <w:b/>
          <w:strike/>
          <w:color w:val="000000"/>
          <w:kern w:val="2"/>
          <w:szCs w:val="20"/>
          <w:u w:val="single" w:color="000000"/>
          <w14:ligatures w14:val="standardContextual"/>
        </w:rPr>
        <w:t xml:space="preserve"> </w:t>
      </w:r>
      <w:r w:rsidRPr="00B530E4">
        <w:rPr>
          <w:rFonts w:eastAsia="Times New Roman"/>
          <w:b/>
          <w:strike/>
          <w:color w:val="000000"/>
          <w:kern w:val="2"/>
          <w:szCs w:val="20"/>
          <w:u w:val="single" w:color="000000"/>
          <w:vertAlign w:val="subscript"/>
          <w14:ligatures w14:val="standardContextual"/>
        </w:rPr>
        <w:t xml:space="preserve"> </w:t>
      </w:r>
      <w:r w:rsidRPr="00B530E4">
        <w:rPr>
          <w:rFonts w:eastAsia="Times New Roman"/>
          <w:b/>
          <w:strike/>
          <w:color w:val="000000"/>
          <w:kern w:val="2"/>
          <w:szCs w:val="20"/>
          <w:u w:val="single" w:color="000000"/>
          <w14:ligatures w14:val="standardContextual"/>
        </w:rPr>
        <w:t>%</w:t>
      </w:r>
      <w:proofErr w:type="gramEnd"/>
      <w:r w:rsidRPr="00B530E4">
        <w:rPr>
          <w:rFonts w:eastAsia="Times New Roman"/>
          <w:b/>
          <w:strike/>
          <w:color w:val="000000"/>
          <w:kern w:val="2"/>
          <w:szCs w:val="20"/>
          <w:u w:val="single" w:color="000000"/>
          <w14:ligatures w14:val="standardContextual"/>
        </w:rPr>
        <w:t xml:space="preserve"> for tare weights of more than 9 kg (20 lb).</w:t>
      </w:r>
      <w:r w:rsidRPr="00B530E4">
        <w:rPr>
          <w:rFonts w:eastAsia="Times New Roman"/>
          <w:b/>
          <w:strike/>
          <w:color w:val="000000"/>
          <w:kern w:val="2"/>
          <w:szCs w:val="20"/>
          <w14:ligatures w14:val="standardContextual"/>
        </w:rPr>
        <w:t xml:space="preserve"> </w:t>
      </w:r>
    </w:p>
    <w:p w14:paraId="217D2CB9" w14:textId="305182F0" w:rsidR="002F2132" w:rsidRPr="00B530E4" w:rsidRDefault="00DE23F5" w:rsidP="00DE23F5">
      <w:pPr>
        <w:pStyle w:val="ListParagraph"/>
        <w:numPr>
          <w:ilvl w:val="0"/>
          <w:numId w:val="47"/>
        </w:numPr>
        <w:spacing w:after="112" w:line="366" w:lineRule="auto"/>
        <w:ind w:right="2428"/>
        <w:rPr>
          <w:b/>
          <w:bCs/>
          <w:color w:val="000000"/>
          <w:kern w:val="2"/>
          <w:szCs w:val="20"/>
          <w14:ligatures w14:val="standardContextual"/>
        </w:rPr>
      </w:pPr>
      <w:r w:rsidRPr="00B530E4">
        <w:rPr>
          <w:b/>
          <w:bCs/>
          <w:color w:val="000000"/>
          <w:kern w:val="2"/>
          <w:szCs w:val="20"/>
          <w:u w:val="single"/>
          <w14:ligatures w14:val="standardContextual"/>
        </w:rPr>
        <w:lastRenderedPageBreak/>
        <w:t>The allowable difference between the actual tare weight and the stamped</w:t>
      </w:r>
      <w:r w:rsidR="004F74CC" w:rsidRPr="00B530E4">
        <w:rPr>
          <w:b/>
          <w:bCs/>
          <w:color w:val="000000"/>
          <w:kern w:val="2"/>
          <w:szCs w:val="20"/>
          <w:u w:val="single"/>
          <w14:ligatures w14:val="standardContextual"/>
        </w:rPr>
        <w:t xml:space="preserve"> (or stenciled) tare weight, or the tare weight on a tag attached to the cylinder for a new or used cylinder manufactured prior to </w:t>
      </w:r>
      <w:r w:rsidR="009A3B65" w:rsidRPr="009A3B65">
        <w:rPr>
          <w:b/>
          <w:bCs/>
          <w:color w:val="000000"/>
          <w:kern w:val="2"/>
          <w:szCs w:val="20"/>
          <w:u w:val="single"/>
          <w14:ligatures w14:val="standardContextual"/>
        </w:rPr>
        <w:t>December</w:t>
      </w:r>
      <w:r w:rsidR="004F74CC" w:rsidRPr="00B530E4">
        <w:rPr>
          <w:b/>
          <w:bCs/>
          <w:color w:val="000000"/>
          <w:kern w:val="2"/>
          <w:szCs w:val="20"/>
          <w:u w:val="single"/>
          <w14:ligatures w14:val="standardContextual"/>
        </w:rPr>
        <w:t xml:space="preserve"> </w:t>
      </w:r>
      <w:r w:rsidR="004B0A92" w:rsidRPr="00B530E4">
        <w:rPr>
          <w:b/>
          <w:bCs/>
          <w:color w:val="000000"/>
          <w:kern w:val="2"/>
          <w:szCs w:val="20"/>
          <w:u w:val="single"/>
          <w14:ligatures w14:val="standardContextual"/>
        </w:rPr>
        <w:t>28, 2022</w:t>
      </w:r>
      <w:r w:rsidR="00A81AC2">
        <w:rPr>
          <w:b/>
          <w:bCs/>
          <w:color w:val="000000"/>
          <w:kern w:val="2"/>
          <w:szCs w:val="20"/>
          <w:u w:val="single"/>
          <w14:ligatures w14:val="standardContextual"/>
        </w:rPr>
        <w:t>,</w:t>
      </w:r>
      <w:r w:rsidR="004B0A92" w:rsidRPr="00B530E4">
        <w:rPr>
          <w:b/>
          <w:bCs/>
          <w:color w:val="000000"/>
          <w:kern w:val="2"/>
          <w:szCs w:val="20"/>
          <w:u w:val="single"/>
          <w14:ligatures w14:val="standardContextual"/>
        </w:rPr>
        <w:t xml:space="preserve"> shall be within:</w:t>
      </w:r>
    </w:p>
    <w:p w14:paraId="481F09EA" w14:textId="6DBCC73D" w:rsidR="00DD5C8D" w:rsidRPr="00B530E4" w:rsidRDefault="00DD5C8D" w:rsidP="00DD5C8D">
      <w:pPr>
        <w:spacing w:after="112" w:line="366" w:lineRule="auto"/>
        <w:ind w:left="1080" w:right="2428"/>
        <w:rPr>
          <w:rFonts w:eastAsia="Times New Roman"/>
          <w:b/>
          <w:color w:val="000000"/>
          <w:kern w:val="2"/>
          <w:szCs w:val="20"/>
          <w14:ligatures w14:val="standardContextual"/>
        </w:rPr>
      </w:pPr>
      <w:r w:rsidRPr="00B530E4">
        <w:rPr>
          <w:rFonts w:eastAsia="Times New Roman"/>
          <w:bCs/>
          <w:color w:val="000000"/>
          <w:kern w:val="2"/>
          <w:szCs w:val="20"/>
          <w14:ligatures w14:val="standardContextual"/>
        </w:rPr>
        <w:t xml:space="preserve">   </w:t>
      </w:r>
      <w:r w:rsidRPr="00B530E4">
        <w:rPr>
          <w:rFonts w:eastAsia="Times New Roman"/>
          <w:b/>
          <w:color w:val="000000"/>
          <w:kern w:val="2"/>
          <w:szCs w:val="20"/>
          <w:u w:val="single" w:color="000000"/>
          <w14:ligatures w14:val="standardContextual"/>
        </w:rPr>
        <w:t xml:space="preserve"> i. </w:t>
      </w:r>
      <w:r w:rsidRPr="00B530E4">
        <w:rPr>
          <w:rFonts w:eastAsia="Times New Roman"/>
          <w:b/>
          <w:color w:val="000000"/>
          <w:kern w:val="2"/>
          <w:szCs w:val="20"/>
          <w14:ligatures w14:val="standardContextual"/>
        </w:rPr>
        <w:t xml:space="preserve">     </w:t>
      </w:r>
      <w:r w:rsidRPr="00B530E4">
        <w:rPr>
          <w:rFonts w:eastAsia="Times New Roman"/>
          <w:b/>
          <w:color w:val="000000"/>
          <w:kern w:val="2"/>
          <w:szCs w:val="20"/>
          <w:u w:val="single" w:color="000000"/>
          <w14:ligatures w14:val="standardContextual"/>
        </w:rPr>
        <w:t xml:space="preserve"> </w:t>
      </w:r>
      <w:r w:rsidRPr="00B530E4">
        <w:rPr>
          <w:rFonts w:eastAsia="Times New Roman"/>
          <w:b/>
          <w:color w:val="000000"/>
          <w:kern w:val="2"/>
          <w:szCs w:val="20"/>
          <w:u w:val="single"/>
          <w:vertAlign w:val="superscript"/>
          <w14:ligatures w14:val="standardContextual"/>
        </w:rPr>
        <w:t>1</w:t>
      </w:r>
      <w:r w:rsidRPr="00B530E4">
        <w:rPr>
          <w:rFonts w:eastAsia="Times New Roman"/>
          <w:b/>
          <w:color w:val="000000"/>
          <w:kern w:val="2"/>
          <w:szCs w:val="20"/>
          <w:u w:val="single" w:color="000000"/>
          <w14:ligatures w14:val="standardContextual"/>
        </w:rPr>
        <w:t>/</w:t>
      </w:r>
      <w:proofErr w:type="gramStart"/>
      <w:r w:rsidRPr="00B530E4">
        <w:rPr>
          <w:rFonts w:eastAsia="Times New Roman"/>
          <w:b/>
          <w:color w:val="000000"/>
          <w:kern w:val="2"/>
          <w:szCs w:val="20"/>
          <w:u w:val="single" w:color="000000"/>
          <w:vertAlign w:val="subscript"/>
          <w14:ligatures w14:val="standardContextual"/>
        </w:rPr>
        <w:t>2</w:t>
      </w:r>
      <w:r w:rsidRPr="00B530E4">
        <w:rPr>
          <w:rFonts w:eastAsia="Times New Roman"/>
          <w:b/>
          <w:color w:val="000000"/>
          <w:kern w:val="2"/>
          <w:szCs w:val="20"/>
          <w:u w:val="single" w:color="000000"/>
          <w14:ligatures w14:val="standardContextual"/>
        </w:rPr>
        <w:t xml:space="preserve"> </w:t>
      </w:r>
      <w:r w:rsidRPr="00B530E4">
        <w:rPr>
          <w:rFonts w:eastAsia="Times New Roman"/>
          <w:b/>
          <w:color w:val="000000"/>
          <w:kern w:val="2"/>
          <w:szCs w:val="20"/>
          <w:u w:val="single" w:color="000000"/>
          <w:vertAlign w:val="subscript"/>
          <w14:ligatures w14:val="standardContextual"/>
        </w:rPr>
        <w:t xml:space="preserve"> </w:t>
      </w:r>
      <w:r w:rsidRPr="00B530E4">
        <w:rPr>
          <w:rFonts w:eastAsia="Times New Roman"/>
          <w:b/>
          <w:color w:val="000000"/>
          <w:kern w:val="2"/>
          <w:szCs w:val="20"/>
          <w:u w:val="single" w:color="000000"/>
          <w14:ligatures w14:val="standardContextual"/>
        </w:rPr>
        <w:t>%</w:t>
      </w:r>
      <w:proofErr w:type="gramEnd"/>
      <w:r w:rsidRPr="00B530E4">
        <w:rPr>
          <w:rFonts w:eastAsia="Times New Roman"/>
          <w:b/>
          <w:color w:val="000000"/>
          <w:kern w:val="2"/>
          <w:szCs w:val="20"/>
          <w:u w:val="single" w:color="000000"/>
          <w14:ligatures w14:val="standardContextual"/>
        </w:rPr>
        <w:t xml:space="preserve"> for tare weights </w:t>
      </w:r>
      <w:r w:rsidR="00F04822">
        <w:rPr>
          <w:rFonts w:eastAsia="Times New Roman"/>
          <w:b/>
          <w:color w:val="000000"/>
          <w:kern w:val="2"/>
          <w:szCs w:val="20"/>
          <w:u w:val="single" w:color="000000"/>
          <w14:ligatures w14:val="standardContextual"/>
        </w:rPr>
        <w:t xml:space="preserve">of </w:t>
      </w:r>
      <w:r w:rsidRPr="00B530E4">
        <w:rPr>
          <w:rFonts w:eastAsia="Times New Roman"/>
          <w:b/>
          <w:color w:val="000000"/>
          <w:kern w:val="2"/>
          <w:szCs w:val="20"/>
          <w:u w:val="single" w:color="000000"/>
          <w14:ligatures w14:val="standardContextual"/>
        </w:rPr>
        <w:t>9 kg (20 lb</w:t>
      </w:r>
      <w:r w:rsidR="00A81AC2">
        <w:rPr>
          <w:rFonts w:eastAsia="Times New Roman"/>
          <w:b/>
          <w:color w:val="000000"/>
          <w:kern w:val="2"/>
          <w:szCs w:val="20"/>
          <w:u w:val="single" w:color="000000"/>
          <w14:ligatures w14:val="standardContextual"/>
        </w:rPr>
        <w:t>.</w:t>
      </w:r>
      <w:r w:rsidRPr="00B530E4">
        <w:rPr>
          <w:rFonts w:eastAsia="Times New Roman"/>
          <w:b/>
          <w:color w:val="000000"/>
          <w:kern w:val="2"/>
          <w:szCs w:val="20"/>
          <w:u w:val="single" w:color="000000"/>
          <w14:ligatures w14:val="standardContextual"/>
        </w:rPr>
        <w:t>)</w:t>
      </w:r>
      <w:r w:rsidR="00191FF9">
        <w:rPr>
          <w:rFonts w:eastAsia="Times New Roman"/>
          <w:b/>
          <w:color w:val="000000"/>
          <w:kern w:val="2"/>
          <w:szCs w:val="20"/>
          <w:u w:val="single" w:color="000000"/>
          <w14:ligatures w14:val="standardContextual"/>
        </w:rPr>
        <w:t xml:space="preserve"> or less</w:t>
      </w:r>
      <w:r w:rsidRPr="00B530E4">
        <w:rPr>
          <w:rFonts w:eastAsia="Times New Roman"/>
          <w:b/>
          <w:color w:val="000000"/>
          <w:kern w:val="2"/>
          <w:szCs w:val="20"/>
          <w:u w:val="single" w:color="000000"/>
          <w14:ligatures w14:val="standardContextual"/>
        </w:rPr>
        <w:t xml:space="preserve"> </w:t>
      </w:r>
      <w:proofErr w:type="gramStart"/>
      <w:r w:rsidR="0048549C">
        <w:rPr>
          <w:rFonts w:eastAsia="Times New Roman"/>
          <w:b/>
          <w:color w:val="000000"/>
          <w:kern w:val="2"/>
          <w:szCs w:val="20"/>
          <w:u w:val="single" w:color="000000"/>
          <w14:ligatures w14:val="standardContextual"/>
        </w:rPr>
        <w:t xml:space="preserve">cylinders </w:t>
      </w:r>
      <w:r w:rsidRPr="00B530E4">
        <w:rPr>
          <w:rFonts w:eastAsia="Times New Roman"/>
          <w:b/>
          <w:color w:val="000000"/>
          <w:kern w:val="2"/>
          <w:szCs w:val="20"/>
          <w:u w:val="single" w:color="000000"/>
          <w14:ligatures w14:val="standardContextual"/>
        </w:rPr>
        <w:t>;</w:t>
      </w:r>
      <w:proofErr w:type="gramEnd"/>
      <w:r w:rsidRPr="00B530E4">
        <w:rPr>
          <w:rFonts w:eastAsia="Times New Roman"/>
          <w:b/>
          <w:color w:val="000000"/>
          <w:kern w:val="2"/>
          <w:szCs w:val="20"/>
          <w:u w:val="single" w:color="000000"/>
          <w14:ligatures w14:val="standardContextual"/>
        </w:rPr>
        <w:t xml:space="preserve"> or</w:t>
      </w:r>
      <w:r w:rsidRPr="00B530E4">
        <w:rPr>
          <w:rFonts w:eastAsia="Times New Roman"/>
          <w:b/>
          <w:color w:val="000000"/>
          <w:kern w:val="2"/>
          <w:szCs w:val="20"/>
          <w14:ligatures w14:val="standardContextual"/>
        </w:rPr>
        <w:t xml:space="preserve"> </w:t>
      </w:r>
    </w:p>
    <w:p w14:paraId="69CC3D7B" w14:textId="4DC7C4BE" w:rsidR="00DD5C8D" w:rsidRPr="00B530E4" w:rsidRDefault="00DD5C8D" w:rsidP="00DD5C8D">
      <w:pPr>
        <w:spacing w:after="112" w:line="366" w:lineRule="auto"/>
        <w:ind w:left="1080" w:right="2428"/>
        <w:rPr>
          <w:rFonts w:eastAsia="Times New Roman"/>
          <w:b/>
          <w:color w:val="000000"/>
          <w:kern w:val="2"/>
          <w:szCs w:val="20"/>
          <w14:ligatures w14:val="standardContextual"/>
        </w:rPr>
      </w:pPr>
      <w:r w:rsidRPr="00B530E4">
        <w:rPr>
          <w:rFonts w:eastAsia="Times New Roman"/>
          <w:bCs/>
          <w:color w:val="000000"/>
          <w:kern w:val="2"/>
          <w:szCs w:val="20"/>
          <w14:ligatures w14:val="standardContextual"/>
        </w:rPr>
        <w:t xml:space="preserve">  </w:t>
      </w:r>
      <w:r w:rsidRPr="00B530E4">
        <w:rPr>
          <w:rFonts w:eastAsia="Times New Roman"/>
          <w:b/>
          <w:color w:val="000000"/>
          <w:kern w:val="2"/>
          <w:szCs w:val="20"/>
          <w:u w:val="single"/>
          <w14:ligatures w14:val="standardContextual"/>
        </w:rPr>
        <w:t xml:space="preserve"> ii</w:t>
      </w:r>
      <w:r w:rsidRPr="00B530E4">
        <w:rPr>
          <w:rFonts w:eastAsia="Times New Roman"/>
          <w:b/>
          <w:color w:val="000000"/>
          <w:kern w:val="2"/>
          <w:szCs w:val="20"/>
          <w:u w:val="single" w:color="000000"/>
          <w14:ligatures w14:val="standardContextual"/>
        </w:rPr>
        <w:t>.</w:t>
      </w:r>
      <w:r w:rsidRPr="00B530E4">
        <w:rPr>
          <w:rFonts w:eastAsia="Times New Roman"/>
          <w:b/>
          <w:color w:val="000000"/>
          <w:kern w:val="2"/>
          <w:szCs w:val="20"/>
          <w14:ligatures w14:val="standardContextual"/>
        </w:rPr>
        <w:t xml:space="preserve">      </w:t>
      </w:r>
      <w:r w:rsidRPr="00B530E4">
        <w:rPr>
          <w:rFonts w:eastAsia="Times New Roman"/>
          <w:b/>
          <w:color w:val="000000"/>
          <w:kern w:val="2"/>
          <w:szCs w:val="20"/>
          <w:u w:val="single" w:color="000000"/>
          <w14:ligatures w14:val="standardContextual"/>
        </w:rPr>
        <w:t xml:space="preserve"> </w:t>
      </w:r>
      <w:r w:rsidRPr="00B530E4">
        <w:rPr>
          <w:rFonts w:eastAsia="Times New Roman"/>
          <w:b/>
          <w:color w:val="000000"/>
          <w:kern w:val="2"/>
          <w:szCs w:val="20"/>
          <w:u w:val="single"/>
          <w:vertAlign w:val="superscript"/>
          <w14:ligatures w14:val="standardContextual"/>
        </w:rPr>
        <w:t>1</w:t>
      </w:r>
      <w:r w:rsidRPr="00B530E4">
        <w:rPr>
          <w:rFonts w:eastAsia="Times New Roman"/>
          <w:b/>
          <w:color w:val="000000"/>
          <w:kern w:val="2"/>
          <w:szCs w:val="20"/>
          <w:u w:val="single" w:color="000000"/>
          <w14:ligatures w14:val="standardContextual"/>
        </w:rPr>
        <w:t>/</w:t>
      </w:r>
      <w:proofErr w:type="gramStart"/>
      <w:r w:rsidRPr="00B530E4">
        <w:rPr>
          <w:rFonts w:eastAsia="Times New Roman"/>
          <w:b/>
          <w:color w:val="000000"/>
          <w:kern w:val="2"/>
          <w:szCs w:val="20"/>
          <w:u w:val="single" w:color="000000"/>
          <w:vertAlign w:val="subscript"/>
          <w14:ligatures w14:val="standardContextual"/>
        </w:rPr>
        <w:t>4</w:t>
      </w:r>
      <w:r w:rsidRPr="00B530E4">
        <w:rPr>
          <w:rFonts w:eastAsia="Times New Roman"/>
          <w:b/>
          <w:color w:val="000000"/>
          <w:kern w:val="2"/>
          <w:szCs w:val="20"/>
          <w:u w:val="single" w:color="000000"/>
          <w14:ligatures w14:val="standardContextual"/>
        </w:rPr>
        <w:t xml:space="preserve"> </w:t>
      </w:r>
      <w:r w:rsidRPr="00B530E4">
        <w:rPr>
          <w:rFonts w:eastAsia="Times New Roman"/>
          <w:b/>
          <w:color w:val="000000"/>
          <w:kern w:val="2"/>
          <w:szCs w:val="20"/>
          <w:u w:val="single" w:color="000000"/>
          <w:vertAlign w:val="subscript"/>
          <w14:ligatures w14:val="standardContextual"/>
        </w:rPr>
        <w:t xml:space="preserve"> </w:t>
      </w:r>
      <w:r w:rsidRPr="00B530E4">
        <w:rPr>
          <w:rFonts w:eastAsia="Times New Roman"/>
          <w:b/>
          <w:color w:val="000000"/>
          <w:kern w:val="2"/>
          <w:szCs w:val="20"/>
          <w:u w:val="single" w:color="000000"/>
          <w14:ligatures w14:val="standardContextual"/>
        </w:rPr>
        <w:t>%</w:t>
      </w:r>
      <w:proofErr w:type="gramEnd"/>
      <w:r w:rsidRPr="00B530E4">
        <w:rPr>
          <w:rFonts w:eastAsia="Times New Roman"/>
          <w:b/>
          <w:color w:val="000000"/>
          <w:kern w:val="2"/>
          <w:szCs w:val="20"/>
          <w:u w:val="single" w:color="000000"/>
          <w14:ligatures w14:val="standardContextual"/>
        </w:rPr>
        <w:t xml:space="preserve"> for tare weights </w:t>
      </w:r>
      <w:r w:rsidR="00F04822">
        <w:rPr>
          <w:rFonts w:eastAsia="Times New Roman"/>
          <w:b/>
          <w:color w:val="000000"/>
          <w:kern w:val="2"/>
          <w:szCs w:val="20"/>
          <w:u w:val="single" w:color="000000"/>
          <w14:ligatures w14:val="standardContextual"/>
        </w:rPr>
        <w:t xml:space="preserve">of </w:t>
      </w:r>
      <w:r w:rsidRPr="00B530E4">
        <w:rPr>
          <w:rFonts w:eastAsia="Times New Roman"/>
          <w:b/>
          <w:color w:val="000000"/>
          <w:kern w:val="2"/>
          <w:szCs w:val="20"/>
          <w:u w:val="single" w:color="000000"/>
          <w14:ligatures w14:val="standardContextual"/>
        </w:rPr>
        <w:t>more than 9 kg (20 lb</w:t>
      </w:r>
      <w:r w:rsidR="00A81AC2">
        <w:rPr>
          <w:rFonts w:eastAsia="Times New Roman"/>
          <w:b/>
          <w:color w:val="000000"/>
          <w:kern w:val="2"/>
          <w:szCs w:val="20"/>
          <w:u w:val="single" w:color="000000"/>
          <w14:ligatures w14:val="standardContextual"/>
        </w:rPr>
        <w:t>.</w:t>
      </w:r>
      <w:r w:rsidRPr="00B530E4">
        <w:rPr>
          <w:rFonts w:eastAsia="Times New Roman"/>
          <w:b/>
          <w:color w:val="000000"/>
          <w:kern w:val="2"/>
          <w:szCs w:val="20"/>
          <w:u w:val="single" w:color="000000"/>
          <w14:ligatures w14:val="standardContextual"/>
        </w:rPr>
        <w:t>)</w:t>
      </w:r>
      <w:r w:rsidR="0048549C">
        <w:rPr>
          <w:rFonts w:eastAsia="Times New Roman"/>
          <w:b/>
          <w:color w:val="000000"/>
          <w:kern w:val="2"/>
          <w:szCs w:val="20"/>
          <w:u w:val="single" w:color="000000"/>
          <w14:ligatures w14:val="standardContextual"/>
        </w:rPr>
        <w:t xml:space="preserve"> cylinders</w:t>
      </w:r>
      <w:r w:rsidRPr="00B530E4">
        <w:rPr>
          <w:rFonts w:eastAsia="Times New Roman"/>
          <w:b/>
          <w:color w:val="000000"/>
          <w:kern w:val="2"/>
          <w:szCs w:val="20"/>
          <w:u w:val="single" w:color="000000"/>
          <w14:ligatures w14:val="standardContextual"/>
        </w:rPr>
        <w:t>.</w:t>
      </w:r>
      <w:r w:rsidRPr="00B530E4">
        <w:rPr>
          <w:rFonts w:eastAsia="Times New Roman"/>
          <w:b/>
          <w:color w:val="000000"/>
          <w:kern w:val="2"/>
          <w:szCs w:val="20"/>
          <w14:ligatures w14:val="standardContextual"/>
        </w:rPr>
        <w:t xml:space="preserve"> </w:t>
      </w:r>
    </w:p>
    <w:p w14:paraId="716B186B" w14:textId="77777777" w:rsidR="001F5BC2" w:rsidRPr="00B530E4" w:rsidRDefault="001F5BC2" w:rsidP="0076491B">
      <w:pPr>
        <w:pStyle w:val="ListParagraph"/>
        <w:numPr>
          <w:ilvl w:val="0"/>
          <w:numId w:val="47"/>
        </w:numPr>
        <w:spacing w:after="119" w:line="239" w:lineRule="auto"/>
        <w:ind w:right="28"/>
        <w:rPr>
          <w:rFonts w:ascii="Calibri" w:hAnsi="Calibri" w:cs="Calibri"/>
          <w:strike/>
          <w:color w:val="000000"/>
          <w:kern w:val="2"/>
          <w:szCs w:val="20"/>
          <w14:ligatures w14:val="standardContextual"/>
        </w:rPr>
      </w:pPr>
      <w:r w:rsidRPr="00B530E4">
        <w:rPr>
          <w:rFonts w:eastAsia="Times New Roman"/>
          <w:b/>
          <w:strike/>
          <w:color w:val="000000"/>
          <w:kern w:val="2"/>
          <w:szCs w:val="20"/>
          <w:u w:val="single" w:color="000000"/>
          <w14:ligatures w14:val="standardContextual"/>
        </w:rPr>
        <w:t>For cylinders manufactured on or after December 28, 2022, shall be within the</w:t>
      </w:r>
      <w:r w:rsidRPr="00B530E4">
        <w:rPr>
          <w:rFonts w:eastAsia="Times New Roman"/>
          <w:b/>
          <w:strike/>
          <w:color w:val="000000"/>
          <w:kern w:val="2"/>
          <w:szCs w:val="20"/>
          <w14:ligatures w14:val="standardContextual"/>
        </w:rPr>
        <w:t xml:space="preserve"> </w:t>
      </w:r>
      <w:r w:rsidRPr="00B530E4">
        <w:rPr>
          <w:rFonts w:eastAsia="Times New Roman"/>
          <w:b/>
          <w:strike/>
          <w:color w:val="000000"/>
          <w:kern w:val="2"/>
          <w:szCs w:val="20"/>
          <w:u w:val="single" w:color="000000"/>
          <w14:ligatures w14:val="standardContextual"/>
        </w:rPr>
        <w:t xml:space="preserve">following limits prescribed by general requirements for specification cylinders, </w:t>
      </w:r>
      <w:hyperlink r:id="rId13">
        <w:r w:rsidRPr="00B530E4">
          <w:rPr>
            <w:rFonts w:eastAsia="Times New Roman"/>
            <w:b/>
            <w:strike/>
            <w:color w:val="000000"/>
            <w:kern w:val="2"/>
            <w:szCs w:val="20"/>
            <w:u w:val="single" w:color="000000"/>
            <w14:ligatures w14:val="standardContextual"/>
          </w:rPr>
          <w:t>49</w:t>
        </w:r>
      </w:hyperlink>
      <w:hyperlink r:id="rId14">
        <w:r w:rsidRPr="00B530E4">
          <w:rPr>
            <w:rFonts w:eastAsia="Times New Roman"/>
            <w:b/>
            <w:strike/>
            <w:color w:val="000000"/>
            <w:kern w:val="2"/>
            <w:szCs w:val="20"/>
            <w14:ligatures w14:val="standardContextual"/>
          </w:rPr>
          <w:t xml:space="preserve"> </w:t>
        </w:r>
      </w:hyperlink>
      <w:hyperlink r:id="rId15">
        <w:r w:rsidRPr="00B530E4">
          <w:rPr>
            <w:rFonts w:eastAsia="Times New Roman"/>
            <w:b/>
            <w:strike/>
            <w:color w:val="000000"/>
            <w:kern w:val="2"/>
            <w:szCs w:val="20"/>
            <w:u w:val="single" w:color="000000"/>
            <w14:ligatures w14:val="standardContextual"/>
          </w:rPr>
          <w:t>C.F.R. § 178.35</w:t>
        </w:r>
      </w:hyperlink>
      <w:hyperlink r:id="rId16">
        <w:r w:rsidRPr="00B530E4">
          <w:rPr>
            <w:rFonts w:eastAsia="Times New Roman"/>
            <w:b/>
            <w:strike/>
            <w:color w:val="000000"/>
            <w:kern w:val="2"/>
            <w:szCs w:val="20"/>
            <w:u w:val="single" w:color="000000"/>
            <w14:ligatures w14:val="standardContextual"/>
          </w:rPr>
          <w:t>:</w:t>
        </w:r>
      </w:hyperlink>
      <w:r w:rsidRPr="00B530E4">
        <w:rPr>
          <w:rFonts w:eastAsia="Times New Roman"/>
          <w:b/>
          <w:strike/>
          <w:color w:val="000000"/>
          <w:kern w:val="2"/>
          <w:szCs w:val="20"/>
          <w14:ligatures w14:val="standardContextual"/>
        </w:rPr>
        <w:t xml:space="preserve"> </w:t>
      </w:r>
    </w:p>
    <w:p w14:paraId="3494B396" w14:textId="77777777" w:rsidR="001F5BC2" w:rsidRPr="00B530E4" w:rsidRDefault="001F5BC2" w:rsidP="0076491B">
      <w:pPr>
        <w:numPr>
          <w:ilvl w:val="2"/>
          <w:numId w:val="46"/>
        </w:numPr>
        <w:spacing w:after="160" w:line="239" w:lineRule="auto"/>
        <w:ind w:hanging="538"/>
        <w:rPr>
          <w:rFonts w:ascii="Calibri" w:hAnsi="Calibri" w:cs="Calibri"/>
          <w:strike/>
          <w:color w:val="000000"/>
          <w:kern w:val="2"/>
          <w:szCs w:val="20"/>
          <w14:ligatures w14:val="standardContextual"/>
        </w:rPr>
      </w:pPr>
      <w:r w:rsidRPr="00B530E4">
        <w:rPr>
          <w:rFonts w:eastAsia="Times New Roman"/>
          <w:b/>
          <w:strike/>
          <w:color w:val="000000"/>
          <w:kern w:val="2"/>
          <w:szCs w:val="20"/>
          <w:u w:val="single" w:color="000000"/>
          <w14:ligatures w14:val="standardContextual"/>
        </w:rPr>
        <w:t>For a cylinder of 25 lb or less at the time of manufacture, a lower tolerance</w:t>
      </w:r>
      <w:r w:rsidRPr="00B530E4">
        <w:rPr>
          <w:rFonts w:eastAsia="Times New Roman"/>
          <w:b/>
          <w:strike/>
          <w:color w:val="000000"/>
          <w:kern w:val="2"/>
          <w:szCs w:val="20"/>
          <w14:ligatures w14:val="standardContextual"/>
        </w:rPr>
        <w:t xml:space="preserve"> </w:t>
      </w:r>
      <w:r w:rsidRPr="00B530E4">
        <w:rPr>
          <w:rFonts w:eastAsia="Times New Roman"/>
          <w:b/>
          <w:strike/>
          <w:color w:val="000000"/>
          <w:kern w:val="2"/>
          <w:szCs w:val="20"/>
          <w:u w:val="single" w:color="000000"/>
          <w14:ligatures w14:val="standardContextual"/>
        </w:rPr>
        <w:t>of (-) 3 % and an upper tolerance of (+) 1 %; or</w:t>
      </w:r>
      <w:r w:rsidRPr="00B530E4">
        <w:rPr>
          <w:rFonts w:eastAsia="Times New Roman"/>
          <w:b/>
          <w:strike/>
          <w:color w:val="000000"/>
          <w:kern w:val="2"/>
          <w:szCs w:val="20"/>
          <w14:ligatures w14:val="standardContextual"/>
        </w:rPr>
        <w:t xml:space="preserve"> </w:t>
      </w:r>
    </w:p>
    <w:p w14:paraId="47BA5EED" w14:textId="77777777" w:rsidR="001F5BC2" w:rsidRPr="00B530E4" w:rsidRDefault="001F5BC2" w:rsidP="0076491B">
      <w:pPr>
        <w:numPr>
          <w:ilvl w:val="2"/>
          <w:numId w:val="46"/>
        </w:numPr>
        <w:spacing w:after="160" w:line="239" w:lineRule="auto"/>
        <w:ind w:hanging="538"/>
        <w:rPr>
          <w:rFonts w:ascii="Calibri" w:hAnsi="Calibri" w:cs="Calibri"/>
          <w:strike/>
          <w:color w:val="000000"/>
          <w:kern w:val="2"/>
          <w:szCs w:val="20"/>
          <w14:ligatures w14:val="standardContextual"/>
        </w:rPr>
      </w:pPr>
      <w:r w:rsidRPr="00B530E4">
        <w:rPr>
          <w:rFonts w:eastAsia="Times New Roman"/>
          <w:b/>
          <w:strike/>
          <w:color w:val="000000"/>
          <w:kern w:val="2"/>
          <w:szCs w:val="20"/>
          <w:u w:val="single" w:color="000000"/>
          <w14:ligatures w14:val="standardContextual"/>
        </w:rPr>
        <w:t>For a cylinder exceeding 25 lb at the time of manufacture, a lower tolerance</w:t>
      </w:r>
      <w:r w:rsidRPr="00B530E4">
        <w:rPr>
          <w:rFonts w:eastAsia="Times New Roman"/>
          <w:b/>
          <w:strike/>
          <w:color w:val="000000"/>
          <w:kern w:val="2"/>
          <w:szCs w:val="20"/>
          <w14:ligatures w14:val="standardContextual"/>
        </w:rPr>
        <w:t xml:space="preserve"> </w:t>
      </w:r>
      <w:r w:rsidRPr="00B530E4">
        <w:rPr>
          <w:rFonts w:eastAsia="Times New Roman"/>
          <w:b/>
          <w:strike/>
          <w:color w:val="000000"/>
          <w:kern w:val="2"/>
          <w:szCs w:val="20"/>
          <w:u w:val="single" w:color="000000"/>
          <w14:ligatures w14:val="standardContextual"/>
        </w:rPr>
        <w:t xml:space="preserve">of (-) </w:t>
      </w:r>
      <w:r w:rsidRPr="00BE36B5">
        <w:rPr>
          <w:rFonts w:eastAsia="Times New Roman"/>
          <w:b/>
          <w:strike/>
          <w:color w:val="000000"/>
          <w:kern w:val="2"/>
          <w:szCs w:val="20"/>
          <w:u w:val="single" w:color="000000"/>
          <w14:ligatures w14:val="standardContextual"/>
        </w:rPr>
        <w:t>2 %</w:t>
      </w:r>
      <w:r w:rsidRPr="00B530E4">
        <w:rPr>
          <w:rFonts w:eastAsia="Times New Roman"/>
          <w:b/>
          <w:strike/>
          <w:color w:val="000000"/>
          <w:kern w:val="2"/>
          <w:szCs w:val="20"/>
          <w:u w:val="single" w:color="000000"/>
          <w14:ligatures w14:val="standardContextual"/>
        </w:rPr>
        <w:t xml:space="preserve"> and an upper tolerance of (+) 1 %.</w:t>
      </w:r>
      <w:r w:rsidRPr="00B530E4">
        <w:rPr>
          <w:rFonts w:eastAsia="Times New Roman"/>
          <w:b/>
          <w:strike/>
          <w:color w:val="000000"/>
          <w:kern w:val="2"/>
          <w:szCs w:val="20"/>
          <w14:ligatures w14:val="standardContextual"/>
        </w:rPr>
        <w:t xml:space="preserve"> </w:t>
      </w:r>
    </w:p>
    <w:p w14:paraId="1FB80AB9" w14:textId="00BDFF9B" w:rsidR="00175154" w:rsidRPr="00B530E4" w:rsidRDefault="004F72CC" w:rsidP="004F72CC">
      <w:pPr>
        <w:pStyle w:val="ListParagraph"/>
        <w:numPr>
          <w:ilvl w:val="0"/>
          <w:numId w:val="46"/>
        </w:numPr>
        <w:spacing w:after="112" w:line="366" w:lineRule="auto"/>
        <w:ind w:right="2428"/>
        <w:rPr>
          <w:b/>
          <w:bCs/>
          <w:color w:val="000000"/>
          <w:kern w:val="2"/>
          <w:szCs w:val="20"/>
          <w14:ligatures w14:val="standardContextual"/>
        </w:rPr>
      </w:pPr>
      <w:r w:rsidRPr="000717F3">
        <w:rPr>
          <w:b/>
          <w:bCs/>
          <w:color w:val="000000"/>
          <w:kern w:val="2"/>
          <w:szCs w:val="20"/>
          <w:u w:val="single"/>
          <w14:ligatures w14:val="standardContextual"/>
        </w:rPr>
        <w:t>The allowable difference between the actual tare weight and the</w:t>
      </w:r>
      <w:r w:rsidR="0078385D">
        <w:rPr>
          <w:b/>
          <w:bCs/>
          <w:color w:val="000000"/>
          <w:kern w:val="2"/>
          <w:szCs w:val="20"/>
          <w:u w:val="single"/>
          <w14:ligatures w14:val="standardContextual"/>
        </w:rPr>
        <w:t xml:space="preserve"> </w:t>
      </w:r>
      <w:r w:rsidRPr="000717F3">
        <w:rPr>
          <w:b/>
          <w:bCs/>
          <w:color w:val="000000"/>
          <w:kern w:val="2"/>
          <w:szCs w:val="20"/>
          <w:u w:val="single"/>
          <w14:ligatures w14:val="standardContextual"/>
        </w:rPr>
        <w:t xml:space="preserve">stamped (or stenciled) tare weight, or the tare weight on a tag attached to the cylinder for a new or used cylinder manufactured </w:t>
      </w:r>
      <w:r w:rsidR="00DB37FA">
        <w:rPr>
          <w:b/>
          <w:bCs/>
          <w:color w:val="000000"/>
          <w:kern w:val="2"/>
          <w:szCs w:val="20"/>
          <w:u w:val="single"/>
          <w14:ligatures w14:val="standardContextual"/>
        </w:rPr>
        <w:t xml:space="preserve">on or </w:t>
      </w:r>
      <w:proofErr w:type="gramStart"/>
      <w:r w:rsidR="00DB37FA">
        <w:rPr>
          <w:b/>
          <w:bCs/>
          <w:color w:val="000000"/>
          <w:kern w:val="2"/>
          <w:szCs w:val="20"/>
          <w:u w:val="single"/>
          <w14:ligatures w14:val="standardContextual"/>
        </w:rPr>
        <w:t xml:space="preserve">after </w:t>
      </w:r>
      <w:r w:rsidRPr="000717F3">
        <w:rPr>
          <w:b/>
          <w:bCs/>
          <w:color w:val="000000"/>
          <w:kern w:val="2"/>
          <w:szCs w:val="20"/>
          <w:u w:val="single"/>
          <w14:ligatures w14:val="standardContextual"/>
        </w:rPr>
        <w:t xml:space="preserve"> </w:t>
      </w:r>
      <w:r w:rsidRPr="009A3B65">
        <w:rPr>
          <w:b/>
          <w:bCs/>
          <w:color w:val="000000"/>
          <w:kern w:val="2"/>
          <w:szCs w:val="20"/>
          <w:u w:val="single"/>
          <w14:ligatures w14:val="standardContextual"/>
        </w:rPr>
        <w:t>December</w:t>
      </w:r>
      <w:proofErr w:type="gramEnd"/>
      <w:r w:rsidRPr="000717F3">
        <w:rPr>
          <w:b/>
          <w:bCs/>
          <w:color w:val="000000"/>
          <w:kern w:val="2"/>
          <w:szCs w:val="20"/>
          <w:u w:val="single"/>
          <w14:ligatures w14:val="standardContextual"/>
        </w:rPr>
        <w:t xml:space="preserve"> 28, </w:t>
      </w:r>
      <w:proofErr w:type="gramStart"/>
      <w:r w:rsidRPr="000717F3">
        <w:rPr>
          <w:b/>
          <w:bCs/>
          <w:color w:val="000000"/>
          <w:kern w:val="2"/>
          <w:szCs w:val="20"/>
          <w:u w:val="single"/>
          <w14:ligatures w14:val="standardContextual"/>
        </w:rPr>
        <w:t>2022</w:t>
      </w:r>
      <w:proofErr w:type="gramEnd"/>
      <w:r w:rsidRPr="000717F3">
        <w:rPr>
          <w:b/>
          <w:bCs/>
          <w:color w:val="000000"/>
          <w:kern w:val="2"/>
          <w:szCs w:val="20"/>
          <w:u w:val="single"/>
          <w14:ligatures w14:val="standardContextual"/>
        </w:rPr>
        <w:t xml:space="preserve"> shall be within:</w:t>
      </w:r>
    </w:p>
    <w:p w14:paraId="6287F421" w14:textId="7E345249" w:rsidR="00A12B13" w:rsidRPr="002508C7" w:rsidRDefault="002952DE" w:rsidP="007169B6">
      <w:pPr>
        <w:pStyle w:val="ListParagraph"/>
        <w:numPr>
          <w:ilvl w:val="0"/>
          <w:numId w:val="63"/>
        </w:numPr>
        <w:spacing w:after="112" w:line="366" w:lineRule="auto"/>
        <w:ind w:right="2428"/>
        <w:rPr>
          <w:b/>
          <w:bCs/>
          <w:color w:val="000000"/>
          <w:kern w:val="2"/>
          <w:szCs w:val="20"/>
          <w14:ligatures w14:val="standardContextual"/>
        </w:rPr>
      </w:pPr>
      <w:r w:rsidRPr="002508C7">
        <w:rPr>
          <w:b/>
          <w:bCs/>
          <w:color w:val="000000"/>
          <w:kern w:val="2"/>
          <w:szCs w:val="20"/>
          <w:u w:val="single"/>
          <w14:ligatures w14:val="standardContextual"/>
        </w:rPr>
        <w:t>f</w:t>
      </w:r>
      <w:r w:rsidR="00534315" w:rsidRPr="002508C7">
        <w:rPr>
          <w:b/>
          <w:bCs/>
          <w:color w:val="000000"/>
          <w:kern w:val="2"/>
          <w:szCs w:val="20"/>
          <w:u w:val="single"/>
          <w14:ligatures w14:val="standardContextual"/>
        </w:rPr>
        <w:t>or tare weights of 11 kg (25lb)</w:t>
      </w:r>
      <w:r w:rsidR="00E05EB1" w:rsidRPr="002508C7">
        <w:rPr>
          <w:b/>
          <w:bCs/>
          <w:color w:val="000000"/>
          <w:kern w:val="2"/>
          <w:szCs w:val="20"/>
          <w:u w:val="single"/>
          <w14:ligatures w14:val="standardContextual"/>
        </w:rPr>
        <w:t xml:space="preserve"> </w:t>
      </w:r>
      <w:r w:rsidR="00191FF9">
        <w:rPr>
          <w:b/>
          <w:bCs/>
          <w:color w:val="000000"/>
          <w:kern w:val="2"/>
          <w:szCs w:val="20"/>
          <w:u w:val="single"/>
          <w14:ligatures w14:val="standardContextual"/>
        </w:rPr>
        <w:t xml:space="preserve">or less </w:t>
      </w:r>
      <w:proofErr w:type="gramStart"/>
      <w:r w:rsidR="00E05EB1" w:rsidRPr="002508C7">
        <w:rPr>
          <w:b/>
          <w:bCs/>
          <w:color w:val="000000"/>
          <w:kern w:val="2"/>
          <w:szCs w:val="20"/>
          <w:u w:val="single"/>
          <w14:ligatures w14:val="standardContextual"/>
        </w:rPr>
        <w:t>cylinders</w:t>
      </w:r>
      <w:r w:rsidR="00534315" w:rsidRPr="002508C7">
        <w:rPr>
          <w:b/>
          <w:bCs/>
          <w:color w:val="000000"/>
          <w:kern w:val="2"/>
          <w:szCs w:val="20"/>
          <w:u w:val="single"/>
          <w14:ligatures w14:val="standardContextual"/>
        </w:rPr>
        <w:t xml:space="preserve"> :</w:t>
      </w:r>
      <w:proofErr w:type="gramEnd"/>
    </w:p>
    <w:p w14:paraId="124B6480" w14:textId="587CCF81" w:rsidR="002952DE" w:rsidRPr="002508C7" w:rsidRDefault="00EC0F29" w:rsidP="007169B6">
      <w:pPr>
        <w:pStyle w:val="ListParagraph"/>
        <w:numPr>
          <w:ilvl w:val="1"/>
          <w:numId w:val="63"/>
        </w:numPr>
        <w:spacing w:after="112" w:line="366" w:lineRule="auto"/>
        <w:ind w:right="2428"/>
        <w:rPr>
          <w:b/>
          <w:bCs/>
          <w:color w:val="000000"/>
          <w:kern w:val="2"/>
          <w:szCs w:val="20"/>
          <w14:ligatures w14:val="standardContextual"/>
        </w:rPr>
      </w:pPr>
      <w:r w:rsidRPr="002508C7">
        <w:rPr>
          <w:b/>
          <w:bCs/>
          <w:color w:val="000000"/>
          <w:kern w:val="2"/>
          <w:szCs w:val="20"/>
          <w14:ligatures w14:val="standardContextual"/>
        </w:rPr>
        <w:t>a lower tolerance of (-) 3%</w:t>
      </w:r>
      <w:r w:rsidR="00BA1EAE" w:rsidRPr="002508C7">
        <w:rPr>
          <w:b/>
          <w:bCs/>
          <w:color w:val="000000"/>
          <w:kern w:val="2"/>
          <w:szCs w:val="20"/>
          <w14:ligatures w14:val="standardContextual"/>
        </w:rPr>
        <w:t xml:space="preserve"> and,</w:t>
      </w:r>
    </w:p>
    <w:p w14:paraId="3253FBC0" w14:textId="1403956F" w:rsidR="00BA1EAE" w:rsidRPr="002508C7" w:rsidRDefault="00F52A9B" w:rsidP="007169B6">
      <w:pPr>
        <w:pStyle w:val="ListParagraph"/>
        <w:numPr>
          <w:ilvl w:val="1"/>
          <w:numId w:val="63"/>
        </w:numPr>
        <w:spacing w:after="112" w:line="366" w:lineRule="auto"/>
        <w:ind w:right="2428"/>
        <w:rPr>
          <w:b/>
          <w:bCs/>
          <w:color w:val="000000"/>
          <w:kern w:val="2"/>
          <w:szCs w:val="20"/>
          <w14:ligatures w14:val="standardContextual"/>
        </w:rPr>
      </w:pPr>
      <w:r w:rsidRPr="002508C7">
        <w:rPr>
          <w:b/>
          <w:bCs/>
          <w:color w:val="000000"/>
          <w:kern w:val="2"/>
          <w:szCs w:val="20"/>
          <w14:ligatures w14:val="standardContextual"/>
        </w:rPr>
        <w:t>an</w:t>
      </w:r>
      <w:r w:rsidR="00BA1EAE" w:rsidRPr="002508C7">
        <w:rPr>
          <w:b/>
          <w:bCs/>
          <w:color w:val="000000"/>
          <w:kern w:val="2"/>
          <w:szCs w:val="20"/>
          <w14:ligatures w14:val="standardContextual"/>
        </w:rPr>
        <w:t xml:space="preserve"> upper tolerance of (+) 1%; or</w:t>
      </w:r>
    </w:p>
    <w:p w14:paraId="7534AA84" w14:textId="3845C6B6" w:rsidR="00557D77" w:rsidRPr="002508C7" w:rsidRDefault="009B30BD" w:rsidP="007169B6">
      <w:pPr>
        <w:pStyle w:val="ListParagraph"/>
        <w:numPr>
          <w:ilvl w:val="0"/>
          <w:numId w:val="63"/>
        </w:numPr>
        <w:spacing w:after="112" w:line="366" w:lineRule="auto"/>
        <w:ind w:right="2428"/>
        <w:rPr>
          <w:b/>
          <w:bCs/>
          <w:color w:val="000000"/>
          <w:kern w:val="2"/>
          <w:szCs w:val="20"/>
          <w14:ligatures w14:val="standardContextual"/>
        </w:rPr>
      </w:pPr>
      <w:r w:rsidRPr="002508C7">
        <w:rPr>
          <w:b/>
          <w:bCs/>
          <w:color w:val="000000"/>
          <w:kern w:val="2"/>
          <w:szCs w:val="20"/>
          <w:u w:val="single"/>
          <w14:ligatures w14:val="standardContextual"/>
        </w:rPr>
        <w:t>for tare</w:t>
      </w:r>
      <w:r w:rsidR="007272A9" w:rsidRPr="002508C7">
        <w:rPr>
          <w:b/>
          <w:bCs/>
          <w:color w:val="000000"/>
          <w:kern w:val="2"/>
          <w:szCs w:val="20"/>
          <w:u w:val="single"/>
          <w14:ligatures w14:val="standardContextual"/>
        </w:rPr>
        <w:t xml:space="preserve"> weight </w:t>
      </w:r>
      <w:r w:rsidR="00191FF9">
        <w:rPr>
          <w:b/>
          <w:bCs/>
          <w:color w:val="000000"/>
          <w:kern w:val="2"/>
          <w:szCs w:val="20"/>
          <w:u w:val="single"/>
          <w14:ligatures w14:val="standardContextual"/>
        </w:rPr>
        <w:t xml:space="preserve">of more </w:t>
      </w:r>
      <w:proofErr w:type="gramStart"/>
      <w:r w:rsidR="00191FF9">
        <w:rPr>
          <w:b/>
          <w:bCs/>
          <w:color w:val="000000"/>
          <w:kern w:val="2"/>
          <w:szCs w:val="20"/>
          <w:u w:val="single"/>
          <w14:ligatures w14:val="standardContextual"/>
        </w:rPr>
        <w:t xml:space="preserve">than </w:t>
      </w:r>
      <w:r w:rsidR="007272A9" w:rsidRPr="002508C7">
        <w:rPr>
          <w:b/>
          <w:bCs/>
          <w:color w:val="000000"/>
          <w:kern w:val="2"/>
          <w:szCs w:val="20"/>
          <w:u w:val="single"/>
          <w14:ligatures w14:val="standardContextual"/>
        </w:rPr>
        <w:t xml:space="preserve"> 11</w:t>
      </w:r>
      <w:proofErr w:type="gramEnd"/>
      <w:r w:rsidR="007272A9" w:rsidRPr="002508C7">
        <w:rPr>
          <w:b/>
          <w:bCs/>
          <w:color w:val="000000"/>
          <w:kern w:val="2"/>
          <w:szCs w:val="20"/>
          <w:u w:val="single"/>
          <w14:ligatures w14:val="standardContextual"/>
        </w:rPr>
        <w:t xml:space="preserve"> kg (25lb)</w:t>
      </w:r>
      <w:r w:rsidR="00E05EB1" w:rsidRPr="002508C7">
        <w:rPr>
          <w:b/>
          <w:bCs/>
          <w:color w:val="000000"/>
          <w:kern w:val="2"/>
          <w:szCs w:val="20"/>
          <w:u w:val="single"/>
          <w14:ligatures w14:val="standardContextual"/>
        </w:rPr>
        <w:t xml:space="preserve"> </w:t>
      </w:r>
      <w:r w:rsidR="00406CA6" w:rsidRPr="002508C7">
        <w:rPr>
          <w:b/>
          <w:bCs/>
          <w:color w:val="000000"/>
          <w:kern w:val="2"/>
          <w:szCs w:val="20"/>
          <w:u w:val="single"/>
          <w14:ligatures w14:val="standardContextual"/>
        </w:rPr>
        <w:t>cylinders</w:t>
      </w:r>
      <w:r w:rsidR="007272A9" w:rsidRPr="002508C7">
        <w:rPr>
          <w:b/>
          <w:bCs/>
          <w:color w:val="000000"/>
          <w:kern w:val="2"/>
          <w:szCs w:val="20"/>
          <w:u w:val="single"/>
          <w14:ligatures w14:val="standardContextual"/>
        </w:rPr>
        <w:t>:</w:t>
      </w:r>
    </w:p>
    <w:p w14:paraId="6A23ED44" w14:textId="571DD883" w:rsidR="007272A9" w:rsidRPr="002508C7" w:rsidRDefault="007272A9" w:rsidP="007169B6">
      <w:pPr>
        <w:pStyle w:val="ListParagraph"/>
        <w:numPr>
          <w:ilvl w:val="1"/>
          <w:numId w:val="63"/>
        </w:numPr>
        <w:spacing w:after="112" w:line="366" w:lineRule="auto"/>
        <w:ind w:right="2428"/>
        <w:rPr>
          <w:b/>
          <w:bCs/>
          <w:color w:val="000000"/>
          <w:kern w:val="2"/>
          <w:szCs w:val="20"/>
          <w14:ligatures w14:val="standardContextual"/>
        </w:rPr>
      </w:pPr>
      <w:r w:rsidRPr="002508C7">
        <w:rPr>
          <w:b/>
          <w:bCs/>
          <w:color w:val="000000"/>
          <w:kern w:val="2"/>
          <w:szCs w:val="20"/>
          <w14:ligatures w14:val="standardContextual"/>
        </w:rPr>
        <w:t xml:space="preserve">a lower tolerance of (-) </w:t>
      </w:r>
      <w:r w:rsidR="009F5059" w:rsidRPr="00BE36B5">
        <w:rPr>
          <w:b/>
          <w:bCs/>
          <w:color w:val="000000"/>
          <w:kern w:val="2"/>
          <w:szCs w:val="20"/>
          <w14:ligatures w14:val="standardContextual"/>
        </w:rPr>
        <w:t>2</w:t>
      </w:r>
      <w:r w:rsidRPr="00BE36B5">
        <w:rPr>
          <w:b/>
          <w:bCs/>
          <w:color w:val="000000"/>
          <w:kern w:val="2"/>
          <w:szCs w:val="20"/>
          <w14:ligatures w14:val="standardContextual"/>
        </w:rPr>
        <w:t>%</w:t>
      </w:r>
      <w:r w:rsidRPr="002508C7">
        <w:rPr>
          <w:b/>
          <w:bCs/>
          <w:color w:val="000000"/>
          <w:kern w:val="2"/>
          <w:szCs w:val="20"/>
          <w14:ligatures w14:val="standardContextual"/>
        </w:rPr>
        <w:t xml:space="preserve"> and,</w:t>
      </w:r>
    </w:p>
    <w:p w14:paraId="7F523A04" w14:textId="688878AC" w:rsidR="007272A9" w:rsidRPr="002508C7" w:rsidRDefault="00F52A9B" w:rsidP="007169B6">
      <w:pPr>
        <w:pStyle w:val="ListParagraph"/>
        <w:numPr>
          <w:ilvl w:val="1"/>
          <w:numId w:val="63"/>
        </w:numPr>
        <w:spacing w:after="112" w:line="366" w:lineRule="auto"/>
        <w:ind w:right="2428"/>
        <w:rPr>
          <w:b/>
          <w:bCs/>
          <w:color w:val="000000"/>
          <w:kern w:val="2"/>
          <w:szCs w:val="20"/>
          <w14:ligatures w14:val="standardContextual"/>
        </w:rPr>
      </w:pPr>
      <w:r w:rsidRPr="002508C7">
        <w:rPr>
          <w:b/>
          <w:bCs/>
          <w:color w:val="000000"/>
          <w:kern w:val="2"/>
          <w:szCs w:val="20"/>
          <w14:ligatures w14:val="standardContextual"/>
        </w:rPr>
        <w:t>an</w:t>
      </w:r>
      <w:r w:rsidR="007272A9" w:rsidRPr="002508C7">
        <w:rPr>
          <w:b/>
          <w:bCs/>
          <w:color w:val="000000"/>
          <w:kern w:val="2"/>
          <w:szCs w:val="20"/>
          <w14:ligatures w14:val="standardContextual"/>
        </w:rPr>
        <w:t xml:space="preserve"> upper tolerance of (+) 1%</w:t>
      </w:r>
    </w:p>
    <w:p w14:paraId="53650BC7" w14:textId="3B29C78E" w:rsidR="00A023AA" w:rsidRDefault="00A023AA" w:rsidP="00B530E4">
      <w:pPr>
        <w:spacing w:after="112" w:line="366" w:lineRule="auto"/>
        <w:ind w:right="2428"/>
        <w:rPr>
          <w:b/>
          <w:bCs/>
          <w:color w:val="000000"/>
          <w:kern w:val="2"/>
          <w:szCs w:val="20"/>
          <w:u w:val="single"/>
          <w14:ligatures w14:val="standardContextual"/>
        </w:rPr>
      </w:pPr>
      <w:r>
        <w:rPr>
          <w:b/>
          <w:bCs/>
          <w:color w:val="000000"/>
          <w:kern w:val="2"/>
          <w:szCs w:val="20"/>
          <w:u w:val="single"/>
          <w14:ligatures w14:val="standardContextual"/>
        </w:rPr>
        <w:t xml:space="preserve">As prescribed </w:t>
      </w:r>
      <w:r w:rsidR="00A674C9">
        <w:rPr>
          <w:b/>
          <w:bCs/>
          <w:color w:val="000000"/>
          <w:kern w:val="2"/>
          <w:szCs w:val="20"/>
          <w:u w:val="single"/>
          <w14:ligatures w14:val="standardContextual"/>
        </w:rPr>
        <w:t xml:space="preserve">by general requirement for specification cylinders, 49 C.F.R </w:t>
      </w:r>
      <w:r w:rsidR="00A674C9" w:rsidRPr="00A674C9">
        <w:rPr>
          <w:b/>
          <w:bCs/>
          <w:color w:val="000000"/>
          <w:kern w:val="2"/>
          <w:szCs w:val="20"/>
          <w:u w:val="single"/>
          <w14:ligatures w14:val="standardContextual"/>
        </w:rPr>
        <w:t>§</w:t>
      </w:r>
      <w:r w:rsidR="003C3106">
        <w:rPr>
          <w:b/>
          <w:bCs/>
          <w:color w:val="000000"/>
          <w:kern w:val="2"/>
          <w:szCs w:val="20"/>
          <w:u w:val="single"/>
          <w14:ligatures w14:val="standardContextual"/>
        </w:rPr>
        <w:t xml:space="preserve"> 178.35</w:t>
      </w:r>
    </w:p>
    <w:p w14:paraId="47A1E5B6" w14:textId="590F8894" w:rsidR="00D31919" w:rsidRPr="001C526E" w:rsidRDefault="00BF64A0" w:rsidP="001C526E">
      <w:pPr>
        <w:spacing w:after="160" w:line="239" w:lineRule="auto"/>
        <w:ind w:left="1293"/>
        <w:rPr>
          <w:rFonts w:ascii="Calibri" w:hAnsi="Calibri" w:cs="Calibri"/>
          <w:color w:val="000000"/>
          <w:kern w:val="2"/>
          <w:szCs w:val="20"/>
          <w14:ligatures w14:val="standardContextual"/>
        </w:rPr>
      </w:pPr>
      <w:r w:rsidRPr="00EE42B4">
        <w:rPr>
          <w:rFonts w:eastAsia="Times New Roman"/>
          <w:b/>
          <w:i/>
          <w:szCs w:val="20"/>
        </w:rPr>
        <w:t>NOTE</w:t>
      </w:r>
      <w:proofErr w:type="gramStart"/>
      <w:r w:rsidRPr="00EE42B4">
        <w:rPr>
          <w:rFonts w:eastAsia="Times New Roman"/>
          <w:b/>
          <w:i/>
          <w:szCs w:val="20"/>
        </w:rPr>
        <w:t xml:space="preserve">: </w:t>
      </w:r>
      <w:r w:rsidRPr="00EE42B4">
        <w:rPr>
          <w:rFonts w:eastAsia="Times New Roman"/>
          <w:color w:val="000000"/>
          <w:szCs w:val="20"/>
        </w:rPr>
        <w:t xml:space="preserve"> </w:t>
      </w:r>
      <w:r w:rsidRPr="00EE42B4">
        <w:rPr>
          <w:rFonts w:eastAsia="Times New Roman"/>
          <w:szCs w:val="20"/>
        </w:rPr>
        <w:t>Failure</w:t>
      </w:r>
      <w:proofErr w:type="gramEnd"/>
      <w:r w:rsidRPr="00EE42B4">
        <w:rPr>
          <w:rFonts w:eastAsia="Times New Roman"/>
          <w:szCs w:val="20"/>
        </w:rPr>
        <w:t xml:space="preserve"> of a cylinder </w:t>
      </w:r>
      <w:proofErr w:type="gramStart"/>
      <w:r w:rsidRPr="00EE42B4">
        <w:rPr>
          <w:rFonts w:eastAsia="Times New Roman"/>
          <w:szCs w:val="20"/>
        </w:rPr>
        <w:t>tare</w:t>
      </w:r>
      <w:proofErr w:type="gramEnd"/>
      <w:r w:rsidRPr="00EE42B4">
        <w:rPr>
          <w:rFonts w:eastAsia="Times New Roman"/>
          <w:szCs w:val="20"/>
        </w:rPr>
        <w:t xml:space="preserve"> weight to be within the required allowable difference is considered a Method of Sale violation. </w:t>
      </w:r>
      <w:r w:rsidRPr="00EE42B4">
        <w:rPr>
          <w:rFonts w:eastAsia="Times New Roman"/>
          <w:color w:val="000000"/>
          <w:szCs w:val="20"/>
        </w:rPr>
        <w:t xml:space="preserve"> </w:t>
      </w:r>
      <w:r w:rsidRPr="00EE42B4">
        <w:rPr>
          <w:rFonts w:eastAsia="Times New Roman"/>
          <w:szCs w:val="20"/>
        </w:rPr>
        <w:t>The cylinder shall be removed from use until the tare weight is corrected.</w:t>
      </w:r>
    </w:p>
    <w:p w14:paraId="289B3139" w14:textId="77777777" w:rsidR="003603E6" w:rsidRPr="003E08FC" w:rsidRDefault="003603E6" w:rsidP="003603E6">
      <w:pPr>
        <w:rPr>
          <w:b/>
          <w:iCs/>
          <w:sz w:val="22"/>
        </w:rPr>
      </w:pPr>
      <w:bookmarkStart w:id="46" w:name="_Toc111622822"/>
      <w:bookmarkStart w:id="47" w:name="_Toc176940882"/>
      <w:bookmarkStart w:id="48" w:name="_Toc486756445"/>
      <w:bookmarkStart w:id="49" w:name="_Toc487504956"/>
      <w:bookmarkStart w:id="50" w:name="_Toc237353948"/>
      <w:bookmarkStart w:id="51" w:name="_Toc237415719"/>
      <w:bookmarkStart w:id="52" w:name="_Toc237416693"/>
      <w:bookmarkStart w:id="53" w:name="_Toc237429054"/>
      <w:bookmarkStart w:id="54" w:name="_Toc291667306"/>
      <w:bookmarkStart w:id="55" w:name="_Toc449416880"/>
      <w:bookmarkStart w:id="56" w:name="_Hlk216266803"/>
      <w:r w:rsidRPr="003E08FC">
        <w:rPr>
          <w:b/>
          <w:iCs/>
          <w:sz w:val="22"/>
        </w:rPr>
        <w:t>3.13.2</w:t>
      </w:r>
      <w:r w:rsidRPr="003E08FC">
        <w:rPr>
          <w:b/>
          <w:iCs/>
          <w:sz w:val="22"/>
        </w:rPr>
        <w:tab/>
        <w:t>Test Procedures</w:t>
      </w:r>
      <w:bookmarkEnd w:id="46"/>
      <w:bookmarkEnd w:id="47"/>
    </w:p>
    <w:p w14:paraId="64BC21E2" w14:textId="77777777" w:rsidR="003603E6" w:rsidRPr="003E08FC" w:rsidRDefault="003603E6" w:rsidP="003603E6">
      <w:pPr>
        <w:ind w:firstLine="720"/>
        <w:rPr>
          <w:b/>
          <w:iCs/>
          <w:sz w:val="22"/>
        </w:rPr>
      </w:pPr>
      <w:bookmarkStart w:id="57" w:name="_Toc111622823"/>
      <w:r w:rsidRPr="003E08FC">
        <w:rPr>
          <w:b/>
          <w:iCs/>
          <w:sz w:val="22"/>
        </w:rPr>
        <w:t>a.</w:t>
      </w:r>
      <w:r w:rsidRPr="003E08FC">
        <w:rPr>
          <w:b/>
          <w:iCs/>
          <w:sz w:val="22"/>
        </w:rPr>
        <w:tab/>
        <w:t>Test Procedure for Cylinders Labeled by Weight</w:t>
      </w:r>
      <w:bookmarkEnd w:id="48"/>
      <w:bookmarkEnd w:id="49"/>
      <w:bookmarkEnd w:id="50"/>
      <w:bookmarkEnd w:id="51"/>
      <w:bookmarkEnd w:id="52"/>
      <w:bookmarkEnd w:id="53"/>
      <w:bookmarkEnd w:id="54"/>
      <w:bookmarkEnd w:id="55"/>
      <w:bookmarkEnd w:id="57"/>
    </w:p>
    <w:p w14:paraId="206CD490" w14:textId="77777777" w:rsidR="003603E6" w:rsidRPr="003E08FC" w:rsidRDefault="003603E6" w:rsidP="007169B6">
      <w:pPr>
        <w:numPr>
          <w:ilvl w:val="0"/>
          <w:numId w:val="65"/>
        </w:numPr>
        <w:rPr>
          <w:bCs/>
          <w:iCs/>
        </w:rPr>
      </w:pPr>
      <w:bookmarkStart w:id="58" w:name="_Toc487504958"/>
      <w:bookmarkEnd w:id="58"/>
      <w:r w:rsidRPr="003E08FC">
        <w:rPr>
          <w:bCs/>
          <w:iCs/>
        </w:rPr>
        <w:t xml:space="preserve">Follow Section 2.3.1. “Define the Inspection Lot.”  Use a “Category A” sampling plan in the inspection; select a random sample. </w:t>
      </w:r>
      <w:r w:rsidRPr="003E08FC">
        <w:rPr>
          <w:bCs/>
          <w:iCs/>
        </w:rPr>
        <w:fldChar w:fldCharType="begin"/>
      </w:r>
      <w:r w:rsidRPr="003E08FC">
        <w:rPr>
          <w:bCs/>
          <w:iCs/>
        </w:rPr>
        <w:instrText xml:space="preserve"> XE "Test Procedure:Cylinders Labeled By Weight" </w:instrText>
      </w:r>
      <w:r w:rsidRPr="003E08FC">
        <w:rPr>
          <w:bCs/>
          <w:iCs/>
        </w:rPr>
        <w:fldChar w:fldCharType="end"/>
      </w:r>
    </w:p>
    <w:p w14:paraId="0A235CA7" w14:textId="77777777" w:rsidR="003603E6" w:rsidRDefault="003603E6" w:rsidP="007169B6">
      <w:pPr>
        <w:numPr>
          <w:ilvl w:val="0"/>
          <w:numId w:val="65"/>
        </w:numPr>
        <w:contextualSpacing/>
        <w:rPr>
          <w:rFonts w:cs="Arial"/>
          <w:bCs/>
          <w:szCs w:val="20"/>
        </w:rPr>
      </w:pPr>
      <w:r w:rsidRPr="003E08FC">
        <w:rPr>
          <w:rFonts w:cs="Arial"/>
          <w:bCs/>
          <w:szCs w:val="20"/>
        </w:rPr>
        <w:t>The cylinder should be marked or stenciled with a tare weight.  The marked value may or may not be used by the filling plant when determining the net weight of those cylinders sold or filled by weight.  If there is a tare weight marked on the net contents tag or directly on the cylinder, then an actual tare weight was determined at the time of fill.  If there is no tare weight marked on a tag or on the cylinder, then the stamped or stenciled tare weight is presumed to have been used to determine the net contents.</w:t>
      </w:r>
    </w:p>
    <w:p w14:paraId="09A618F6" w14:textId="77777777" w:rsidR="003603E6" w:rsidRPr="003E08FC" w:rsidRDefault="003603E6" w:rsidP="00346B96">
      <w:pPr>
        <w:suppressLineNumbers/>
        <w:contextualSpacing/>
        <w:rPr>
          <w:rFonts w:cs="Arial"/>
          <w:bCs/>
          <w:szCs w:val="20"/>
        </w:rPr>
      </w:pPr>
    </w:p>
    <w:bookmarkEnd w:id="56"/>
    <w:p w14:paraId="441841E0" w14:textId="77777777" w:rsidR="003603E6" w:rsidRPr="001C526E" w:rsidRDefault="003603E6" w:rsidP="003603E6">
      <w:pPr>
        <w:kinsoku w:val="0"/>
        <w:overflowPunct w:val="0"/>
        <w:autoSpaceDE w:val="0"/>
        <w:autoSpaceDN w:val="0"/>
        <w:adjustRightInd w:val="0"/>
        <w:spacing w:before="240" w:line="235" w:lineRule="auto"/>
        <w:ind w:left="360" w:right="115"/>
        <w:rPr>
          <w:b/>
        </w:rPr>
      </w:pPr>
      <w:r w:rsidRPr="001C526E">
        <w:rPr>
          <w:b/>
        </w:rPr>
        <w:lastRenderedPageBreak/>
        <w:t xml:space="preserve">Note: Check the accuracy of the stamped tare weights on empty cylinders whenever possible. </w:t>
      </w:r>
      <w:r w:rsidRPr="001C526E">
        <w:rPr>
          <w:b/>
          <w:strike/>
        </w:rPr>
        <w:t>The actual tare weight must be within (a) 1/2 % of the stamped tare weight for 9.07 kg (20 lb) tare weights or less or (b) 1/4 % of the stamped tare weight for greater than 9.07 kg (20 lb) tare weights.  (</w:t>
      </w:r>
      <w:proofErr w:type="gramStart"/>
      <w:r w:rsidRPr="001C526E">
        <w:rPr>
          <w:b/>
          <w:strike/>
        </w:rPr>
        <w:t>see</w:t>
      </w:r>
      <w:proofErr w:type="gramEnd"/>
      <w:r w:rsidRPr="001C526E">
        <w:rPr>
          <w:b/>
        </w:rPr>
        <w:t xml:space="preserve"> NIST Handbook 130, Method of Sale Regulation, Section 2.16. “Compressed or Liquefied Gases in Refillable Cylinders.” </w:t>
      </w:r>
      <w:r w:rsidRPr="001C526E">
        <w:rPr>
          <w:b/>
          <w:u w:val="single"/>
        </w:rPr>
        <w:t>establishes the allowable tolerance for cylinders based on the date of manufacture</w:t>
      </w:r>
      <w:r w:rsidRPr="001C526E">
        <w:rPr>
          <w:b/>
        </w:rPr>
        <w:t>.</w:t>
      </w:r>
    </w:p>
    <w:p w14:paraId="71A4042A" w14:textId="77777777" w:rsidR="003603E6" w:rsidRPr="001C526E" w:rsidRDefault="003603E6" w:rsidP="003603E6">
      <w:pPr>
        <w:kinsoku w:val="0"/>
        <w:overflowPunct w:val="0"/>
        <w:autoSpaceDE w:val="0"/>
        <w:autoSpaceDN w:val="0"/>
        <w:adjustRightInd w:val="0"/>
        <w:spacing w:before="240" w:line="235" w:lineRule="auto"/>
        <w:ind w:left="360" w:right="115"/>
        <w:rPr>
          <w:rFonts w:cs="Arial"/>
          <w:b/>
          <w:bCs/>
          <w:szCs w:val="20"/>
          <w:u w:val="single"/>
        </w:rPr>
      </w:pPr>
      <w:r w:rsidRPr="001C526E">
        <w:rPr>
          <w:rFonts w:cs="Arial"/>
          <w:b/>
          <w:bCs/>
          <w:szCs w:val="20"/>
          <w:u w:val="single"/>
        </w:rPr>
        <w:t xml:space="preserve">The allowable difference between the actual tare weight and the stamped (or stenciled) tare weight, or the tare weight on a tag attached to the cylinder, for a new or used cylinder manufactured prior to December 28, 2022, shall be within: </w:t>
      </w:r>
    </w:p>
    <w:p w14:paraId="3C40BEA3" w14:textId="67E50842" w:rsidR="003603E6" w:rsidRPr="001C526E" w:rsidRDefault="003603E6" w:rsidP="007169B6">
      <w:pPr>
        <w:numPr>
          <w:ilvl w:val="0"/>
          <w:numId w:val="66"/>
        </w:numPr>
        <w:kinsoku w:val="0"/>
        <w:overflowPunct w:val="0"/>
        <w:autoSpaceDE w:val="0"/>
        <w:autoSpaceDN w:val="0"/>
        <w:adjustRightInd w:val="0"/>
        <w:spacing w:before="240" w:after="120" w:line="235" w:lineRule="auto"/>
        <w:ind w:left="1350" w:right="115"/>
        <w:rPr>
          <w:rFonts w:cs="Arial"/>
          <w:b/>
          <w:bCs/>
          <w:szCs w:val="20"/>
          <w:u w:val="single"/>
        </w:rPr>
      </w:pPr>
      <w:r w:rsidRPr="001C526E">
        <w:rPr>
          <w:rFonts w:cs="Arial"/>
          <w:b/>
          <w:bCs/>
          <w:szCs w:val="20"/>
          <w:u w:val="single"/>
        </w:rPr>
        <w:t xml:space="preserve"> 1/2 % for tare weights of 9 kg (20 lb)</w:t>
      </w:r>
      <w:r w:rsidR="00EB1F4C">
        <w:rPr>
          <w:rFonts w:cs="Arial"/>
          <w:b/>
          <w:bCs/>
          <w:szCs w:val="20"/>
          <w:u w:val="single"/>
        </w:rPr>
        <w:t xml:space="preserve"> </w:t>
      </w:r>
      <w:r w:rsidR="00191FF9">
        <w:rPr>
          <w:rFonts w:cs="Arial"/>
          <w:b/>
          <w:bCs/>
          <w:szCs w:val="20"/>
          <w:u w:val="single"/>
        </w:rPr>
        <w:t xml:space="preserve">or less </w:t>
      </w:r>
      <w:proofErr w:type="gramStart"/>
      <w:r w:rsidR="00EB1F4C">
        <w:rPr>
          <w:rFonts w:cs="Arial"/>
          <w:b/>
          <w:bCs/>
          <w:szCs w:val="20"/>
          <w:u w:val="single"/>
        </w:rPr>
        <w:t>cylinders</w:t>
      </w:r>
      <w:r w:rsidRPr="001C526E">
        <w:rPr>
          <w:rFonts w:cs="Arial"/>
          <w:b/>
          <w:bCs/>
          <w:szCs w:val="20"/>
          <w:u w:val="single"/>
        </w:rPr>
        <w:t xml:space="preserve"> ;</w:t>
      </w:r>
      <w:proofErr w:type="gramEnd"/>
      <w:r w:rsidRPr="001C526E">
        <w:rPr>
          <w:rFonts w:cs="Arial"/>
          <w:b/>
          <w:bCs/>
          <w:szCs w:val="20"/>
          <w:u w:val="single"/>
        </w:rPr>
        <w:t xml:space="preserve"> or </w:t>
      </w:r>
    </w:p>
    <w:p w14:paraId="1ADE44F7" w14:textId="4C93D9EB" w:rsidR="003603E6" w:rsidRPr="001C526E" w:rsidRDefault="003603E6" w:rsidP="007169B6">
      <w:pPr>
        <w:numPr>
          <w:ilvl w:val="0"/>
          <w:numId w:val="66"/>
        </w:numPr>
        <w:kinsoku w:val="0"/>
        <w:overflowPunct w:val="0"/>
        <w:autoSpaceDE w:val="0"/>
        <w:autoSpaceDN w:val="0"/>
        <w:adjustRightInd w:val="0"/>
        <w:spacing w:before="240" w:line="235" w:lineRule="auto"/>
        <w:ind w:left="1350" w:right="115"/>
        <w:rPr>
          <w:rFonts w:cs="Arial"/>
          <w:b/>
          <w:bCs/>
          <w:szCs w:val="20"/>
          <w:u w:val="single"/>
        </w:rPr>
      </w:pPr>
      <w:r w:rsidRPr="001C526E">
        <w:rPr>
          <w:rFonts w:cs="Arial"/>
          <w:b/>
          <w:bCs/>
          <w:szCs w:val="20"/>
          <w:u w:val="single"/>
        </w:rPr>
        <w:t xml:space="preserve"> 1/4 % for tare weights of more than 9 kg (20 lb)</w:t>
      </w:r>
      <w:r w:rsidR="003B19B9">
        <w:rPr>
          <w:rFonts w:cs="Arial"/>
          <w:b/>
          <w:bCs/>
          <w:szCs w:val="20"/>
          <w:u w:val="single"/>
        </w:rPr>
        <w:t xml:space="preserve"> cylinders</w:t>
      </w:r>
      <w:r w:rsidRPr="001C526E">
        <w:rPr>
          <w:rFonts w:cs="Arial"/>
          <w:b/>
          <w:bCs/>
          <w:szCs w:val="20"/>
          <w:u w:val="single"/>
        </w:rPr>
        <w:t>.</w:t>
      </w:r>
    </w:p>
    <w:p w14:paraId="5C0871B9" w14:textId="77777777" w:rsidR="003603E6" w:rsidRPr="001C526E" w:rsidRDefault="003603E6" w:rsidP="003603E6">
      <w:pPr>
        <w:kinsoku w:val="0"/>
        <w:overflowPunct w:val="0"/>
        <w:autoSpaceDE w:val="0"/>
        <w:autoSpaceDN w:val="0"/>
        <w:adjustRightInd w:val="0"/>
        <w:spacing w:before="240"/>
        <w:ind w:left="360" w:right="115"/>
        <w:rPr>
          <w:rFonts w:cs="Arial"/>
          <w:b/>
          <w:bCs/>
          <w:szCs w:val="20"/>
          <w:u w:val="single"/>
        </w:rPr>
      </w:pPr>
      <w:r w:rsidRPr="001C526E">
        <w:rPr>
          <w:rFonts w:cs="Arial"/>
          <w:b/>
          <w:bCs/>
          <w:szCs w:val="20"/>
          <w:u w:val="single"/>
        </w:rPr>
        <w:t>The allowable difference between the actual tare weight and the stamped (or stenciled) tare weight, or the tare weight on a tag attached to the cylinder, for a new or used cylinder manufactured on or after December 28, 2022, shall be within</w:t>
      </w:r>
      <w:hyperlink r:id="rId17">
        <w:r w:rsidRPr="001C526E">
          <w:rPr>
            <w:rFonts w:cs="Arial"/>
            <w:b/>
            <w:bCs/>
            <w:color w:val="0000FF"/>
            <w:szCs w:val="20"/>
            <w:u w:val="single"/>
          </w:rPr>
          <w:t>:</w:t>
        </w:r>
      </w:hyperlink>
      <w:r w:rsidRPr="001C526E">
        <w:rPr>
          <w:rFonts w:cs="Arial"/>
          <w:b/>
          <w:bCs/>
          <w:szCs w:val="20"/>
          <w:u w:val="single"/>
        </w:rPr>
        <w:t xml:space="preserve"> </w:t>
      </w:r>
    </w:p>
    <w:p w14:paraId="4AFFB6AD" w14:textId="587ACB81" w:rsidR="003603E6" w:rsidRPr="001C526E" w:rsidRDefault="003603E6" w:rsidP="007169B6">
      <w:pPr>
        <w:numPr>
          <w:ilvl w:val="0"/>
          <w:numId w:val="67"/>
        </w:numPr>
        <w:kinsoku w:val="0"/>
        <w:overflowPunct w:val="0"/>
        <w:autoSpaceDE w:val="0"/>
        <w:autoSpaceDN w:val="0"/>
        <w:adjustRightInd w:val="0"/>
        <w:spacing w:before="240" w:after="0"/>
        <w:ind w:left="1350" w:right="115"/>
        <w:rPr>
          <w:rFonts w:cs="Arial"/>
          <w:b/>
          <w:bCs/>
          <w:szCs w:val="20"/>
          <w:u w:val="single"/>
        </w:rPr>
      </w:pPr>
      <w:r w:rsidRPr="001C526E">
        <w:rPr>
          <w:rFonts w:cs="Arial"/>
          <w:b/>
          <w:bCs/>
          <w:szCs w:val="20"/>
          <w:u w:val="single"/>
        </w:rPr>
        <w:t xml:space="preserve">for tare weights of 11 kg (25 lb) </w:t>
      </w:r>
      <w:r w:rsidR="00191FF9">
        <w:rPr>
          <w:rFonts w:cs="Arial"/>
          <w:b/>
          <w:bCs/>
          <w:szCs w:val="20"/>
          <w:u w:val="single"/>
        </w:rPr>
        <w:t xml:space="preserve">or less </w:t>
      </w:r>
      <w:r w:rsidR="003B19B9">
        <w:rPr>
          <w:rFonts w:cs="Arial"/>
          <w:b/>
          <w:bCs/>
          <w:szCs w:val="20"/>
          <w:u w:val="single"/>
        </w:rPr>
        <w:t xml:space="preserve">cylinders </w:t>
      </w:r>
      <w:r w:rsidRPr="001C526E">
        <w:rPr>
          <w:rFonts w:cs="Arial"/>
          <w:b/>
          <w:bCs/>
          <w:szCs w:val="20"/>
          <w:u w:val="single"/>
        </w:rPr>
        <w:t>s:</w:t>
      </w:r>
    </w:p>
    <w:p w14:paraId="4F0FD6F9" w14:textId="77777777" w:rsidR="003603E6" w:rsidRPr="001C526E" w:rsidRDefault="003603E6" w:rsidP="007169B6">
      <w:pPr>
        <w:numPr>
          <w:ilvl w:val="0"/>
          <w:numId w:val="68"/>
        </w:numPr>
        <w:kinsoku w:val="0"/>
        <w:overflowPunct w:val="0"/>
        <w:autoSpaceDE w:val="0"/>
        <w:autoSpaceDN w:val="0"/>
        <w:adjustRightInd w:val="0"/>
        <w:spacing w:before="60"/>
        <w:ind w:left="1710" w:right="115"/>
        <w:rPr>
          <w:rFonts w:cs="Arial"/>
          <w:b/>
          <w:bCs/>
          <w:szCs w:val="20"/>
          <w:u w:val="single"/>
        </w:rPr>
      </w:pPr>
      <w:r w:rsidRPr="001C526E">
        <w:rPr>
          <w:rFonts w:cs="Arial"/>
          <w:b/>
          <w:bCs/>
          <w:szCs w:val="20"/>
          <w:u w:val="single"/>
        </w:rPr>
        <w:t>a lower tolerance of (-) 3 % and,</w:t>
      </w:r>
    </w:p>
    <w:p w14:paraId="2DB6FD47" w14:textId="77777777" w:rsidR="003603E6" w:rsidRPr="001C526E" w:rsidRDefault="003603E6" w:rsidP="007169B6">
      <w:pPr>
        <w:numPr>
          <w:ilvl w:val="0"/>
          <w:numId w:val="68"/>
        </w:numPr>
        <w:kinsoku w:val="0"/>
        <w:overflowPunct w:val="0"/>
        <w:autoSpaceDE w:val="0"/>
        <w:autoSpaceDN w:val="0"/>
        <w:adjustRightInd w:val="0"/>
        <w:spacing w:before="60"/>
        <w:ind w:left="1710" w:right="115"/>
        <w:rPr>
          <w:rFonts w:cs="Arial"/>
          <w:b/>
          <w:bCs/>
          <w:szCs w:val="20"/>
          <w:u w:val="single"/>
        </w:rPr>
      </w:pPr>
      <w:r w:rsidRPr="001C526E">
        <w:rPr>
          <w:rFonts w:cs="Arial"/>
          <w:b/>
          <w:bCs/>
          <w:szCs w:val="20"/>
          <w:u w:val="single"/>
        </w:rPr>
        <w:t xml:space="preserve">an upper tolerance of (+) 1 %; or </w:t>
      </w:r>
    </w:p>
    <w:p w14:paraId="601F5911" w14:textId="79DDF38B" w:rsidR="003603E6" w:rsidRPr="001C526E" w:rsidRDefault="003603E6" w:rsidP="007169B6">
      <w:pPr>
        <w:numPr>
          <w:ilvl w:val="0"/>
          <w:numId w:val="67"/>
        </w:numPr>
        <w:kinsoku w:val="0"/>
        <w:overflowPunct w:val="0"/>
        <w:autoSpaceDE w:val="0"/>
        <w:autoSpaceDN w:val="0"/>
        <w:adjustRightInd w:val="0"/>
        <w:spacing w:before="240"/>
        <w:ind w:left="1350" w:right="115"/>
        <w:rPr>
          <w:rFonts w:cs="Arial"/>
          <w:b/>
          <w:bCs/>
          <w:szCs w:val="20"/>
          <w:u w:val="single"/>
        </w:rPr>
      </w:pPr>
      <w:r w:rsidRPr="001C526E">
        <w:rPr>
          <w:rFonts w:cs="Arial"/>
          <w:b/>
          <w:bCs/>
          <w:szCs w:val="20"/>
          <w:u w:val="single"/>
        </w:rPr>
        <w:t xml:space="preserve">for </w:t>
      </w:r>
      <w:proofErr w:type="gramStart"/>
      <w:r w:rsidRPr="001C526E">
        <w:rPr>
          <w:rFonts w:cs="Arial"/>
          <w:b/>
          <w:bCs/>
          <w:szCs w:val="20"/>
          <w:u w:val="single"/>
        </w:rPr>
        <w:t>tares</w:t>
      </w:r>
      <w:proofErr w:type="gramEnd"/>
      <w:r w:rsidRPr="001C526E">
        <w:rPr>
          <w:rFonts w:cs="Arial"/>
          <w:b/>
          <w:bCs/>
          <w:szCs w:val="20"/>
          <w:u w:val="single"/>
        </w:rPr>
        <w:t xml:space="preserve"> weight </w:t>
      </w:r>
      <w:r w:rsidR="00191FF9">
        <w:rPr>
          <w:rFonts w:cs="Arial"/>
          <w:b/>
          <w:bCs/>
          <w:szCs w:val="20"/>
          <w:u w:val="single"/>
        </w:rPr>
        <w:t xml:space="preserve">of more </w:t>
      </w:r>
      <w:proofErr w:type="gramStart"/>
      <w:r w:rsidR="00191FF9">
        <w:rPr>
          <w:rFonts w:cs="Arial"/>
          <w:b/>
          <w:bCs/>
          <w:szCs w:val="20"/>
          <w:u w:val="single"/>
        </w:rPr>
        <w:t xml:space="preserve">than </w:t>
      </w:r>
      <w:r w:rsidRPr="001C526E">
        <w:rPr>
          <w:rFonts w:cs="Arial"/>
          <w:b/>
          <w:bCs/>
          <w:szCs w:val="20"/>
          <w:u w:val="single"/>
        </w:rPr>
        <w:t xml:space="preserve"> 11</w:t>
      </w:r>
      <w:proofErr w:type="gramEnd"/>
      <w:r w:rsidRPr="001C526E">
        <w:rPr>
          <w:rFonts w:cs="Arial"/>
          <w:b/>
          <w:bCs/>
          <w:szCs w:val="20"/>
          <w:u w:val="single"/>
        </w:rPr>
        <w:t xml:space="preserve"> kg (25 lb)</w:t>
      </w:r>
      <w:r w:rsidR="003B19B9">
        <w:rPr>
          <w:rFonts w:cs="Arial"/>
          <w:b/>
          <w:bCs/>
          <w:szCs w:val="20"/>
          <w:u w:val="single"/>
        </w:rPr>
        <w:t xml:space="preserve"> cylinders</w:t>
      </w:r>
      <w:r w:rsidRPr="001C526E">
        <w:rPr>
          <w:rFonts w:cs="Arial"/>
          <w:b/>
          <w:bCs/>
          <w:szCs w:val="20"/>
          <w:u w:val="single"/>
        </w:rPr>
        <w:t>:</w:t>
      </w:r>
    </w:p>
    <w:p w14:paraId="2DA8DDEF" w14:textId="77777777" w:rsidR="003603E6" w:rsidRPr="001C526E" w:rsidRDefault="003603E6" w:rsidP="007169B6">
      <w:pPr>
        <w:numPr>
          <w:ilvl w:val="0"/>
          <w:numId w:val="69"/>
        </w:numPr>
        <w:kinsoku w:val="0"/>
        <w:overflowPunct w:val="0"/>
        <w:autoSpaceDE w:val="0"/>
        <w:autoSpaceDN w:val="0"/>
        <w:adjustRightInd w:val="0"/>
        <w:spacing w:before="60"/>
        <w:ind w:left="1710" w:right="115"/>
        <w:rPr>
          <w:rFonts w:cs="Arial"/>
          <w:b/>
          <w:bCs/>
          <w:szCs w:val="20"/>
          <w:u w:val="single"/>
        </w:rPr>
      </w:pPr>
      <w:r w:rsidRPr="001C526E">
        <w:rPr>
          <w:rFonts w:cs="Arial"/>
          <w:b/>
          <w:bCs/>
          <w:szCs w:val="20"/>
          <w:u w:val="single"/>
        </w:rPr>
        <w:t>a lower tolerance of (-) 2 % and,</w:t>
      </w:r>
    </w:p>
    <w:p w14:paraId="374C8208" w14:textId="6CB60932" w:rsidR="00FF34F2" w:rsidRPr="00C238F2" w:rsidRDefault="003603E6" w:rsidP="007169B6">
      <w:pPr>
        <w:numPr>
          <w:ilvl w:val="0"/>
          <w:numId w:val="69"/>
        </w:numPr>
        <w:kinsoku w:val="0"/>
        <w:overflowPunct w:val="0"/>
        <w:autoSpaceDE w:val="0"/>
        <w:autoSpaceDN w:val="0"/>
        <w:adjustRightInd w:val="0"/>
        <w:spacing w:before="60"/>
        <w:ind w:left="1710" w:right="115"/>
        <w:rPr>
          <w:rFonts w:cs="Arial"/>
          <w:b/>
          <w:bCs/>
          <w:szCs w:val="20"/>
          <w:u w:val="single"/>
        </w:rPr>
      </w:pPr>
      <w:r w:rsidRPr="001C526E">
        <w:rPr>
          <w:rFonts w:cs="Arial"/>
          <w:b/>
          <w:bCs/>
          <w:szCs w:val="20"/>
          <w:u w:val="single"/>
        </w:rPr>
        <w:t>an upper tolerance of (+) 1 %.</w:t>
      </w:r>
    </w:p>
    <w:p w14:paraId="4A9463E9" w14:textId="1E8BB61B" w:rsidR="00C238F2" w:rsidRPr="00683D0C" w:rsidRDefault="00C238F2" w:rsidP="00683D0C">
      <w:pPr>
        <w:kinsoku w:val="0"/>
        <w:overflowPunct w:val="0"/>
        <w:autoSpaceDE w:val="0"/>
        <w:autoSpaceDN w:val="0"/>
        <w:adjustRightInd w:val="0"/>
        <w:spacing w:before="60"/>
        <w:ind w:right="115"/>
        <w:rPr>
          <w:rFonts w:cs="Arial"/>
          <w:b/>
          <w:bCs/>
          <w:szCs w:val="20"/>
          <w:u w:val="single"/>
        </w:rPr>
      </w:pPr>
      <w:r>
        <w:rPr>
          <w:rFonts w:cs="Arial"/>
          <w:b/>
          <w:bCs/>
          <w:szCs w:val="20"/>
          <w:u w:val="single"/>
        </w:rPr>
        <w:t xml:space="preserve">As described by general requirement for specification cylinders, 49 C.F.R. </w:t>
      </w:r>
      <w:r w:rsidRPr="00A674C9">
        <w:rPr>
          <w:b/>
          <w:bCs/>
          <w:color w:val="000000"/>
          <w:kern w:val="2"/>
          <w:szCs w:val="20"/>
          <w:u w:val="single"/>
          <w14:ligatures w14:val="standardContextual"/>
        </w:rPr>
        <w:t>§</w:t>
      </w:r>
      <w:r>
        <w:rPr>
          <w:rFonts w:cs="Arial"/>
          <w:b/>
          <w:bCs/>
          <w:szCs w:val="20"/>
          <w:u w:val="single"/>
        </w:rPr>
        <w:t xml:space="preserve"> 178.35</w:t>
      </w:r>
    </w:p>
    <w:p w14:paraId="106DC4EA" w14:textId="7943B6B1" w:rsidR="0082288B" w:rsidRPr="001C526E" w:rsidRDefault="003603E6" w:rsidP="001C526E">
      <w:pPr>
        <w:rPr>
          <w:rFonts w:ascii="Aptos" w:eastAsia="Aptos" w:hAnsi="Aptos"/>
          <w:bCs/>
        </w:rPr>
      </w:pPr>
      <w:r w:rsidRPr="001C526E">
        <w:rPr>
          <w:rFonts w:cs="Arial"/>
          <w:bCs/>
          <w:sz w:val="22"/>
        </w:rPr>
        <w:t>The cap is not included in the tare weight.</w:t>
      </w:r>
    </w:p>
    <w:p w14:paraId="02EE2A9D" w14:textId="7B2082A8" w:rsidR="002F4E07" w:rsidRDefault="002F4E07" w:rsidP="002F4E07">
      <w:pPr>
        <w:keepNext/>
        <w:spacing w:after="0"/>
      </w:pPr>
      <w:r w:rsidRPr="00E025F9">
        <w:rPr>
          <w:b/>
        </w:rPr>
        <w:t xml:space="preserve">Previous </w:t>
      </w:r>
      <w:r>
        <w:rPr>
          <w:b/>
        </w:rPr>
        <w:t>Status</w:t>
      </w:r>
      <w:r w:rsidRPr="00E025F9">
        <w:rPr>
          <w:b/>
        </w:rPr>
        <w:t>:</w:t>
      </w:r>
    </w:p>
    <w:p w14:paraId="7AF73B37" w14:textId="2FFB9A19" w:rsidR="00AA424B" w:rsidRDefault="00AA424B" w:rsidP="00AA424B">
      <w:pPr>
        <w:spacing w:after="0"/>
        <w:ind w:left="360"/>
      </w:pPr>
      <w:bookmarkStart w:id="59" w:name="_Hlk143506736"/>
      <w:r>
        <w:t>2025: Voting – Returned to Committee</w:t>
      </w:r>
    </w:p>
    <w:p w14:paraId="2246E574" w14:textId="7BFB83AB" w:rsidR="00AA424B" w:rsidRDefault="00B50CBD" w:rsidP="00AA424B">
      <w:pPr>
        <w:ind w:left="360"/>
      </w:pPr>
      <w:r>
        <w:t xml:space="preserve">2024: </w:t>
      </w:r>
      <w:bookmarkEnd w:id="59"/>
      <w:r w:rsidR="005A5AEB">
        <w:t>Informational</w:t>
      </w:r>
      <w:r w:rsidR="002F4E07">
        <w:t xml:space="preserve"> </w:t>
      </w:r>
    </w:p>
    <w:p w14:paraId="042EE5C9" w14:textId="77777777" w:rsidR="002F4E07" w:rsidRPr="00AB010B" w:rsidRDefault="002F4E07" w:rsidP="002F4E07">
      <w:pPr>
        <w:keepNext/>
        <w:spacing w:after="0"/>
        <w:rPr>
          <w:b/>
        </w:rPr>
      </w:pPr>
      <w:r w:rsidRPr="00AB010B">
        <w:rPr>
          <w:b/>
        </w:rPr>
        <w:t>Original Justification:</w:t>
      </w:r>
    </w:p>
    <w:p w14:paraId="2454A3C9" w14:textId="1D217E0D" w:rsidR="00FF4EEA" w:rsidRPr="004F3E04" w:rsidRDefault="00FF4EEA" w:rsidP="00FF4EEA">
      <w:pPr>
        <w:spacing w:before="40" w:after="0"/>
        <w:ind w:left="360"/>
        <w:rPr>
          <w:szCs w:val="20"/>
        </w:rPr>
      </w:pPr>
      <w:r w:rsidRPr="004F3E04">
        <w:rPr>
          <w:szCs w:val="20"/>
        </w:rPr>
        <w:t xml:space="preserve">The </w:t>
      </w:r>
      <w:r>
        <w:rPr>
          <w:szCs w:val="20"/>
        </w:rPr>
        <w:t xml:space="preserve">data presented in </w:t>
      </w:r>
      <w:r w:rsidRPr="004F3E04">
        <w:rPr>
          <w:szCs w:val="20"/>
        </w:rPr>
        <w:t xml:space="preserve">NIST Special Publication, “NIST SP 2200-01, 2022 NCWM-NIST National Survey on 20 lb LPG (Propane) Cylinders,” is sufficient evidence that the tolerances imposed in Handbook 130 on the marking of tare weights for propane cylinders are not in sync with the real world. For example, the report states that </w:t>
      </w:r>
      <w:r w:rsidRPr="004F3E04">
        <w:rPr>
          <w:i/>
          <w:iCs/>
          <w:szCs w:val="20"/>
        </w:rPr>
        <w:t>“nearly half (44.3%) of new cylinders and significantly less (32.0% of used cylinders were in compliance with existing tare weight requirements,”</w:t>
      </w:r>
      <w:r w:rsidRPr="004F3E04">
        <w:rPr>
          <w:szCs w:val="20"/>
        </w:rPr>
        <w:t xml:space="preserve"> (in reference to the current Handbook 130 requirements). Which means, of </w:t>
      </w:r>
      <w:r w:rsidR="000B201F" w:rsidRPr="004F3E04">
        <w:rPr>
          <w:szCs w:val="20"/>
        </w:rPr>
        <w:t>course,</w:t>
      </w:r>
      <w:r w:rsidRPr="004F3E04">
        <w:rPr>
          <w:szCs w:val="20"/>
        </w:rPr>
        <w:t xml:space="preserve"> that the great majority of cylinders, even new cylinders, were not in compliance. The reasons for that include the following:</w:t>
      </w:r>
    </w:p>
    <w:p w14:paraId="5E1C2092" w14:textId="58E630F1" w:rsidR="00FF4EEA" w:rsidRPr="004F3E04" w:rsidRDefault="00FF4EEA" w:rsidP="009405A0">
      <w:pPr>
        <w:numPr>
          <w:ilvl w:val="0"/>
          <w:numId w:val="30"/>
        </w:numPr>
        <w:spacing w:before="40" w:after="0"/>
        <w:ind w:left="1080"/>
        <w:rPr>
          <w:szCs w:val="20"/>
        </w:rPr>
      </w:pPr>
      <w:r w:rsidRPr="004F3E04">
        <w:rPr>
          <w:szCs w:val="20"/>
        </w:rPr>
        <w:t xml:space="preserve">As quoted from the report, </w:t>
      </w:r>
      <w:r w:rsidRPr="004F3E04">
        <w:rPr>
          <w:i/>
          <w:iCs/>
          <w:szCs w:val="20"/>
        </w:rPr>
        <w:t xml:space="preserve">“Initial assessments suggest that cylinder manufactures use a tolerance of 1%, which is primarily based on </w:t>
      </w:r>
      <w:r w:rsidR="006E03A8">
        <w:rPr>
          <w:i/>
          <w:iCs/>
          <w:szCs w:val="20"/>
        </w:rPr>
        <w:t>Transport Canada</w:t>
      </w:r>
      <w:r w:rsidRPr="004F3E04">
        <w:rPr>
          <w:i/>
          <w:iCs/>
          <w:szCs w:val="20"/>
        </w:rPr>
        <w:t>’s requirement of 1%.”</w:t>
      </w:r>
      <w:r w:rsidRPr="004F3E04">
        <w:rPr>
          <w:szCs w:val="20"/>
        </w:rPr>
        <w:t xml:space="preserve"> If a cylinder’s tare weight can vary +/- 1% from stamped value as manufactured, a cylinder’s actual tare weight cannot be expected to be within +/- 0.5% of the marked value after the cylinder at any point in time thereafter.</w:t>
      </w:r>
    </w:p>
    <w:p w14:paraId="781A76F9" w14:textId="77777777" w:rsidR="00FF4EEA" w:rsidRPr="004F3E04" w:rsidRDefault="00FF4EEA" w:rsidP="009405A0">
      <w:pPr>
        <w:numPr>
          <w:ilvl w:val="0"/>
          <w:numId w:val="30"/>
        </w:numPr>
        <w:spacing w:before="40" w:after="0"/>
        <w:ind w:left="1080"/>
        <w:rPr>
          <w:szCs w:val="20"/>
        </w:rPr>
      </w:pPr>
      <w:r w:rsidRPr="004F3E04">
        <w:rPr>
          <w:szCs w:val="20"/>
        </w:rPr>
        <w:t xml:space="preserve">For practical reasons, some manufacturers may use a statistical method to arrive at an average tare weight based on previous measurements of a sufficiently large sample pool. Whatever variance there may be in the actual weight of the cylinder versus the marked tare weight, the fact is that over 98% of the new cylinders weighed </w:t>
      </w:r>
      <w:proofErr w:type="gramStart"/>
      <w:r w:rsidRPr="004F3E04">
        <w:rPr>
          <w:szCs w:val="20"/>
        </w:rPr>
        <w:t>were in compliance with</w:t>
      </w:r>
      <w:proofErr w:type="gramEnd"/>
      <w:r w:rsidRPr="004F3E04">
        <w:rPr>
          <w:szCs w:val="20"/>
        </w:rPr>
        <w:t xml:space="preserve"> the DOT tolerances. </w:t>
      </w:r>
    </w:p>
    <w:p w14:paraId="2A532AEA" w14:textId="77777777" w:rsidR="00FF4EEA" w:rsidRPr="004F3E04" w:rsidRDefault="00FF4EEA" w:rsidP="00DF4E80">
      <w:pPr>
        <w:keepNext/>
        <w:keepLines/>
        <w:numPr>
          <w:ilvl w:val="0"/>
          <w:numId w:val="30"/>
        </w:numPr>
        <w:spacing w:before="40" w:after="0"/>
        <w:ind w:left="1080"/>
        <w:rPr>
          <w:szCs w:val="20"/>
        </w:rPr>
      </w:pPr>
      <w:r w:rsidRPr="004F3E04">
        <w:rPr>
          <w:szCs w:val="20"/>
        </w:rPr>
        <w:lastRenderedPageBreak/>
        <w:t xml:space="preserve">The following statement from the report is </w:t>
      </w:r>
      <w:r>
        <w:rPr>
          <w:szCs w:val="20"/>
        </w:rPr>
        <w:t>very telling</w:t>
      </w:r>
      <w:r w:rsidRPr="004F3E04">
        <w:rPr>
          <w:szCs w:val="20"/>
        </w:rPr>
        <w:t xml:space="preserve">: </w:t>
      </w:r>
      <w:r w:rsidRPr="004F3E04">
        <w:rPr>
          <w:i/>
          <w:iCs/>
          <w:szCs w:val="20"/>
        </w:rPr>
        <w:t>“It is highly unusual and irregular to see a tolerance where a very significant majority of the packages are in compliance (in this case, 98.4%).”</w:t>
      </w:r>
      <w:r w:rsidRPr="004F3E04">
        <w:rPr>
          <w:szCs w:val="20"/>
        </w:rPr>
        <w:t xml:space="preserve"> The report goes on to state that 34.3% of “used” cylinders would not </w:t>
      </w:r>
      <w:proofErr w:type="gramStart"/>
      <w:r w:rsidRPr="004F3E04">
        <w:rPr>
          <w:szCs w:val="20"/>
        </w:rPr>
        <w:t>be in compliance with</w:t>
      </w:r>
      <w:proofErr w:type="gramEnd"/>
      <w:r w:rsidRPr="004F3E04">
        <w:rPr>
          <w:szCs w:val="20"/>
        </w:rPr>
        <w:t xml:space="preserve"> the DOT tolerances. These two statements </w:t>
      </w:r>
      <w:proofErr w:type="gramStart"/>
      <w:r w:rsidRPr="004F3E04">
        <w:rPr>
          <w:szCs w:val="20"/>
        </w:rPr>
        <w:t>call</w:t>
      </w:r>
      <w:proofErr w:type="gramEnd"/>
      <w:r w:rsidRPr="004F3E04">
        <w:rPr>
          <w:szCs w:val="20"/>
        </w:rPr>
        <w:t xml:space="preserve"> attention to the fact that these grill cylinders are in constant circulation, subject to a wide variety of conditions, treatment and possibl</w:t>
      </w:r>
      <w:r>
        <w:rPr>
          <w:szCs w:val="20"/>
        </w:rPr>
        <w:t>e</w:t>
      </w:r>
      <w:r w:rsidRPr="004F3E04">
        <w:rPr>
          <w:szCs w:val="20"/>
        </w:rPr>
        <w:t xml:space="preserve"> abuse by potentially many different customers, thereby underlining the need to steer </w:t>
      </w:r>
      <w:proofErr w:type="gramStart"/>
      <w:r w:rsidRPr="004F3E04">
        <w:rPr>
          <w:szCs w:val="20"/>
        </w:rPr>
        <w:t>clear of</w:t>
      </w:r>
      <w:proofErr w:type="gramEnd"/>
      <w:r w:rsidRPr="004F3E04">
        <w:rPr>
          <w:szCs w:val="20"/>
        </w:rPr>
        <w:t xml:space="preserve"> overburdensome and unwarranted </w:t>
      </w:r>
      <w:proofErr w:type="gramStart"/>
      <w:r w:rsidRPr="004F3E04">
        <w:rPr>
          <w:szCs w:val="20"/>
        </w:rPr>
        <w:t>regulation</w:t>
      </w:r>
      <w:proofErr w:type="gramEnd"/>
      <w:r w:rsidRPr="004F3E04">
        <w:rPr>
          <w:szCs w:val="20"/>
        </w:rPr>
        <w:t xml:space="preserve">. </w:t>
      </w:r>
    </w:p>
    <w:p w14:paraId="53A2219B" w14:textId="77777777" w:rsidR="00FF4EEA" w:rsidRPr="004F3E04" w:rsidRDefault="00FF4EEA" w:rsidP="009405A0">
      <w:pPr>
        <w:numPr>
          <w:ilvl w:val="0"/>
          <w:numId w:val="30"/>
        </w:numPr>
        <w:spacing w:before="40" w:after="0"/>
        <w:ind w:left="1080"/>
        <w:rPr>
          <w:szCs w:val="20"/>
        </w:rPr>
      </w:pPr>
      <w:r w:rsidRPr="004F3E04">
        <w:rPr>
          <w:szCs w:val="20"/>
        </w:rPr>
        <w:t xml:space="preserve">Scales utilized in most retail locations where cylinders are filled are beam scales which do not have the capability of weighing cylinders to the sensitivity or number of decimal places necessary to verify the initial tare weight while a cylinder is under vacuum using Handbook 130 requirements. Additionally, there is no requirement in any national code or standard to fill cylinders by weight at the point of sale when the cylinder is transported for non-commercial use.  These cylinders are not considered to be transported “in commerce” and are therefore not required to be filled by weight, thereby allowing for the determination of maximum fill level using the fixed maximum liquid level gauge. Scales are not required to be installed at these facilities. </w:t>
      </w:r>
    </w:p>
    <w:p w14:paraId="0DF025E8" w14:textId="77777777" w:rsidR="00FF4EEA" w:rsidRDefault="00FF4EEA" w:rsidP="009405A0">
      <w:pPr>
        <w:numPr>
          <w:ilvl w:val="0"/>
          <w:numId w:val="30"/>
        </w:numPr>
        <w:spacing w:before="40" w:after="0"/>
        <w:ind w:left="1080"/>
        <w:rPr>
          <w:szCs w:val="20"/>
        </w:rPr>
      </w:pPr>
      <w:r w:rsidRPr="004F3E04">
        <w:rPr>
          <w:szCs w:val="20"/>
        </w:rPr>
        <w:t xml:space="preserve">Even when the product is released to the atmosphere to “empty” the cylinder, there will always be some amount of liquid and vapor remaining in the cylinder, unless the cylinder has been put under vacuum. The liquid, of course, is much denser than air and the vapor in the cylinder is 1.5 times the weight of the air that was in the sample cylinders when they were weighed to establish the “average” tare weights. </w:t>
      </w:r>
    </w:p>
    <w:p w14:paraId="275A7CA8" w14:textId="77777777" w:rsidR="00FF4EEA" w:rsidRPr="00FF4EEA" w:rsidRDefault="00FF4EEA" w:rsidP="009405A0">
      <w:pPr>
        <w:keepNext/>
        <w:numPr>
          <w:ilvl w:val="0"/>
          <w:numId w:val="30"/>
        </w:numPr>
        <w:spacing w:before="40" w:after="0"/>
        <w:ind w:left="1080"/>
        <w:rPr>
          <w:b/>
        </w:rPr>
      </w:pPr>
      <w:r w:rsidRPr="00FF4EEA">
        <w:rPr>
          <w:szCs w:val="20"/>
        </w:rPr>
        <w:t xml:space="preserve">A minus tolerance of -3% will not result in extreme loss to the propane marketer in most cases, because the overfilling prevention device (OPD) will activate and prevent the overfilling of the cylinder in </w:t>
      </w:r>
      <w:proofErr w:type="gramStart"/>
      <w:r w:rsidRPr="00FF4EEA">
        <w:rPr>
          <w:szCs w:val="20"/>
        </w:rPr>
        <w:t>the vast majority of</w:t>
      </w:r>
      <w:proofErr w:type="gramEnd"/>
      <w:r w:rsidRPr="00FF4EEA">
        <w:rPr>
          <w:szCs w:val="20"/>
        </w:rPr>
        <w:t xml:space="preserve"> cases. As stated in the report, only 1.1% of all cylinders tested exceeded the legal filling limit. Considering the time of year that this project was undertaken and in some northern states, it is very likely that some of those cylinders may have been filled volumetrically when the temperature was below 40 °F, it would not be unusual that more product was put into the cylinder because the OPD is calibrated to the maximum fill at 40 °F and the liquid density increases as the temperature gets colder.</w:t>
      </w:r>
    </w:p>
    <w:p w14:paraId="386FA91C" w14:textId="4DD5B99D" w:rsidR="000E02AA" w:rsidRDefault="00FF4EEA" w:rsidP="009405A0">
      <w:pPr>
        <w:keepNext/>
        <w:numPr>
          <w:ilvl w:val="0"/>
          <w:numId w:val="30"/>
        </w:numPr>
        <w:spacing w:before="40"/>
        <w:ind w:left="1080"/>
        <w:rPr>
          <w:b/>
        </w:rPr>
      </w:pPr>
      <w:r w:rsidRPr="00FF4EEA">
        <w:rPr>
          <w:szCs w:val="20"/>
        </w:rPr>
        <w:t xml:space="preserve">The price for a pound of propane as stated in the report seems high, as it would equate to $5.51 per gallon (4.24 lbs. per gallon).  The Department of Energy published the average cost of propane in </w:t>
      </w:r>
      <w:proofErr w:type="gramStart"/>
      <w:r w:rsidRPr="00FF4EEA">
        <w:rPr>
          <w:szCs w:val="20"/>
        </w:rPr>
        <w:t>2022</w:t>
      </w:r>
      <w:proofErr w:type="gramEnd"/>
      <w:r w:rsidRPr="00FF4EEA">
        <w:rPr>
          <w:szCs w:val="20"/>
        </w:rPr>
        <w:t xml:space="preserve"> and it was shown to be $2.23 per gallon</w:t>
      </w:r>
      <w:r>
        <w:rPr>
          <w:szCs w:val="20"/>
        </w:rPr>
        <w:t>.</w:t>
      </w:r>
    </w:p>
    <w:p w14:paraId="5FD10A7A" w14:textId="77777777" w:rsidR="000E02AA" w:rsidRDefault="000E02AA" w:rsidP="000E02AA">
      <w:pPr>
        <w:spacing w:before="40" w:after="0"/>
        <w:rPr>
          <w:szCs w:val="20"/>
        </w:rPr>
      </w:pPr>
      <w:r>
        <w:rPr>
          <w:szCs w:val="20"/>
        </w:rPr>
        <w:t>Opposing arguments may take the following form:</w:t>
      </w:r>
    </w:p>
    <w:p w14:paraId="78FA1022" w14:textId="230952C5" w:rsidR="006E03A8" w:rsidRPr="00346B96" w:rsidRDefault="000E02AA" w:rsidP="000F6A3F">
      <w:pPr>
        <w:pStyle w:val="ListParagraph"/>
        <w:numPr>
          <w:ilvl w:val="0"/>
          <w:numId w:val="31"/>
        </w:numPr>
        <w:spacing w:before="40" w:after="0"/>
        <w:ind w:left="1080"/>
        <w:contextualSpacing/>
        <w:rPr>
          <w:b/>
        </w:rPr>
      </w:pPr>
      <w:r w:rsidRPr="00346B96">
        <w:rPr>
          <w:szCs w:val="20"/>
        </w:rPr>
        <w:t xml:space="preserve">“The purpose of Handbook 130 is to ensure that the customer gets what he pays for and that the propane marketer doesn’t lose out, either.” The rebuttal to this argument from the standpoint of the customer is provided in the justification in number 18 above. From the marketer’s standpoint, the fact that </w:t>
      </w:r>
      <w:proofErr w:type="gramStart"/>
      <w:r w:rsidRPr="00346B96">
        <w:rPr>
          <w:szCs w:val="20"/>
        </w:rPr>
        <w:t>the vast majority of</w:t>
      </w:r>
      <w:proofErr w:type="gramEnd"/>
      <w:r w:rsidRPr="00346B96">
        <w:rPr>
          <w:szCs w:val="20"/>
        </w:rPr>
        <w:t xml:space="preserve"> retail gallons sold in the U.S. are sold by NPGA members and that those very members endorsed this proposal is evidence that marketers are not concerned about the small quantities of gas that may not be billed to the customer.</w:t>
      </w:r>
    </w:p>
    <w:p w14:paraId="52DA3F6D" w14:textId="1FD9E887" w:rsidR="006E03A8" w:rsidRPr="000E02AA" w:rsidRDefault="006E03A8" w:rsidP="006E03A8">
      <w:pPr>
        <w:pStyle w:val="ListParagraph"/>
        <w:keepNext/>
        <w:keepLines/>
        <w:numPr>
          <w:ilvl w:val="0"/>
          <w:numId w:val="31"/>
        </w:numPr>
        <w:spacing w:before="40"/>
        <w:ind w:left="1080"/>
        <w:contextualSpacing/>
        <w:rPr>
          <w:b/>
        </w:rPr>
      </w:pPr>
      <w:r w:rsidRPr="000E02AA">
        <w:rPr>
          <w:szCs w:val="20"/>
        </w:rPr>
        <w:t>“We should make DOT change their tolerances instead of NCWM changing theirs.” The fact is that NCWM allowable differences are so unreasonable that 56% of newly manufactured cylinders were not in compliance with them. That should be reason enough to realize that NCWM needs to change. In addition, once gas is put into a cylinder, there will always be a little bit of liquid remaining in the cylinder unless it is vacuum purged or opened to the atmosphere. This means that accurately measuring the tare weight of a cylinder becomes very difficult unless specific procedures are followed to ensure that the cylinder is truly “empty.”</w:t>
      </w:r>
    </w:p>
    <w:p w14:paraId="3A509682" w14:textId="19C01523" w:rsidR="006E03A8" w:rsidRPr="0049496F" w:rsidRDefault="006E03A8" w:rsidP="0049496F">
      <w:pPr>
        <w:pStyle w:val="ListParagraph"/>
        <w:spacing w:before="40" w:after="0"/>
        <w:ind w:left="1080"/>
        <w:contextualSpacing/>
        <w:rPr>
          <w:b/>
        </w:rPr>
      </w:pPr>
    </w:p>
    <w:p w14:paraId="730D5870" w14:textId="4E8F2367" w:rsidR="000C49A7" w:rsidRPr="000E02AA" w:rsidRDefault="00537E02" w:rsidP="000E02AA">
      <w:pPr>
        <w:keepNext/>
        <w:spacing w:before="40"/>
        <w:rPr>
          <w:bCs/>
        </w:rPr>
      </w:pPr>
      <w:r>
        <w:rPr>
          <w:szCs w:val="20"/>
        </w:rPr>
        <w:lastRenderedPageBreak/>
        <w:t>The submitter requested that this be a voting item in 2024 and a retroactive requirement, enforceable to all devices</w:t>
      </w:r>
      <w:r w:rsidR="000E02AA" w:rsidRPr="000E02AA">
        <w:rPr>
          <w:bCs/>
        </w:rPr>
        <w:t xml:space="preserve">. </w:t>
      </w:r>
    </w:p>
    <w:p w14:paraId="3DBE440B" w14:textId="77777777" w:rsidR="005D742F" w:rsidRPr="002A7C3B" w:rsidRDefault="005D742F" w:rsidP="005D742F">
      <w:pPr>
        <w:keepNext/>
        <w:rPr>
          <w:b/>
        </w:rPr>
      </w:pPr>
      <w:bookmarkStart w:id="60" w:name="_Hlk158737865"/>
      <w:r>
        <w:rPr>
          <w:b/>
        </w:rPr>
        <w:t>Comments</w:t>
      </w:r>
      <w:r w:rsidRPr="002A7C3B">
        <w:rPr>
          <w:b/>
        </w:rPr>
        <w:t xml:space="preserve"> in Favor:</w:t>
      </w:r>
    </w:p>
    <w:p w14:paraId="4745394E" w14:textId="67BAF4C4" w:rsidR="005D742F" w:rsidRDefault="0042639E" w:rsidP="005D742F">
      <w:pPr>
        <w:keepNext/>
        <w:spacing w:after="0"/>
        <w:ind w:left="720"/>
        <w:rPr>
          <w:b/>
        </w:rPr>
      </w:pPr>
      <w:r>
        <w:rPr>
          <w:b/>
        </w:rPr>
        <w:t>Weights and Measures Officials</w:t>
      </w:r>
      <w:r w:rsidR="005D742F" w:rsidRPr="002A7C3B">
        <w:rPr>
          <w:b/>
        </w:rPr>
        <w:t>:</w:t>
      </w:r>
    </w:p>
    <w:p w14:paraId="4A186193" w14:textId="5B45E0C5" w:rsidR="000D61CB" w:rsidRPr="000D61CB" w:rsidRDefault="00296CD3" w:rsidP="007169B6">
      <w:pPr>
        <w:pStyle w:val="ListParagraph"/>
        <w:keepNext/>
        <w:numPr>
          <w:ilvl w:val="0"/>
          <w:numId w:val="62"/>
        </w:numPr>
        <w:spacing w:after="0"/>
        <w:rPr>
          <w:b/>
        </w:rPr>
      </w:pPr>
      <w:r w:rsidRPr="00B530E4">
        <w:rPr>
          <w:bCs/>
        </w:rPr>
        <w:t xml:space="preserve">Several </w:t>
      </w:r>
      <w:r w:rsidR="001B29F9">
        <w:rPr>
          <w:bCs/>
        </w:rPr>
        <w:t>w</w:t>
      </w:r>
      <w:r w:rsidR="009A411E" w:rsidRPr="001B29F9">
        <w:rPr>
          <w:bCs/>
        </w:rPr>
        <w:t xml:space="preserve">eights and </w:t>
      </w:r>
      <w:r w:rsidR="001B29F9">
        <w:rPr>
          <w:bCs/>
        </w:rPr>
        <w:t>m</w:t>
      </w:r>
      <w:r w:rsidR="009A411E" w:rsidRPr="001B29F9">
        <w:rPr>
          <w:bCs/>
        </w:rPr>
        <w:t xml:space="preserve">easures </w:t>
      </w:r>
      <w:r w:rsidR="0000792B" w:rsidRPr="001B29F9">
        <w:rPr>
          <w:bCs/>
        </w:rPr>
        <w:t>o</w:t>
      </w:r>
      <w:r w:rsidR="0042639E" w:rsidRPr="001B29F9">
        <w:rPr>
          <w:bCs/>
        </w:rPr>
        <w:t>fficial</w:t>
      </w:r>
      <w:r w:rsidR="00A1544D" w:rsidRPr="001B29F9">
        <w:rPr>
          <w:bCs/>
        </w:rPr>
        <w:t>s</w:t>
      </w:r>
      <w:r w:rsidR="0068627A">
        <w:rPr>
          <w:bCs/>
        </w:rPr>
        <w:t xml:space="preserve"> </w:t>
      </w:r>
      <w:r w:rsidR="009A411E" w:rsidRPr="00B530E4">
        <w:rPr>
          <w:bCs/>
        </w:rPr>
        <w:t xml:space="preserve">supported </w:t>
      </w:r>
      <w:r w:rsidR="00E901C2" w:rsidRPr="00B530E4">
        <w:rPr>
          <w:bCs/>
        </w:rPr>
        <w:t>amending the Item as proposed by NIST OWM and moving it forward as a Voting item</w:t>
      </w:r>
      <w:r w:rsidR="00E901C2">
        <w:rPr>
          <w:b/>
        </w:rPr>
        <w:t>.</w:t>
      </w:r>
    </w:p>
    <w:p w14:paraId="7171C9BB" w14:textId="77777777" w:rsidR="00E87262" w:rsidRDefault="005D742F" w:rsidP="00DF4E80">
      <w:pPr>
        <w:keepNext/>
        <w:keepLines/>
        <w:spacing w:before="240" w:after="0"/>
        <w:ind w:left="720"/>
        <w:rPr>
          <w:b/>
        </w:rPr>
      </w:pPr>
      <w:r w:rsidRPr="002A7C3B">
        <w:rPr>
          <w:b/>
        </w:rPr>
        <w:t>Industry:</w:t>
      </w:r>
    </w:p>
    <w:p w14:paraId="610B0E25" w14:textId="05F3F5D9" w:rsidR="00C757EF" w:rsidRPr="00C27632" w:rsidRDefault="001F4C04" w:rsidP="00C27632">
      <w:pPr>
        <w:pStyle w:val="ListParagraph"/>
        <w:keepNext/>
        <w:keepLines/>
        <w:numPr>
          <w:ilvl w:val="0"/>
          <w:numId w:val="26"/>
        </w:numPr>
        <w:spacing w:after="0"/>
        <w:rPr>
          <w:bCs/>
        </w:rPr>
      </w:pPr>
      <w:r>
        <w:rPr>
          <w:bCs/>
        </w:rPr>
        <w:t xml:space="preserve">The representative </w:t>
      </w:r>
      <w:proofErr w:type="gramStart"/>
      <w:r>
        <w:rPr>
          <w:bCs/>
        </w:rPr>
        <w:t>for</w:t>
      </w:r>
      <w:proofErr w:type="gramEnd"/>
      <w:r>
        <w:rPr>
          <w:bCs/>
        </w:rPr>
        <w:t xml:space="preserve"> the National Propane Gas </w:t>
      </w:r>
      <w:r w:rsidR="006E03A8">
        <w:rPr>
          <w:bCs/>
        </w:rPr>
        <w:t>A</w:t>
      </w:r>
      <w:r>
        <w:rPr>
          <w:bCs/>
        </w:rPr>
        <w:t xml:space="preserve">ssociation recommended that the Committee adopt the </w:t>
      </w:r>
      <w:r w:rsidR="0068627A">
        <w:rPr>
          <w:bCs/>
        </w:rPr>
        <w:t>language</w:t>
      </w:r>
      <w:r>
        <w:rPr>
          <w:bCs/>
        </w:rPr>
        <w:t xml:space="preserve"> changes provided by NIST OWM and move the item forward as a Voting item.</w:t>
      </w:r>
    </w:p>
    <w:p w14:paraId="7580180F" w14:textId="77777777" w:rsidR="00C757EF" w:rsidRPr="00C757EF" w:rsidRDefault="00C757EF" w:rsidP="00C757EF">
      <w:pPr>
        <w:pStyle w:val="ListParagraph"/>
        <w:spacing w:before="240" w:after="0" w:line="259" w:lineRule="auto"/>
        <w:contextualSpacing/>
        <w:jc w:val="left"/>
        <w:rPr>
          <w:b/>
        </w:rPr>
      </w:pPr>
    </w:p>
    <w:p w14:paraId="738D47FC" w14:textId="34CB8435" w:rsidR="00B308BB" w:rsidRPr="00161AB1" w:rsidRDefault="005D742F" w:rsidP="00B32AD5">
      <w:pPr>
        <w:pStyle w:val="ListParagraph"/>
        <w:spacing w:before="240" w:after="0" w:line="259" w:lineRule="auto"/>
        <w:contextualSpacing/>
        <w:jc w:val="left"/>
        <w:rPr>
          <w:b/>
        </w:rPr>
      </w:pPr>
      <w:r w:rsidRPr="00C757EF">
        <w:rPr>
          <w:b/>
        </w:rPr>
        <w:t>Advisory:</w:t>
      </w:r>
    </w:p>
    <w:p w14:paraId="611B2E4A" w14:textId="02E0BCD6" w:rsidR="005D742F" w:rsidRPr="002A7C3B" w:rsidRDefault="00AD2513" w:rsidP="005D742F">
      <w:pPr>
        <w:pStyle w:val="ListParagraph"/>
        <w:numPr>
          <w:ilvl w:val="0"/>
          <w:numId w:val="26"/>
        </w:numPr>
        <w:spacing w:after="0" w:line="259" w:lineRule="auto"/>
        <w:contextualSpacing/>
        <w:jc w:val="left"/>
      </w:pPr>
      <w:r>
        <w:t>None</w:t>
      </w:r>
    </w:p>
    <w:p w14:paraId="6ACBC36B" w14:textId="77777777" w:rsidR="005D742F" w:rsidRPr="002A7C3B" w:rsidRDefault="005D742F" w:rsidP="005D742F">
      <w:pPr>
        <w:spacing w:before="240"/>
        <w:rPr>
          <w:b/>
        </w:rPr>
      </w:pPr>
      <w:r>
        <w:rPr>
          <w:b/>
        </w:rPr>
        <w:t>Comments</w:t>
      </w:r>
      <w:r w:rsidRPr="002A7C3B">
        <w:rPr>
          <w:b/>
        </w:rPr>
        <w:t xml:space="preserve"> Against:</w:t>
      </w:r>
    </w:p>
    <w:p w14:paraId="51311253" w14:textId="7B2B2885" w:rsidR="0000792B" w:rsidRDefault="0042639E" w:rsidP="005D742F">
      <w:pPr>
        <w:spacing w:after="0"/>
        <w:ind w:left="720"/>
        <w:rPr>
          <w:b/>
        </w:rPr>
      </w:pPr>
      <w:r>
        <w:rPr>
          <w:b/>
        </w:rPr>
        <w:t>Weights and Measures Officials</w:t>
      </w:r>
      <w:r w:rsidR="005D742F" w:rsidRPr="002A7C3B">
        <w:rPr>
          <w:b/>
        </w:rPr>
        <w:t>:</w:t>
      </w:r>
      <w:r w:rsidR="00E901C2">
        <w:rPr>
          <w:b/>
        </w:rPr>
        <w:t xml:space="preserve"> </w:t>
      </w:r>
    </w:p>
    <w:p w14:paraId="07E8419E" w14:textId="28331847" w:rsidR="005D742F" w:rsidRPr="0000792B" w:rsidRDefault="0068627A" w:rsidP="0049496F">
      <w:pPr>
        <w:pStyle w:val="ListParagraph"/>
        <w:numPr>
          <w:ilvl w:val="0"/>
          <w:numId w:val="26"/>
        </w:numPr>
        <w:spacing w:after="0"/>
        <w:rPr>
          <w:bCs/>
        </w:rPr>
      </w:pPr>
      <w:proofErr w:type="gramStart"/>
      <w:r w:rsidRPr="0000792B">
        <w:rPr>
          <w:bCs/>
        </w:rPr>
        <w:t xml:space="preserve">A </w:t>
      </w:r>
      <w:r w:rsidR="001B29F9">
        <w:rPr>
          <w:bCs/>
        </w:rPr>
        <w:t>w</w:t>
      </w:r>
      <w:r w:rsidR="00AD2513" w:rsidRPr="001B29F9">
        <w:rPr>
          <w:bCs/>
        </w:rPr>
        <w:t xml:space="preserve">eights and </w:t>
      </w:r>
      <w:r w:rsidR="001B29F9">
        <w:rPr>
          <w:bCs/>
        </w:rPr>
        <w:t>m</w:t>
      </w:r>
      <w:r w:rsidR="00AD2513" w:rsidRPr="001B29F9">
        <w:rPr>
          <w:bCs/>
        </w:rPr>
        <w:t xml:space="preserve">easures </w:t>
      </w:r>
      <w:r w:rsidR="0000792B" w:rsidRPr="001B29F9">
        <w:rPr>
          <w:bCs/>
        </w:rPr>
        <w:t>o</w:t>
      </w:r>
      <w:r w:rsidR="00AD2513" w:rsidRPr="001B29F9">
        <w:rPr>
          <w:bCs/>
        </w:rPr>
        <w:t>fficial</w:t>
      </w:r>
      <w:proofErr w:type="gramEnd"/>
      <w:r w:rsidR="00AD2513" w:rsidRPr="0000792B">
        <w:rPr>
          <w:bCs/>
        </w:rPr>
        <w:t xml:space="preserve"> representing California opposed this item and recommended Withdraw.</w:t>
      </w:r>
    </w:p>
    <w:p w14:paraId="742A0BE2" w14:textId="77777777" w:rsidR="005D742F" w:rsidRPr="002A7C3B" w:rsidRDefault="005D742F" w:rsidP="005D742F">
      <w:pPr>
        <w:spacing w:before="240" w:after="0"/>
        <w:ind w:left="720"/>
        <w:rPr>
          <w:b/>
        </w:rPr>
      </w:pPr>
      <w:r w:rsidRPr="002A7C3B">
        <w:rPr>
          <w:b/>
        </w:rPr>
        <w:t>Industry:</w:t>
      </w:r>
    </w:p>
    <w:p w14:paraId="0C16D3DE" w14:textId="39B54976" w:rsidR="005D742F" w:rsidRPr="002A7C3B" w:rsidRDefault="00AD2513" w:rsidP="005D742F">
      <w:pPr>
        <w:pStyle w:val="ListParagraph"/>
        <w:numPr>
          <w:ilvl w:val="0"/>
          <w:numId w:val="27"/>
        </w:numPr>
        <w:spacing w:after="0" w:line="259" w:lineRule="auto"/>
        <w:contextualSpacing/>
        <w:jc w:val="left"/>
      </w:pPr>
      <w:r>
        <w:t>None</w:t>
      </w:r>
    </w:p>
    <w:p w14:paraId="62CA9B60" w14:textId="77777777" w:rsidR="005D742F" w:rsidRPr="00AC5B86" w:rsidRDefault="005D742F" w:rsidP="005D742F">
      <w:pPr>
        <w:spacing w:before="240" w:after="0"/>
        <w:ind w:left="720"/>
        <w:rPr>
          <w:b/>
        </w:rPr>
      </w:pPr>
      <w:r w:rsidRPr="002A7C3B">
        <w:rPr>
          <w:b/>
        </w:rPr>
        <w:t>Advisory:</w:t>
      </w:r>
    </w:p>
    <w:p w14:paraId="78D4138B" w14:textId="5D3658B5" w:rsidR="008C1FCD" w:rsidRPr="008C1FCD" w:rsidRDefault="008C1FCD" w:rsidP="008C1FCD">
      <w:pPr>
        <w:pStyle w:val="ListParagraph"/>
        <w:numPr>
          <w:ilvl w:val="0"/>
          <w:numId w:val="27"/>
        </w:numPr>
      </w:pPr>
      <w:r>
        <w:t>The NIST OWM representative</w:t>
      </w:r>
      <w:r w:rsidR="00183D44">
        <w:t xml:space="preserve"> shared that the Federal </w:t>
      </w:r>
      <w:r w:rsidRPr="008C1FCD">
        <w:t>DOT code</w:t>
      </w:r>
      <w:r w:rsidR="00802FE0">
        <w:t xml:space="preserve"> changes</w:t>
      </w:r>
      <w:r w:rsidR="006C2840">
        <w:t xml:space="preserve"> </w:t>
      </w:r>
      <w:r w:rsidR="00D07FC9">
        <w:t xml:space="preserve">on </w:t>
      </w:r>
      <w:r w:rsidR="00CA19C4">
        <w:t>tare weight</w:t>
      </w:r>
      <w:r w:rsidRPr="008C1FCD">
        <w:t xml:space="preserve"> </w:t>
      </w:r>
      <w:r w:rsidR="00EC3E30">
        <w:t>allowable differences</w:t>
      </w:r>
      <w:r w:rsidRPr="008C1FCD">
        <w:t xml:space="preserve"> </w:t>
      </w:r>
      <w:proofErr w:type="gramStart"/>
      <w:r w:rsidR="007F4B9C">
        <w:t xml:space="preserve">have </w:t>
      </w:r>
      <w:r w:rsidRPr="008C1FCD">
        <w:t xml:space="preserve"> been</w:t>
      </w:r>
      <w:proofErr w:type="gramEnd"/>
      <w:r w:rsidRPr="008C1FCD">
        <w:t xml:space="preserve"> implemented</w:t>
      </w:r>
      <w:r w:rsidR="00183D44">
        <w:t xml:space="preserve"> </w:t>
      </w:r>
      <w:r w:rsidR="00D203B0">
        <w:t>and the</w:t>
      </w:r>
      <w:r w:rsidR="00556B03">
        <w:t xml:space="preserve">y </w:t>
      </w:r>
      <w:r w:rsidR="0071155B">
        <w:t>supersede the</w:t>
      </w:r>
      <w:r w:rsidR="00D203B0">
        <w:t xml:space="preserve"> NIST Handbook </w:t>
      </w:r>
      <w:proofErr w:type="gramStart"/>
      <w:r w:rsidR="00D203B0">
        <w:t>regulation</w:t>
      </w:r>
      <w:r w:rsidRPr="008C1FCD">
        <w:t xml:space="preserve"> </w:t>
      </w:r>
      <w:r w:rsidR="00E2489A">
        <w:t>.</w:t>
      </w:r>
      <w:proofErr w:type="gramEnd"/>
      <w:r w:rsidR="00E2489A">
        <w:t xml:space="preserve"> He stated that we </w:t>
      </w:r>
      <w:r w:rsidR="00E2489A" w:rsidRPr="008C1FCD">
        <w:t>need</w:t>
      </w:r>
      <w:r w:rsidRPr="008C1FCD">
        <w:t xml:space="preserve"> to move</w:t>
      </w:r>
      <w:r w:rsidR="00E2489A">
        <w:t xml:space="preserve"> to avoid Federal</w:t>
      </w:r>
      <w:r w:rsidRPr="008C1FCD">
        <w:t xml:space="preserve"> preemption</w:t>
      </w:r>
      <w:r w:rsidR="00F03F5E">
        <w:t xml:space="preserve">. </w:t>
      </w:r>
      <w:r w:rsidR="00AA464C">
        <w:t>The NIST OWM representative provided suggested language changes</w:t>
      </w:r>
      <w:r w:rsidR="0026567F">
        <w:t xml:space="preserve"> and requested </w:t>
      </w:r>
      <w:r w:rsidR="00882D02">
        <w:t>them to be reflected in H</w:t>
      </w:r>
      <w:r w:rsidR="00832F99">
        <w:t xml:space="preserve">B </w:t>
      </w:r>
      <w:r w:rsidR="00882D02">
        <w:t>130 and H</w:t>
      </w:r>
      <w:r w:rsidR="00832F99">
        <w:t xml:space="preserve">B </w:t>
      </w:r>
      <w:r w:rsidR="00882D02">
        <w:t xml:space="preserve">133 to align </w:t>
      </w:r>
      <w:r w:rsidR="00300F69">
        <w:t xml:space="preserve">the requirements in </w:t>
      </w:r>
      <w:r w:rsidR="00882D02">
        <w:t>both pub</w:t>
      </w:r>
      <w:r w:rsidR="00BA61CA">
        <w:t xml:space="preserve">lications. </w:t>
      </w:r>
    </w:p>
    <w:p w14:paraId="11B7A6C4" w14:textId="47E9F017" w:rsidR="005D742F" w:rsidRDefault="00AD2513" w:rsidP="005D742F">
      <w:pPr>
        <w:pStyle w:val="ListParagraph"/>
        <w:numPr>
          <w:ilvl w:val="0"/>
          <w:numId w:val="27"/>
        </w:numPr>
        <w:spacing w:after="0" w:line="259" w:lineRule="auto"/>
        <w:contextualSpacing/>
        <w:jc w:val="left"/>
      </w:pPr>
      <w:r>
        <w:t>None</w:t>
      </w:r>
    </w:p>
    <w:p w14:paraId="4D856E77" w14:textId="77777777" w:rsidR="005D742F" w:rsidRPr="002A7C3B" w:rsidRDefault="005D742F" w:rsidP="005D742F">
      <w:pPr>
        <w:spacing w:before="240"/>
        <w:rPr>
          <w:b/>
        </w:rPr>
      </w:pPr>
      <w:r>
        <w:rPr>
          <w:b/>
        </w:rPr>
        <w:t>Neutral Comments</w:t>
      </w:r>
      <w:r w:rsidRPr="002A7C3B">
        <w:rPr>
          <w:b/>
        </w:rPr>
        <w:t>:</w:t>
      </w:r>
    </w:p>
    <w:p w14:paraId="12EBAD17" w14:textId="52461C81" w:rsidR="005D742F" w:rsidRPr="002A7C3B" w:rsidRDefault="0042639E" w:rsidP="005D742F">
      <w:pPr>
        <w:spacing w:after="0"/>
        <w:ind w:left="720"/>
        <w:rPr>
          <w:b/>
        </w:rPr>
      </w:pPr>
      <w:r>
        <w:rPr>
          <w:b/>
        </w:rPr>
        <w:t>Weights and Measures Officials</w:t>
      </w:r>
      <w:r w:rsidR="005D742F" w:rsidRPr="002A7C3B">
        <w:rPr>
          <w:b/>
        </w:rPr>
        <w:t>:</w:t>
      </w:r>
    </w:p>
    <w:p w14:paraId="765C075F" w14:textId="7820FFC1" w:rsidR="005D742F" w:rsidRPr="002A7C3B" w:rsidRDefault="00AD2513" w:rsidP="005D742F">
      <w:pPr>
        <w:pStyle w:val="ListParagraph"/>
        <w:numPr>
          <w:ilvl w:val="0"/>
          <w:numId w:val="27"/>
        </w:numPr>
        <w:spacing w:after="0" w:line="259" w:lineRule="auto"/>
        <w:contextualSpacing/>
        <w:jc w:val="left"/>
      </w:pPr>
      <w:r>
        <w:t>None</w:t>
      </w:r>
      <w:r w:rsidR="00E95A12">
        <w:t>.</w:t>
      </w:r>
    </w:p>
    <w:p w14:paraId="4393B44F" w14:textId="73249A7C" w:rsidR="005D742F" w:rsidRPr="002A7C3B" w:rsidRDefault="005D742F" w:rsidP="005D742F">
      <w:pPr>
        <w:spacing w:before="240" w:after="0"/>
        <w:ind w:left="720"/>
        <w:rPr>
          <w:b/>
        </w:rPr>
      </w:pPr>
      <w:r w:rsidRPr="002A7C3B">
        <w:rPr>
          <w:b/>
        </w:rPr>
        <w:t>Industry:</w:t>
      </w:r>
    </w:p>
    <w:p w14:paraId="14790AA7" w14:textId="383C0DB8" w:rsidR="005D742F" w:rsidRPr="002A7C3B" w:rsidRDefault="00AD2513" w:rsidP="005D742F">
      <w:pPr>
        <w:pStyle w:val="ListParagraph"/>
        <w:numPr>
          <w:ilvl w:val="0"/>
          <w:numId w:val="27"/>
        </w:numPr>
        <w:spacing w:after="0" w:line="259" w:lineRule="auto"/>
        <w:contextualSpacing/>
        <w:jc w:val="left"/>
      </w:pPr>
      <w:r>
        <w:t>None</w:t>
      </w:r>
    </w:p>
    <w:p w14:paraId="029A54E1" w14:textId="77777777" w:rsidR="005D742F" w:rsidRPr="002A7C3B" w:rsidRDefault="005D742F" w:rsidP="005D742F">
      <w:pPr>
        <w:spacing w:before="240" w:after="0"/>
        <w:ind w:left="720"/>
        <w:rPr>
          <w:b/>
        </w:rPr>
      </w:pPr>
      <w:r w:rsidRPr="002A7C3B">
        <w:rPr>
          <w:b/>
        </w:rPr>
        <w:t>Advisory:</w:t>
      </w:r>
    </w:p>
    <w:p w14:paraId="5893DF87" w14:textId="761ABBBF" w:rsidR="006E03A8" w:rsidRDefault="00AD2513" w:rsidP="006E03A8">
      <w:pPr>
        <w:pStyle w:val="ListParagraph"/>
        <w:keepNext/>
        <w:keepLines/>
        <w:numPr>
          <w:ilvl w:val="0"/>
          <w:numId w:val="27"/>
        </w:numPr>
        <w:spacing w:after="0" w:line="259" w:lineRule="auto"/>
        <w:contextualSpacing/>
        <w:jc w:val="left"/>
      </w:pPr>
      <w:r>
        <w:t>None</w:t>
      </w:r>
    </w:p>
    <w:p w14:paraId="70FE8299" w14:textId="77777777" w:rsidR="006C2840" w:rsidRDefault="006C2840" w:rsidP="006C2840">
      <w:pPr>
        <w:pStyle w:val="ListParagraph"/>
        <w:keepNext/>
        <w:keepLines/>
        <w:spacing w:after="0" w:line="259" w:lineRule="auto"/>
        <w:ind w:left="1080"/>
        <w:contextualSpacing/>
        <w:jc w:val="left"/>
      </w:pPr>
    </w:p>
    <w:bookmarkEnd w:id="60"/>
    <w:p w14:paraId="1C115FAB" w14:textId="77777777" w:rsidR="00854A3E" w:rsidRDefault="002F4E07" w:rsidP="00346B96">
      <w:pPr>
        <w:spacing w:after="0"/>
        <w:rPr>
          <w:szCs w:val="20"/>
          <w:u w:val="single"/>
        </w:rPr>
      </w:pPr>
      <w:r w:rsidRPr="002A7C3B">
        <w:rPr>
          <w:b/>
        </w:rPr>
        <w:t>Item Develop</w:t>
      </w:r>
      <w:r w:rsidRPr="00E025F9">
        <w:rPr>
          <w:b/>
        </w:rPr>
        <w:t>ment:</w:t>
      </w:r>
      <w:r w:rsidR="006E03A8" w:rsidRPr="006E03A8">
        <w:rPr>
          <w:szCs w:val="20"/>
          <w:u w:val="single"/>
        </w:rPr>
        <w:t xml:space="preserve"> </w:t>
      </w:r>
    </w:p>
    <w:p w14:paraId="2E676B15" w14:textId="1176A8DF" w:rsidR="002F4E07" w:rsidRPr="00346B96" w:rsidRDefault="006E03A8" w:rsidP="00346B96">
      <w:pPr>
        <w:spacing w:after="0"/>
        <w:rPr>
          <w:szCs w:val="20"/>
          <w:u w:val="single"/>
        </w:rPr>
      </w:pPr>
      <w:r w:rsidRPr="00960A2B">
        <w:rPr>
          <w:szCs w:val="20"/>
          <w:u w:val="single"/>
        </w:rPr>
        <w:t>NCWM 202</w:t>
      </w:r>
      <w:r>
        <w:rPr>
          <w:szCs w:val="20"/>
          <w:u w:val="single"/>
        </w:rPr>
        <w:t>6</w:t>
      </w:r>
      <w:r w:rsidRPr="00960A2B">
        <w:rPr>
          <w:szCs w:val="20"/>
          <w:u w:val="single"/>
        </w:rPr>
        <w:t xml:space="preserve"> Interim:</w:t>
      </w:r>
      <w:r w:rsidRPr="00325A55">
        <w:rPr>
          <w:szCs w:val="20"/>
        </w:rPr>
        <w:t xml:space="preserve"> The Committee accepted the proposed changes by NIST OWM including adding the new language to NIST Handbook 133 to harmonize the requirements in both Handbooks. The item now shows Section 3.13.</w:t>
      </w:r>
      <w:r>
        <w:rPr>
          <w:szCs w:val="20"/>
        </w:rPr>
        <w:t>2</w:t>
      </w:r>
      <w:r w:rsidRPr="00325A55">
        <w:rPr>
          <w:szCs w:val="20"/>
        </w:rPr>
        <w:t xml:space="preserve"> of</w:t>
      </w:r>
      <w:r>
        <w:rPr>
          <w:szCs w:val="20"/>
        </w:rPr>
        <w:t xml:space="preserve"> </w:t>
      </w:r>
      <w:r w:rsidRPr="00325A55">
        <w:rPr>
          <w:szCs w:val="20"/>
        </w:rPr>
        <w:t>HB</w:t>
      </w:r>
      <w:r>
        <w:rPr>
          <w:szCs w:val="20"/>
        </w:rPr>
        <w:t xml:space="preserve"> </w:t>
      </w:r>
      <w:r w:rsidRPr="00325A55">
        <w:rPr>
          <w:szCs w:val="20"/>
        </w:rPr>
        <w:t>133</w:t>
      </w:r>
      <w:r w:rsidR="002B06D6">
        <w:rPr>
          <w:szCs w:val="20"/>
        </w:rPr>
        <w:t>, incorporating a reference to the allowable tare</w:t>
      </w:r>
      <w:r w:rsidRPr="00325A55">
        <w:rPr>
          <w:szCs w:val="20"/>
        </w:rPr>
        <w:t xml:space="preserve"> differences in HB</w:t>
      </w:r>
      <w:r>
        <w:rPr>
          <w:szCs w:val="20"/>
        </w:rPr>
        <w:t xml:space="preserve"> </w:t>
      </w:r>
      <w:r w:rsidRPr="00325A55">
        <w:rPr>
          <w:szCs w:val="20"/>
        </w:rPr>
        <w:t xml:space="preserve">130. Additionally, the Committee added the words “cylinders” to that language to better denote the allowable tare differences of each specific cylinder size, per example, instead of reading “for tare weight of 11 kg (25 lb.) or less” it reads “for tare weights of 11 kg (25 lb.) </w:t>
      </w:r>
      <w:r w:rsidR="00191FF9">
        <w:rPr>
          <w:szCs w:val="20"/>
        </w:rPr>
        <w:t xml:space="preserve">or less </w:t>
      </w:r>
      <w:proofErr w:type="gramStart"/>
      <w:r>
        <w:rPr>
          <w:szCs w:val="20"/>
        </w:rPr>
        <w:t xml:space="preserve">cylinders </w:t>
      </w:r>
      <w:r w:rsidRPr="00325A55">
        <w:rPr>
          <w:szCs w:val="20"/>
        </w:rPr>
        <w:t>”</w:t>
      </w:r>
      <w:proofErr w:type="gramEnd"/>
      <w:r w:rsidRPr="00325A55">
        <w:rPr>
          <w:szCs w:val="20"/>
        </w:rPr>
        <w:t>. W</w:t>
      </w:r>
      <w:r>
        <w:rPr>
          <w:szCs w:val="20"/>
        </w:rPr>
        <w:t>ith</w:t>
      </w:r>
      <w:r w:rsidRPr="00325A55">
        <w:rPr>
          <w:szCs w:val="20"/>
        </w:rPr>
        <w:t xml:space="preserve"> these changes the item is moving forward as Voting. </w:t>
      </w:r>
    </w:p>
    <w:p w14:paraId="276CD57B" w14:textId="08C38370" w:rsidR="002C6158" w:rsidRDefault="000B0DA7" w:rsidP="002C6158">
      <w:pPr>
        <w:keepNext/>
        <w:keepLines/>
        <w:spacing w:after="0"/>
      </w:pPr>
      <w:r>
        <w:rPr>
          <w:szCs w:val="20"/>
          <w:u w:val="single"/>
        </w:rPr>
        <w:lastRenderedPageBreak/>
        <w:t>NCWM 2025 Annual</w:t>
      </w:r>
      <w:r w:rsidRPr="0047185B">
        <w:rPr>
          <w:szCs w:val="20"/>
        </w:rPr>
        <w:t>:</w:t>
      </w:r>
      <w:r w:rsidR="002513EC" w:rsidRPr="0047185B">
        <w:rPr>
          <w:szCs w:val="20"/>
        </w:rPr>
        <w:t xml:space="preserve"> </w:t>
      </w:r>
      <w:r w:rsidR="002513EC">
        <w:rPr>
          <w:rFonts w:eastAsia="Times New Roman"/>
          <w:szCs w:val="24"/>
        </w:rPr>
        <w:t>The Committee was provided with proposed new language for the item from NIST OWM. The new language was developed in consultation with the National Propane Gas Association.   The Committee</w:t>
      </w:r>
      <w:r w:rsidR="00147C5B">
        <w:rPr>
          <w:rFonts w:eastAsia="Times New Roman"/>
          <w:szCs w:val="24"/>
        </w:rPr>
        <w:t>,</w:t>
      </w:r>
      <w:r w:rsidR="002513EC">
        <w:rPr>
          <w:rFonts w:eastAsia="Times New Roman"/>
          <w:szCs w:val="24"/>
        </w:rPr>
        <w:t xml:space="preserve"> hearing support for the language from membership</w:t>
      </w:r>
      <w:r w:rsidR="00147C5B">
        <w:rPr>
          <w:rFonts w:eastAsia="Times New Roman"/>
          <w:szCs w:val="24"/>
        </w:rPr>
        <w:t>,</w:t>
      </w:r>
      <w:r w:rsidR="002513EC">
        <w:rPr>
          <w:rFonts w:eastAsia="Times New Roman"/>
          <w:szCs w:val="24"/>
        </w:rPr>
        <w:t xml:space="preserve"> accepted the proposed changes from NIST OWM</w:t>
      </w:r>
      <w:r w:rsidR="00C41562">
        <w:rPr>
          <w:rFonts w:eastAsia="Times New Roman"/>
          <w:szCs w:val="24"/>
        </w:rPr>
        <w:t>.</w:t>
      </w:r>
      <w:r w:rsidR="002513EC">
        <w:rPr>
          <w:rFonts w:eastAsia="Times New Roman"/>
          <w:szCs w:val="24"/>
        </w:rPr>
        <w:t xml:space="preserve"> </w:t>
      </w:r>
      <w:r w:rsidR="00F906CB">
        <w:rPr>
          <w:rFonts w:eastAsia="Times New Roman"/>
          <w:szCs w:val="24"/>
        </w:rPr>
        <w:t xml:space="preserve"> </w:t>
      </w:r>
      <w:proofErr w:type="gramStart"/>
      <w:r w:rsidR="00F906CB">
        <w:rPr>
          <w:rFonts w:eastAsia="Times New Roman"/>
          <w:szCs w:val="24"/>
        </w:rPr>
        <w:t>The</w:t>
      </w:r>
      <w:proofErr w:type="gramEnd"/>
      <w:r w:rsidR="00F906CB">
        <w:rPr>
          <w:rFonts w:eastAsia="Times New Roman"/>
          <w:szCs w:val="24"/>
        </w:rPr>
        <w:t xml:space="preserve"> new language appears in this report.  </w:t>
      </w:r>
      <w:r w:rsidR="002C6158">
        <w:t>The previous version can be found in NCWM 2025 Publication 16.</w:t>
      </w:r>
    </w:p>
    <w:p w14:paraId="57592CA4" w14:textId="77777777" w:rsidR="00017F75" w:rsidRDefault="00017F75" w:rsidP="00C41562">
      <w:pPr>
        <w:keepNext/>
        <w:keepLines/>
        <w:widowControl w:val="0"/>
        <w:spacing w:after="0"/>
        <w:rPr>
          <w:rFonts w:eastAsia="Times New Roman"/>
          <w:szCs w:val="24"/>
        </w:rPr>
      </w:pPr>
    </w:p>
    <w:p w14:paraId="03F1E2A8" w14:textId="261513E0" w:rsidR="00017F75" w:rsidRPr="00C41562" w:rsidRDefault="00993C14" w:rsidP="00C41562">
      <w:pPr>
        <w:keepNext/>
        <w:keepLines/>
        <w:widowControl w:val="0"/>
        <w:spacing w:after="0"/>
        <w:rPr>
          <w:rFonts w:eastAsia="Times New Roman"/>
          <w:szCs w:val="24"/>
        </w:rPr>
      </w:pPr>
      <w:r>
        <w:rPr>
          <w:rFonts w:eastAsia="Times New Roman"/>
          <w:szCs w:val="24"/>
        </w:rPr>
        <w:t xml:space="preserve">The Item, however, did not receive </w:t>
      </w:r>
      <w:r w:rsidR="0051564B">
        <w:rPr>
          <w:rFonts w:eastAsia="Times New Roman"/>
          <w:szCs w:val="24"/>
        </w:rPr>
        <w:t xml:space="preserve">enough </w:t>
      </w:r>
      <w:r>
        <w:rPr>
          <w:rFonts w:eastAsia="Times New Roman"/>
          <w:szCs w:val="24"/>
        </w:rPr>
        <w:t>votes to pass or fail and was returned to the Committee.</w:t>
      </w:r>
    </w:p>
    <w:p w14:paraId="201DBA9F" w14:textId="629EC83D" w:rsidR="00AA7636" w:rsidRPr="00AA7636" w:rsidRDefault="00326A9B" w:rsidP="00AA7636">
      <w:pPr>
        <w:pStyle w:val="NormalWeb"/>
        <w:rPr>
          <w:color w:val="000000"/>
          <w:sz w:val="20"/>
          <w:szCs w:val="20"/>
        </w:rPr>
      </w:pPr>
      <w:bookmarkStart w:id="61" w:name="_Hlk219184671"/>
      <w:r w:rsidRPr="00960A2B">
        <w:rPr>
          <w:sz w:val="20"/>
          <w:szCs w:val="20"/>
          <w:u w:val="single"/>
        </w:rPr>
        <w:t>NCWM 2025 Interim:</w:t>
      </w:r>
      <w:r w:rsidR="00AA7636">
        <w:t xml:space="preserve"> </w:t>
      </w:r>
      <w:bookmarkEnd w:id="61"/>
      <w:r w:rsidR="00AA7636" w:rsidRPr="00AA7636">
        <w:rPr>
          <w:color w:val="000000"/>
          <w:sz w:val="20"/>
          <w:szCs w:val="20"/>
        </w:rPr>
        <w:t xml:space="preserve">During open hearings the Committee heard support for this item to remain Informational. </w:t>
      </w:r>
      <w:r w:rsidR="007128A1">
        <w:rPr>
          <w:color w:val="000000"/>
          <w:sz w:val="20"/>
          <w:szCs w:val="20"/>
        </w:rPr>
        <w:t xml:space="preserve"> </w:t>
      </w:r>
      <w:r w:rsidR="00AA7636" w:rsidRPr="00AA7636">
        <w:rPr>
          <w:color w:val="000000"/>
          <w:sz w:val="20"/>
          <w:szCs w:val="20"/>
        </w:rPr>
        <w:t xml:space="preserve">During the L&amp;R </w:t>
      </w:r>
      <w:r w:rsidR="0033513D" w:rsidRPr="00AA7636">
        <w:rPr>
          <w:color w:val="000000"/>
          <w:sz w:val="20"/>
          <w:szCs w:val="20"/>
        </w:rPr>
        <w:t>committee’s</w:t>
      </w:r>
      <w:r w:rsidR="00AA7636" w:rsidRPr="00AA7636">
        <w:rPr>
          <w:color w:val="000000"/>
          <w:sz w:val="20"/>
          <w:szCs w:val="20"/>
        </w:rPr>
        <w:t xml:space="preserve"> work session the committee assigned a </w:t>
      </w:r>
      <w:r w:rsidR="00DA1B07">
        <w:rPr>
          <w:color w:val="000000"/>
          <w:sz w:val="20"/>
          <w:szCs w:val="20"/>
        </w:rPr>
        <w:t>V</w:t>
      </w:r>
      <w:r w:rsidR="00AA7636" w:rsidRPr="00AA7636">
        <w:rPr>
          <w:color w:val="000000"/>
          <w:sz w:val="20"/>
          <w:szCs w:val="20"/>
        </w:rPr>
        <w:t>oting status</w:t>
      </w:r>
      <w:r w:rsidR="0033513D">
        <w:rPr>
          <w:color w:val="000000"/>
          <w:sz w:val="20"/>
          <w:szCs w:val="20"/>
        </w:rPr>
        <w:t>.</w:t>
      </w:r>
      <w:r w:rsidR="00AA7636" w:rsidRPr="00AA7636">
        <w:rPr>
          <w:color w:val="000000"/>
          <w:sz w:val="20"/>
          <w:szCs w:val="20"/>
        </w:rPr>
        <w:t xml:space="preserve"> NIST OWM suggested assigning Voting status to it pending information from DOT which at the time of writing this report has not been received from DOT.</w:t>
      </w:r>
    </w:p>
    <w:p w14:paraId="2F8D37E2" w14:textId="2441138E" w:rsidR="00AA7636" w:rsidRDefault="00AA7636" w:rsidP="00AA7636">
      <w:pPr>
        <w:pStyle w:val="NormalWeb"/>
        <w:rPr>
          <w:color w:val="000000"/>
          <w:sz w:val="20"/>
          <w:szCs w:val="20"/>
        </w:rPr>
      </w:pPr>
      <w:r w:rsidRPr="00AA7636">
        <w:rPr>
          <w:color w:val="000000"/>
          <w:sz w:val="20"/>
          <w:szCs w:val="20"/>
        </w:rPr>
        <w:t>However, during a subsequent Committee work session dated February 14, 2024, Mr. John McGuire, NIST OWM, stated that additional language previously submitted within the 2023 Southern Weights and Measures regional meeting from NIST OWM should be considered</w:t>
      </w:r>
      <w:r w:rsidR="0033513D">
        <w:rPr>
          <w:color w:val="000000"/>
          <w:sz w:val="20"/>
          <w:szCs w:val="20"/>
        </w:rPr>
        <w:t>.</w:t>
      </w:r>
    </w:p>
    <w:p w14:paraId="635A1A7A" w14:textId="46DB333F" w:rsidR="00261E0E" w:rsidRPr="00B80D32" w:rsidRDefault="00794BAB" w:rsidP="00B80D32">
      <w:pPr>
        <w:pStyle w:val="NormalWeb"/>
        <w:rPr>
          <w:color w:val="000000"/>
          <w:sz w:val="20"/>
          <w:szCs w:val="20"/>
        </w:rPr>
      </w:pPr>
      <w:r>
        <w:rPr>
          <w:color w:val="000000"/>
          <w:sz w:val="20"/>
          <w:szCs w:val="20"/>
        </w:rPr>
        <w:t xml:space="preserve">This </w:t>
      </w:r>
      <w:r w:rsidR="00DA1B07">
        <w:rPr>
          <w:color w:val="000000"/>
          <w:sz w:val="20"/>
          <w:szCs w:val="20"/>
        </w:rPr>
        <w:t xml:space="preserve">NIST OWM </w:t>
      </w:r>
      <w:r>
        <w:rPr>
          <w:color w:val="000000"/>
          <w:sz w:val="20"/>
          <w:szCs w:val="20"/>
        </w:rPr>
        <w:t xml:space="preserve">additional language can be found </w:t>
      </w:r>
      <w:r w:rsidR="001671FA">
        <w:rPr>
          <w:color w:val="000000"/>
          <w:sz w:val="20"/>
          <w:szCs w:val="20"/>
        </w:rPr>
        <w:t>on the NCWM website under supporting documents.</w:t>
      </w:r>
    </w:p>
    <w:p w14:paraId="0AB2FFDA" w14:textId="7972533D" w:rsidR="00E421AE" w:rsidRPr="002B393A" w:rsidRDefault="002B393A" w:rsidP="002F4E07">
      <w:r>
        <w:rPr>
          <w:u w:val="single"/>
        </w:rPr>
        <w:t>NCWM 2024 Annual</w:t>
      </w:r>
      <w:r w:rsidRPr="002B393A">
        <w:t xml:space="preserve">: The Committee </w:t>
      </w:r>
      <w:r>
        <w:t>continue</w:t>
      </w:r>
      <w:r w:rsidR="006548AF">
        <w:t>s</w:t>
      </w:r>
      <w:r>
        <w:t xml:space="preserve"> to receive little </w:t>
      </w:r>
      <w:r w:rsidRPr="002B393A">
        <w:t xml:space="preserve">comment on this issue. The Committee also heard from </w:t>
      </w:r>
      <w:r w:rsidR="00C5728D">
        <w:t xml:space="preserve">John McGuire </w:t>
      </w:r>
      <w:r w:rsidRPr="002B393A">
        <w:t xml:space="preserve">NIST OWM who </w:t>
      </w:r>
      <w:r w:rsidR="0096236D">
        <w:t xml:space="preserve">reiterated </w:t>
      </w:r>
      <w:r w:rsidRPr="002B393A">
        <w:t>that they are still working with DOT</w:t>
      </w:r>
      <w:r w:rsidR="006548AF">
        <w:t>.  This item remains Informational</w:t>
      </w:r>
      <w:r w:rsidR="00836CB1">
        <w:t xml:space="preserve"> pending the results of the DOT survey</w:t>
      </w:r>
      <w:r w:rsidR="00B73291">
        <w:t>.</w:t>
      </w:r>
    </w:p>
    <w:p w14:paraId="45BA3C6F" w14:textId="145136E1" w:rsidR="001908CA" w:rsidRPr="002647B9" w:rsidRDefault="002647B9" w:rsidP="002F4E07">
      <w:bookmarkStart w:id="62" w:name="_Hlk185318579"/>
      <w:r>
        <w:rPr>
          <w:u w:val="single"/>
        </w:rPr>
        <w:t>NCWM 2024 Interim:</w:t>
      </w:r>
      <w:r>
        <w:t xml:space="preserve"> </w:t>
      </w:r>
      <w:bookmarkStart w:id="63" w:name="_Hlk172620060"/>
      <w:bookmarkEnd w:id="62"/>
      <w:r>
        <w:t>The Committee heard little comment on this issue.</w:t>
      </w:r>
      <w:r w:rsidR="00FB22EB">
        <w:t xml:space="preserve"> </w:t>
      </w:r>
      <w:r w:rsidR="00FE6DA1">
        <w:t>The Committee also heard f</w:t>
      </w:r>
      <w:r w:rsidR="00A67C76">
        <w:t xml:space="preserve">rom NIST OWM who informed the Committee that they are still working with DOT </w:t>
      </w:r>
      <w:bookmarkEnd w:id="63"/>
      <w:r w:rsidR="00A67C76">
        <w:t xml:space="preserve">and recommended the item </w:t>
      </w:r>
      <w:r w:rsidR="004A7319">
        <w:t>remain informational.</w:t>
      </w:r>
      <w:r w:rsidR="00FB22EB">
        <w:t xml:space="preserve"> F</w:t>
      </w:r>
      <w:r w:rsidR="004A7319">
        <w:t>or this reason, the Committee assigned Informational status to the item.</w:t>
      </w:r>
    </w:p>
    <w:p w14:paraId="6E4546E7" w14:textId="77777777" w:rsidR="002F4E07" w:rsidRDefault="002F4E07" w:rsidP="008C0C52">
      <w:pPr>
        <w:rPr>
          <w:b/>
        </w:rPr>
      </w:pPr>
      <w:r w:rsidRPr="00E025F9">
        <w:rPr>
          <w:b/>
        </w:rPr>
        <w:t>Regional Associations’ Comments:</w:t>
      </w:r>
    </w:p>
    <w:p w14:paraId="23C041BD" w14:textId="77777777" w:rsidR="00C8190C" w:rsidRDefault="00C8190C" w:rsidP="00C8190C">
      <w:pPr>
        <w:spacing w:after="0"/>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1F1E892D" w14:textId="77777777" w:rsidR="00B55C17" w:rsidRDefault="00B55C17" w:rsidP="00C8190C">
      <w:pPr>
        <w:spacing w:after="0"/>
        <w:rPr>
          <w:rFonts w:eastAsia="Times New Roman"/>
          <w:szCs w:val="24"/>
          <w:u w:val="single"/>
        </w:rPr>
      </w:pPr>
    </w:p>
    <w:p w14:paraId="40FF50BE" w14:textId="2BB16711" w:rsidR="007C0167" w:rsidRDefault="007C0167" w:rsidP="00346B96">
      <w:pPr>
        <w:rPr>
          <w:rFonts w:eastAsia="Times New Roman"/>
          <w:szCs w:val="24"/>
        </w:rPr>
      </w:pPr>
      <w:r w:rsidRPr="002477D9">
        <w:rPr>
          <w:rFonts w:eastAsia="Times New Roman"/>
          <w:szCs w:val="24"/>
        </w:rPr>
        <w:t>Mr. Chris Wagner with the National Propane Gas Association</w:t>
      </w:r>
      <w:r>
        <w:rPr>
          <w:rFonts w:eastAsia="Times New Roman"/>
          <w:szCs w:val="24"/>
        </w:rPr>
        <w:t xml:space="preserve"> (NPGA)</w:t>
      </w:r>
      <w:r w:rsidRPr="002477D9">
        <w:rPr>
          <w:rFonts w:eastAsia="Times New Roman"/>
          <w:szCs w:val="24"/>
        </w:rPr>
        <w:t xml:space="preserve"> stated that during the NCWM Annual Meeting both </w:t>
      </w:r>
      <w:r>
        <w:rPr>
          <w:rFonts w:eastAsia="Times New Roman"/>
          <w:szCs w:val="24"/>
        </w:rPr>
        <w:t>the National Institute of Standards and Technology (</w:t>
      </w:r>
      <w:r w:rsidRPr="002477D9">
        <w:rPr>
          <w:rFonts w:eastAsia="Times New Roman"/>
          <w:szCs w:val="24"/>
        </w:rPr>
        <w:t>NIST</w:t>
      </w:r>
      <w:r>
        <w:rPr>
          <w:rFonts w:eastAsia="Times New Roman"/>
          <w:szCs w:val="24"/>
        </w:rPr>
        <w:t>)</w:t>
      </w:r>
      <w:r w:rsidRPr="002477D9">
        <w:rPr>
          <w:rFonts w:eastAsia="Times New Roman"/>
          <w:szCs w:val="24"/>
        </w:rPr>
        <w:t xml:space="preserve"> and NPGA testified in support of this joint proposal as currently written.  As part of this testimony, both NIST and NPGA addressed the fact that </w:t>
      </w:r>
      <w:r>
        <w:rPr>
          <w:rFonts w:eastAsia="Times New Roman"/>
          <w:szCs w:val="24"/>
        </w:rPr>
        <w:t>the Department of Transportation (</w:t>
      </w:r>
      <w:r w:rsidRPr="002477D9">
        <w:rPr>
          <w:rFonts w:eastAsia="Times New Roman"/>
          <w:szCs w:val="24"/>
        </w:rPr>
        <w:t>DOT</w:t>
      </w:r>
      <w:r>
        <w:rPr>
          <w:rFonts w:eastAsia="Times New Roman"/>
          <w:szCs w:val="24"/>
        </w:rPr>
        <w:t>) maintains a federal code</w:t>
      </w:r>
      <w:r w:rsidRPr="002477D9">
        <w:rPr>
          <w:rFonts w:eastAsia="Times New Roman"/>
          <w:szCs w:val="24"/>
        </w:rPr>
        <w:t xml:space="preserve"> prohibit</w:t>
      </w:r>
      <w:r>
        <w:rPr>
          <w:rFonts w:eastAsia="Times New Roman"/>
          <w:szCs w:val="24"/>
        </w:rPr>
        <w:t>ing</w:t>
      </w:r>
      <w:r w:rsidRPr="002477D9">
        <w:rPr>
          <w:rFonts w:eastAsia="Times New Roman"/>
          <w:szCs w:val="24"/>
        </w:rPr>
        <w:t xml:space="preserve"> any other entity from imposing rules in conflict with 49 CFR.  The current wording contained in 2.16.3.1. Tare Weights, Part (c) Allowable difference </w:t>
      </w:r>
      <w:proofErr w:type="gramStart"/>
      <w:r w:rsidRPr="002477D9">
        <w:rPr>
          <w:rFonts w:eastAsia="Times New Roman"/>
          <w:szCs w:val="24"/>
        </w:rPr>
        <w:t>is in conflict with</w:t>
      </w:r>
      <w:proofErr w:type="gramEnd"/>
      <w:r w:rsidRPr="002477D9">
        <w:rPr>
          <w:rFonts w:eastAsia="Times New Roman"/>
          <w:szCs w:val="24"/>
        </w:rPr>
        <w:t xml:space="preserve"> 49 C.F.R. § </w:t>
      </w:r>
      <w:proofErr w:type="gramStart"/>
      <w:r w:rsidRPr="002477D9">
        <w:rPr>
          <w:rFonts w:eastAsia="Times New Roman"/>
          <w:szCs w:val="24"/>
        </w:rPr>
        <w:t>178.35, and</w:t>
      </w:r>
      <w:proofErr w:type="gramEnd"/>
      <w:r w:rsidRPr="002477D9">
        <w:rPr>
          <w:rFonts w:eastAsia="Times New Roman"/>
          <w:szCs w:val="24"/>
        </w:rPr>
        <w:t xml:space="preserve"> </w:t>
      </w:r>
      <w:proofErr w:type="gramStart"/>
      <w:r w:rsidRPr="002477D9">
        <w:rPr>
          <w:rFonts w:eastAsia="Times New Roman"/>
          <w:szCs w:val="24"/>
        </w:rPr>
        <w:t>thusly</w:t>
      </w:r>
      <w:proofErr w:type="gramEnd"/>
      <w:r w:rsidRPr="002477D9">
        <w:rPr>
          <w:rFonts w:eastAsia="Times New Roman"/>
          <w:szCs w:val="24"/>
        </w:rPr>
        <w:t xml:space="preserve"> prohibited by</w:t>
      </w:r>
      <w:r>
        <w:rPr>
          <w:rFonts w:eastAsia="Times New Roman"/>
          <w:szCs w:val="24"/>
        </w:rPr>
        <w:t xml:space="preserve"> 49 C.F.R</w:t>
      </w:r>
      <w:r w:rsidRPr="00076613">
        <w:rPr>
          <w:rFonts w:eastAsia="Times New Roman"/>
          <w:szCs w:val="24"/>
        </w:rPr>
        <w:t xml:space="preserve">. </w:t>
      </w:r>
      <w:proofErr w:type="gramStart"/>
      <w:r w:rsidRPr="00076613">
        <w:rPr>
          <w:rFonts w:eastAsia="Times New Roman"/>
          <w:szCs w:val="24"/>
        </w:rPr>
        <w:t xml:space="preserve">§ </w:t>
      </w:r>
      <w:r>
        <w:rPr>
          <w:rFonts w:eastAsia="Times New Roman"/>
          <w:szCs w:val="24"/>
        </w:rPr>
        <w:t xml:space="preserve"> 107.202</w:t>
      </w:r>
      <w:proofErr w:type="gramEnd"/>
      <w:r>
        <w:rPr>
          <w:rFonts w:eastAsia="Times New Roman"/>
          <w:szCs w:val="24"/>
        </w:rPr>
        <w:t xml:space="preserve"> </w:t>
      </w:r>
      <w:r w:rsidRPr="002477D9">
        <w:rPr>
          <w:rFonts w:eastAsia="Times New Roman"/>
          <w:szCs w:val="24"/>
        </w:rPr>
        <w:t>.  It is NPGA</w:t>
      </w:r>
      <w:r>
        <w:rPr>
          <w:rFonts w:eastAsia="Times New Roman"/>
          <w:szCs w:val="24"/>
        </w:rPr>
        <w:t>’</w:t>
      </w:r>
      <w:r w:rsidRPr="002477D9">
        <w:rPr>
          <w:rFonts w:eastAsia="Times New Roman"/>
          <w:szCs w:val="24"/>
        </w:rPr>
        <w:t xml:space="preserve">s belief that the current proposal as written rectifies this conflict and allows DOT to continue to work through public comments submitted by the industry. Mr. Chris Wagner stated that he supports </w:t>
      </w:r>
      <w:proofErr w:type="gramStart"/>
      <w:r w:rsidRPr="002477D9">
        <w:rPr>
          <w:rFonts w:eastAsia="Times New Roman"/>
          <w:szCs w:val="24"/>
        </w:rPr>
        <w:t>a voting</w:t>
      </w:r>
      <w:proofErr w:type="gramEnd"/>
      <w:r w:rsidRPr="002477D9">
        <w:rPr>
          <w:rFonts w:eastAsia="Times New Roman"/>
          <w:szCs w:val="24"/>
        </w:rPr>
        <w:t xml:space="preserve"> status. </w:t>
      </w:r>
    </w:p>
    <w:p w14:paraId="1DC95EE5" w14:textId="77777777" w:rsidR="007C0167" w:rsidRDefault="007C0167" w:rsidP="00346B96">
      <w:pPr>
        <w:rPr>
          <w:rFonts w:eastAsia="Times New Roman"/>
          <w:szCs w:val="24"/>
        </w:rPr>
      </w:pPr>
      <w:r>
        <w:rPr>
          <w:rFonts w:eastAsia="Times New Roman"/>
          <w:szCs w:val="24"/>
        </w:rPr>
        <w:t>Mr. Scott Simmons, representing P 20:10 Services LLC, expressed support for the item and agrees with Mr. Wagner’s comments.</w:t>
      </w:r>
    </w:p>
    <w:p w14:paraId="263F6931" w14:textId="77777777" w:rsidR="007C0167" w:rsidRDefault="007C0167" w:rsidP="00346B96">
      <w:pPr>
        <w:rPr>
          <w:rFonts w:eastAsia="Times New Roman"/>
          <w:szCs w:val="24"/>
        </w:rPr>
      </w:pPr>
      <w:r>
        <w:rPr>
          <w:rFonts w:eastAsia="Times New Roman"/>
          <w:szCs w:val="24"/>
        </w:rPr>
        <w:t xml:space="preserve">Mr. Kurt Floren (County of Los Angeles, California) posed a question regarding whether the intention of the item was to cause a difference in enforcement based upon the </w:t>
      </w:r>
      <w:proofErr w:type="gramStart"/>
      <w:r>
        <w:rPr>
          <w:rFonts w:eastAsia="Times New Roman"/>
          <w:szCs w:val="24"/>
        </w:rPr>
        <w:t>2022 date</w:t>
      </w:r>
      <w:proofErr w:type="gramEnd"/>
      <w:r>
        <w:rPr>
          <w:rFonts w:eastAsia="Times New Roman"/>
          <w:szCs w:val="24"/>
        </w:rPr>
        <w:t xml:space="preserve">. </w:t>
      </w:r>
    </w:p>
    <w:p w14:paraId="2770ED90" w14:textId="0A982891" w:rsidR="007C0167" w:rsidRDefault="007C0167" w:rsidP="00346B96">
      <w:pPr>
        <w:rPr>
          <w:rFonts w:eastAsia="Times New Roman"/>
          <w:szCs w:val="24"/>
        </w:rPr>
      </w:pPr>
      <w:r>
        <w:rPr>
          <w:rFonts w:eastAsia="Times New Roman"/>
          <w:szCs w:val="24"/>
        </w:rPr>
        <w:t xml:space="preserve">Mr. Chris Wagner responded with a statement that this creates a cleaner proposal for Weights and Measures. The NPGA’s opinion is that 49 CFR 107.202 could be interpreted to retroactively preempt the Weights and Measures tolerances, but the industry prefers a non-retroactive interpretation. </w:t>
      </w:r>
    </w:p>
    <w:p w14:paraId="3A38AF9C" w14:textId="4CEF543C" w:rsidR="007C0167" w:rsidRDefault="007C0167" w:rsidP="00346B96">
      <w:pPr>
        <w:rPr>
          <w:rFonts w:eastAsia="Times New Roman"/>
          <w:szCs w:val="24"/>
        </w:rPr>
      </w:pPr>
      <w:r>
        <w:rPr>
          <w:rFonts w:eastAsia="Times New Roman"/>
          <w:szCs w:val="24"/>
        </w:rPr>
        <w:t xml:space="preserve">Mr. Matt Douglas (California Division of Measurement Standards) expressed opposition because the consumer protection parameters fall within the safety requirements. Mr. Douglas was not aware of the CFR code regarding </w:t>
      </w:r>
      <w:proofErr w:type="gramStart"/>
      <w:r>
        <w:rPr>
          <w:rFonts w:eastAsia="Times New Roman"/>
          <w:szCs w:val="24"/>
        </w:rPr>
        <w:t>preemption referenced</w:t>
      </w:r>
      <w:proofErr w:type="gramEnd"/>
      <w:r>
        <w:rPr>
          <w:rFonts w:eastAsia="Times New Roman"/>
          <w:szCs w:val="24"/>
        </w:rPr>
        <w:t xml:space="preserve"> and would like more time to review.</w:t>
      </w:r>
    </w:p>
    <w:p w14:paraId="21A6C0A9" w14:textId="271E1D0A" w:rsidR="00C8190C" w:rsidRPr="00A43BF4" w:rsidRDefault="007C0167" w:rsidP="00346B96">
      <w:pPr>
        <w:rPr>
          <w:rFonts w:eastAsia="Times New Roman"/>
          <w:szCs w:val="24"/>
        </w:rPr>
      </w:pPr>
      <w:r>
        <w:rPr>
          <w:rFonts w:eastAsia="Times New Roman"/>
          <w:szCs w:val="24"/>
        </w:rPr>
        <w:t>The WWMA L&amp;R committee recommends a voting status for this item.</w:t>
      </w:r>
    </w:p>
    <w:p w14:paraId="1539D46F" w14:textId="719FCFF7" w:rsidR="00C8190C" w:rsidRDefault="00C8190C" w:rsidP="00C8190C">
      <w:pPr>
        <w:rPr>
          <w:rFonts w:eastAsia="Times New Roman"/>
          <w:szCs w:val="24"/>
          <w:u w:val="single"/>
        </w:rPr>
      </w:pPr>
      <w:r>
        <w:rPr>
          <w:rFonts w:eastAsia="Times New Roman"/>
          <w:szCs w:val="24"/>
          <w:u w:val="single"/>
        </w:rPr>
        <w:lastRenderedPageBreak/>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537F47">
        <w:rPr>
          <w:rFonts w:eastAsia="Times New Roman"/>
          <w:szCs w:val="24"/>
          <w:u w:val="single"/>
        </w:rPr>
        <w:t>Interim</w:t>
      </w:r>
      <w:r w:rsidRPr="0051426D">
        <w:rPr>
          <w:rFonts w:eastAsia="Times New Roman"/>
          <w:szCs w:val="24"/>
          <w:u w:val="single"/>
        </w:rPr>
        <w:t xml:space="preserve"> Meeting:</w:t>
      </w:r>
    </w:p>
    <w:p w14:paraId="110D2E4D" w14:textId="5F2AC666" w:rsidR="005C29FB" w:rsidRDefault="005C29FB" w:rsidP="006C2AB6">
      <w:pPr>
        <w:jc w:val="left"/>
        <w:rPr>
          <w:rFonts w:eastAsia="Times New Roman"/>
          <w:szCs w:val="24"/>
        </w:rPr>
      </w:pPr>
      <w:r>
        <w:rPr>
          <w:rFonts w:eastAsia="Times New Roman"/>
          <w:szCs w:val="24"/>
        </w:rPr>
        <w:t>No comments.</w:t>
      </w:r>
    </w:p>
    <w:p w14:paraId="4E6E182C" w14:textId="2C918B04" w:rsidR="00E701E6" w:rsidRDefault="00B6612A" w:rsidP="006C2AB6">
      <w:pPr>
        <w:spacing w:before="240"/>
        <w:jc w:val="left"/>
        <w:rPr>
          <w:u w:val="single"/>
        </w:rPr>
      </w:pPr>
      <w:r>
        <w:rPr>
          <w:rFonts w:eastAsia="Times New Roman"/>
          <w:szCs w:val="24"/>
        </w:rPr>
        <w:t xml:space="preserve">The CWM L&amp;R committee recommends an information status for this item. </w:t>
      </w:r>
    </w:p>
    <w:p w14:paraId="4564826B" w14:textId="681D7DC0" w:rsidR="000401A0" w:rsidRPr="006C2AB6" w:rsidRDefault="00C8190C" w:rsidP="006C2AB6">
      <w:pPr>
        <w:spacing w:before="240"/>
        <w:jc w:val="left"/>
        <w:rPr>
          <w:rFonts w:eastAsia="Times New Roman"/>
          <w:szCs w:val="24"/>
        </w:rPr>
      </w:pPr>
      <w:r w:rsidRPr="006C7BFB">
        <w:rPr>
          <w:u w:val="single"/>
        </w:rPr>
        <w:t>NEWMA 202</w:t>
      </w:r>
      <w:r>
        <w:rPr>
          <w:u w:val="single"/>
        </w:rPr>
        <w:t>5</w:t>
      </w:r>
      <w:r w:rsidRPr="006C7BFB">
        <w:rPr>
          <w:u w:val="single"/>
        </w:rPr>
        <w:t xml:space="preserve"> Interim Meeting:</w:t>
      </w:r>
    </w:p>
    <w:p w14:paraId="19777169" w14:textId="1E72B151" w:rsidR="000401A0" w:rsidRDefault="000401A0" w:rsidP="00E701E6">
      <w:pPr>
        <w:rPr>
          <w:rFonts w:eastAsia="Times New Roman"/>
          <w:szCs w:val="24"/>
        </w:rPr>
      </w:pPr>
      <w:r>
        <w:rPr>
          <w:rFonts w:eastAsia="Times New Roman"/>
          <w:szCs w:val="24"/>
        </w:rPr>
        <w:t>A regulator from New Jersey commented that they are not in favor of this item as the tolerances are too large.  However, due to not receiving any feedback from USDOT, the item is fully developed to be aligned with the federal code and recommends a Voting status.</w:t>
      </w:r>
    </w:p>
    <w:p w14:paraId="2491D3AC" w14:textId="0ED04EA0" w:rsidR="00E701E6" w:rsidRDefault="000401A0" w:rsidP="00E701E6">
      <w:pPr>
        <w:spacing w:before="240" w:after="0"/>
        <w:rPr>
          <w:u w:val="single"/>
        </w:rPr>
      </w:pPr>
      <w:r>
        <w:rPr>
          <w:rFonts w:eastAsia="Times New Roman"/>
          <w:szCs w:val="24"/>
        </w:rPr>
        <w:t>After hearing comments from the floor, the committee recommended a Voting status, and the body concurred.</w:t>
      </w:r>
    </w:p>
    <w:p w14:paraId="45D3795D" w14:textId="234EEA8B" w:rsidR="00243B2D" w:rsidRPr="00346B96" w:rsidRDefault="00C8190C" w:rsidP="00346B96">
      <w:pPr>
        <w:spacing w:before="240"/>
        <w:rPr>
          <w:u w:val="single"/>
        </w:rPr>
      </w:pPr>
      <w:r>
        <w:rPr>
          <w:u w:val="single"/>
        </w:rPr>
        <w:t>S</w:t>
      </w:r>
      <w:r w:rsidRPr="00EF1ACC">
        <w:rPr>
          <w:u w:val="single"/>
        </w:rPr>
        <w:t>WMA 202</w:t>
      </w:r>
      <w:r>
        <w:rPr>
          <w:u w:val="single"/>
        </w:rPr>
        <w:t>5</w:t>
      </w:r>
      <w:r w:rsidRPr="00EF1ACC">
        <w:rPr>
          <w:u w:val="single"/>
        </w:rPr>
        <w:t xml:space="preserve"> </w:t>
      </w:r>
      <w:r w:rsidR="00537F47">
        <w:rPr>
          <w:u w:val="single"/>
        </w:rPr>
        <w:t>Annual</w:t>
      </w:r>
      <w:r w:rsidRPr="00EF1ACC">
        <w:rPr>
          <w:u w:val="single"/>
        </w:rPr>
        <w:t xml:space="preserve"> Meeting</w:t>
      </w:r>
      <w:r>
        <w:rPr>
          <w:u w:val="single"/>
        </w:rPr>
        <w:t>:</w:t>
      </w:r>
    </w:p>
    <w:p w14:paraId="3B1CA92A" w14:textId="069D255C" w:rsidR="00243B2D" w:rsidRDefault="00243B2D" w:rsidP="00E701E6">
      <w:pPr>
        <w:rPr>
          <w:rFonts w:eastAsia="Times New Roman"/>
          <w:szCs w:val="24"/>
        </w:rPr>
      </w:pPr>
      <w:r>
        <w:rPr>
          <w:rFonts w:eastAsia="Times New Roman"/>
          <w:szCs w:val="24"/>
        </w:rPr>
        <w:t xml:space="preserve">Mr. Chris Wagner with NPGA provided the following comments: </w:t>
      </w:r>
    </w:p>
    <w:p w14:paraId="73835ED6" w14:textId="4C0FE717" w:rsidR="00243B2D" w:rsidRPr="00CE048B" w:rsidRDefault="00243B2D" w:rsidP="00E701E6">
      <w:pPr>
        <w:rPr>
          <w:rFonts w:eastAsia="Times New Roman"/>
          <w:szCs w:val="24"/>
        </w:rPr>
      </w:pPr>
      <w:r w:rsidRPr="00CE048B">
        <w:rPr>
          <w:rFonts w:eastAsia="Times New Roman"/>
          <w:szCs w:val="24"/>
        </w:rPr>
        <w:t xml:space="preserve">DOT prohibits any other entity from imposing rules in conflict with 49 CFR with regard to the design, manufacturing, fabrication, marking, maintenance, reconditioning, repairing, or testing of a packaging or a container which is represented, marked, certified, or sold as qualified for use in the transportation of hazardous materials.  The current wording contained in 2.16.3.1. Tare Weights, Part (c) Allowable difference </w:t>
      </w:r>
      <w:proofErr w:type="gramStart"/>
      <w:r w:rsidRPr="00CE048B">
        <w:rPr>
          <w:rFonts w:eastAsia="Times New Roman"/>
          <w:szCs w:val="24"/>
        </w:rPr>
        <w:t>is in conflict with</w:t>
      </w:r>
      <w:proofErr w:type="gramEnd"/>
      <w:r w:rsidRPr="00CE048B">
        <w:rPr>
          <w:rFonts w:eastAsia="Times New Roman"/>
          <w:szCs w:val="24"/>
        </w:rPr>
        <w:t xml:space="preserve"> 49 C.F.R. § </w:t>
      </w:r>
      <w:proofErr w:type="gramStart"/>
      <w:r w:rsidRPr="00CE048B">
        <w:rPr>
          <w:rFonts w:eastAsia="Times New Roman"/>
          <w:szCs w:val="24"/>
        </w:rPr>
        <w:t>178.35, and</w:t>
      </w:r>
      <w:proofErr w:type="gramEnd"/>
      <w:r w:rsidRPr="00CE048B">
        <w:rPr>
          <w:rFonts w:eastAsia="Times New Roman"/>
          <w:szCs w:val="24"/>
        </w:rPr>
        <w:t xml:space="preserve"> </w:t>
      </w:r>
      <w:proofErr w:type="gramStart"/>
      <w:r w:rsidRPr="00CE048B">
        <w:rPr>
          <w:rFonts w:eastAsia="Times New Roman"/>
          <w:szCs w:val="24"/>
        </w:rPr>
        <w:t>thusly</w:t>
      </w:r>
      <w:proofErr w:type="gramEnd"/>
      <w:r w:rsidRPr="00CE048B">
        <w:rPr>
          <w:rFonts w:eastAsia="Times New Roman"/>
          <w:szCs w:val="24"/>
        </w:rPr>
        <w:t xml:space="preserve"> prohibited by law.  It is NPGAs belief that the current proposal as written rectifies this conflict and allows DOT to continue to work through public comments submitted by the industry.  The specific language contained in DOTs preemption rule is listed below.</w:t>
      </w:r>
      <w:r w:rsidRPr="00CE048B">
        <w:rPr>
          <w:rFonts w:eastAsia="Times New Roman"/>
          <w:b/>
          <w:bCs/>
          <w:szCs w:val="24"/>
        </w:rPr>
        <w:t> </w:t>
      </w:r>
    </w:p>
    <w:p w14:paraId="11DA22AB" w14:textId="77777777" w:rsidR="00243B2D" w:rsidRPr="00CE048B" w:rsidRDefault="00243B2D" w:rsidP="00243B2D">
      <w:pPr>
        <w:spacing w:after="0"/>
        <w:rPr>
          <w:rFonts w:eastAsia="Times New Roman"/>
          <w:szCs w:val="24"/>
        </w:rPr>
      </w:pPr>
      <w:r w:rsidRPr="00CE048B">
        <w:rPr>
          <w:rFonts w:eastAsia="Times New Roman"/>
          <w:b/>
          <w:bCs/>
          <w:szCs w:val="24"/>
        </w:rPr>
        <w:t>49 CFR</w:t>
      </w:r>
      <w:r w:rsidRPr="00CE048B">
        <w:rPr>
          <w:rFonts w:eastAsia="Times New Roman"/>
          <w:szCs w:val="24"/>
        </w:rPr>
        <w:t> </w:t>
      </w:r>
      <w:r w:rsidRPr="00CE048B">
        <w:rPr>
          <w:rFonts w:eastAsia="Times New Roman"/>
          <w:b/>
          <w:bCs/>
          <w:szCs w:val="24"/>
        </w:rPr>
        <w:t>§ 107.202 Standards for determining preemption.</w:t>
      </w:r>
    </w:p>
    <w:p w14:paraId="7870B563" w14:textId="77777777" w:rsidR="00243B2D" w:rsidRPr="00CE048B" w:rsidRDefault="00243B2D" w:rsidP="00243B2D">
      <w:pPr>
        <w:spacing w:after="0"/>
        <w:rPr>
          <w:rFonts w:eastAsia="Times New Roman"/>
          <w:szCs w:val="24"/>
        </w:rPr>
      </w:pPr>
      <w:r w:rsidRPr="00CE048B">
        <w:rPr>
          <w:rFonts w:eastAsia="Times New Roman"/>
          <w:szCs w:val="24"/>
        </w:rPr>
        <w:t>(a) Except as provided in </w:t>
      </w:r>
      <w:hyperlink r:id="rId18" w:tgtFrame="_blank" w:tooltip="Original URL: https://www.ecfr.gov/current/title-49/section-107.221. Click or tap if you trust this link." w:history="1">
        <w:r w:rsidRPr="00CE048B">
          <w:rPr>
            <w:rStyle w:val="Hyperlink"/>
            <w:rFonts w:eastAsia="Times New Roman"/>
            <w:noProof w:val="0"/>
            <w:szCs w:val="24"/>
          </w:rPr>
          <w:t>§ 107.221</w:t>
        </w:r>
      </w:hyperlink>
      <w:r w:rsidRPr="00CE048B">
        <w:rPr>
          <w:rFonts w:eastAsia="Times New Roman"/>
          <w:szCs w:val="24"/>
        </w:rPr>
        <w:t> and unless otherwise authorized by Federal law, any requirement of a State or political subdivision thereof or an Indian tribe that concerns one of the following subjects and that is not substantively the same as any provision of the Federal hazardous materials transportation law, a regulation issued under the Federal hazardous material transportation law, or a hazardous material transportation security regulation or directive issued by the Secretary of Homeland Security that concerns that subject, is preempted:</w:t>
      </w:r>
    </w:p>
    <w:p w14:paraId="16EB8ACF" w14:textId="77777777" w:rsidR="00243B2D" w:rsidRPr="00CE048B" w:rsidRDefault="00243B2D" w:rsidP="00243B2D">
      <w:pPr>
        <w:spacing w:after="0"/>
        <w:rPr>
          <w:rFonts w:eastAsia="Times New Roman"/>
          <w:szCs w:val="24"/>
        </w:rPr>
      </w:pPr>
      <w:r w:rsidRPr="00CE048B">
        <w:rPr>
          <w:rFonts w:eastAsia="Times New Roman"/>
          <w:szCs w:val="24"/>
        </w:rPr>
        <w:t>(1) The designation, description, and classification of hazardous material.</w:t>
      </w:r>
    </w:p>
    <w:p w14:paraId="6538D3C8" w14:textId="77777777" w:rsidR="00243B2D" w:rsidRPr="00CE048B" w:rsidRDefault="00243B2D" w:rsidP="00243B2D">
      <w:pPr>
        <w:spacing w:after="0"/>
        <w:rPr>
          <w:rFonts w:eastAsia="Times New Roman"/>
          <w:szCs w:val="24"/>
        </w:rPr>
      </w:pPr>
      <w:r w:rsidRPr="00CE048B">
        <w:rPr>
          <w:rFonts w:eastAsia="Times New Roman"/>
          <w:szCs w:val="24"/>
        </w:rPr>
        <w:t>(2) The packing, repacking, handling, labeling, marking, and placarding of hazardous material.</w:t>
      </w:r>
    </w:p>
    <w:p w14:paraId="50217C6B" w14:textId="77777777" w:rsidR="00243B2D" w:rsidRPr="00CE048B" w:rsidRDefault="00243B2D" w:rsidP="00243B2D">
      <w:pPr>
        <w:spacing w:after="0"/>
        <w:rPr>
          <w:rFonts w:eastAsia="Times New Roman"/>
          <w:szCs w:val="24"/>
        </w:rPr>
      </w:pPr>
      <w:r w:rsidRPr="00CE048B">
        <w:rPr>
          <w:rFonts w:eastAsia="Times New Roman"/>
          <w:szCs w:val="24"/>
        </w:rPr>
        <w:t>(3) The preparation, execution, and use of shipping documents pertaining to hazardous material and requirements related to the number, content, and placement of those documents.</w:t>
      </w:r>
    </w:p>
    <w:p w14:paraId="2FAEE9C4" w14:textId="77777777" w:rsidR="00243B2D" w:rsidRPr="00CE048B" w:rsidRDefault="00243B2D" w:rsidP="00243B2D">
      <w:pPr>
        <w:spacing w:after="0"/>
        <w:rPr>
          <w:rFonts w:eastAsia="Times New Roman"/>
          <w:szCs w:val="24"/>
        </w:rPr>
      </w:pPr>
      <w:r w:rsidRPr="00CE048B">
        <w:rPr>
          <w:rFonts w:eastAsia="Times New Roman"/>
          <w:szCs w:val="24"/>
        </w:rPr>
        <w:t>(4) The written notification, recording, and reporting of the unintentional release in transportation of hazardous material and other written hazardous materials transportation incident reporting involving State or local emergency responders in the initial response to the incident.</w:t>
      </w:r>
    </w:p>
    <w:p w14:paraId="260D0AFE" w14:textId="52A48EC7" w:rsidR="00243B2D" w:rsidRPr="00A43BF4" w:rsidRDefault="00243B2D" w:rsidP="00E701E6">
      <w:pPr>
        <w:rPr>
          <w:rFonts w:eastAsia="Times New Roman"/>
          <w:szCs w:val="24"/>
        </w:rPr>
      </w:pPr>
      <w:r w:rsidRPr="00CE048B">
        <w:rPr>
          <w:rFonts w:eastAsia="Times New Roman"/>
          <w:szCs w:val="24"/>
        </w:rPr>
        <w:t>(5) The design, manufacturing, fabrication, marking, maintenance, reconditioning, repairing, or testing of a packaging or a container which is represented, marked, certified, or sold as qualified for use in the transportation of hazardous material.</w:t>
      </w:r>
    </w:p>
    <w:p w14:paraId="7C78E4ED" w14:textId="7BAC9F1F" w:rsidR="00243B2D" w:rsidRDefault="00243B2D" w:rsidP="00243B2D">
      <w:pPr>
        <w:spacing w:after="0"/>
        <w:rPr>
          <w:rFonts w:eastAsia="Times New Roman"/>
          <w:szCs w:val="24"/>
        </w:rPr>
      </w:pPr>
      <w:r>
        <w:rPr>
          <w:rFonts w:eastAsia="Times New Roman"/>
          <w:szCs w:val="24"/>
        </w:rPr>
        <w:t>He supports this item and recommends moving forward with Voting status.</w:t>
      </w:r>
    </w:p>
    <w:p w14:paraId="0D4E3FB9" w14:textId="4CC1577D" w:rsidR="003E4662" w:rsidRPr="00243B2D" w:rsidRDefault="00243B2D" w:rsidP="00346B96">
      <w:pPr>
        <w:rPr>
          <w:rFonts w:eastAsia="Times New Roman"/>
          <w:szCs w:val="24"/>
        </w:rPr>
      </w:pPr>
      <w:r>
        <w:rPr>
          <w:rFonts w:eastAsia="Times New Roman"/>
          <w:szCs w:val="24"/>
        </w:rPr>
        <w:t xml:space="preserve">The Committee has considered the comments and finds this item to be fully developed and recommends a Voting status. </w:t>
      </w:r>
    </w:p>
    <w:p w14:paraId="76D12355" w14:textId="27133988" w:rsidR="00537E02" w:rsidRDefault="00537E02" w:rsidP="000E02AA">
      <w:r>
        <w:t xml:space="preserve">Additional letters, </w:t>
      </w:r>
      <w:r w:rsidR="00243B2D">
        <w:t>presentations</w:t>
      </w:r>
      <w:r>
        <w:t xml:space="preserve"> and data may have been submitted for consideration with this item.  Please </w:t>
      </w:r>
      <w:proofErr w:type="gramStart"/>
      <w:r>
        <w:t xml:space="preserve">refer to </w:t>
      </w:r>
      <w:r>
        <w:rPr>
          <w:u w:val="single"/>
        </w:rPr>
        <w:t>https://www.ncwm.com/publication-15</w:t>
      </w:r>
      <w:proofErr w:type="gramEnd"/>
      <w:r>
        <w:t xml:space="preserve"> to </w:t>
      </w:r>
      <w:proofErr w:type="gramStart"/>
      <w:r>
        <w:t>review these documents.</w:t>
      </w:r>
      <w:proofErr w:type="gramEnd"/>
    </w:p>
    <w:p w14:paraId="2D5DB289" w14:textId="4189F2A5" w:rsidR="006540E5" w:rsidRPr="003C355F" w:rsidRDefault="006540E5" w:rsidP="00347DDC">
      <w:pPr>
        <w:pStyle w:val="ItemHeading"/>
      </w:pPr>
      <w:bookmarkStart w:id="64" w:name="_Toc224019616"/>
      <w:r>
        <w:lastRenderedPageBreak/>
        <w:t>MOS-26.</w:t>
      </w:r>
      <w:r w:rsidR="00D32862">
        <w:t>2</w:t>
      </w:r>
      <w:r w:rsidRPr="003C355F">
        <w:tab/>
      </w:r>
      <w:r w:rsidR="00185357">
        <w:t>A</w:t>
      </w:r>
      <w:r w:rsidRPr="003C355F">
        <w:tab/>
      </w:r>
      <w:r>
        <w:t>2.21.2. Metered Sales by Liquid Volume.</w:t>
      </w:r>
      <w:bookmarkEnd w:id="64"/>
    </w:p>
    <w:p w14:paraId="7E96F80C" w14:textId="77777777" w:rsidR="006540E5" w:rsidRPr="00E025F9" w:rsidRDefault="006540E5" w:rsidP="00347DDC">
      <w:pPr>
        <w:keepNext/>
        <w:keepLines/>
        <w:spacing w:after="0"/>
        <w:rPr>
          <w:b/>
        </w:rPr>
      </w:pPr>
      <w:r w:rsidRPr="00E025F9">
        <w:rPr>
          <w:b/>
        </w:rPr>
        <w:t>Source:</w:t>
      </w:r>
    </w:p>
    <w:p w14:paraId="00B6F31A" w14:textId="77777777" w:rsidR="006540E5" w:rsidRDefault="006540E5" w:rsidP="00347DDC">
      <w:pPr>
        <w:keepNext/>
        <w:keepLines/>
      </w:pPr>
      <w:r>
        <w:t>National Propane Gas Association</w:t>
      </w:r>
    </w:p>
    <w:p w14:paraId="0598E0F9" w14:textId="77777777" w:rsidR="006540E5" w:rsidRPr="00E025F9" w:rsidRDefault="006540E5" w:rsidP="00347DDC">
      <w:pPr>
        <w:keepNext/>
        <w:keepLines/>
        <w:spacing w:after="0"/>
        <w:rPr>
          <w:b/>
        </w:rPr>
      </w:pPr>
      <w:r w:rsidRPr="00E025F9">
        <w:rPr>
          <w:b/>
        </w:rPr>
        <w:t>Purpose:</w:t>
      </w:r>
    </w:p>
    <w:p w14:paraId="54FB7099" w14:textId="77777777" w:rsidR="006540E5" w:rsidRPr="00C36659" w:rsidRDefault="006540E5" w:rsidP="00347DDC">
      <w:pPr>
        <w:keepNext/>
        <w:keepLines/>
      </w:pPr>
      <w:r w:rsidRPr="00C36659">
        <w:t>Modify 2.21.2 (b) and (c) of IV. Uniform Regulations B. Uniform Regulation for the Method of Sale of Commodities, to require automatic temperature compensation to be performed electronically to ensure the most immediate reaction time of compensation equipment due to questionable reaction time data for mechanical temperature compensation devices in low flow applications.</w:t>
      </w:r>
    </w:p>
    <w:p w14:paraId="4D1B6F23" w14:textId="77777777" w:rsidR="006540E5" w:rsidRPr="00E025F9" w:rsidRDefault="006540E5" w:rsidP="006540E5">
      <w:pPr>
        <w:spacing w:after="0"/>
        <w:rPr>
          <w:b/>
        </w:rPr>
      </w:pPr>
      <w:r w:rsidRPr="00E025F9">
        <w:rPr>
          <w:b/>
        </w:rPr>
        <w:t>Item under Consideration:</w:t>
      </w:r>
    </w:p>
    <w:p w14:paraId="30836C3B" w14:textId="4B5B1414" w:rsidR="006540E5" w:rsidRDefault="006540E5" w:rsidP="006540E5">
      <w:r>
        <w:t>Amend NIST Handbook 130 Uniform Regulation for the Method of Sale of Commodities as follows:</w:t>
      </w:r>
    </w:p>
    <w:p w14:paraId="3CDBD718" w14:textId="77777777" w:rsidR="006540E5" w:rsidRPr="006604E2" w:rsidRDefault="006540E5" w:rsidP="006540E5">
      <w:pPr>
        <w:pStyle w:val="NormalWeb"/>
        <w:spacing w:before="200" w:beforeAutospacing="0" w:after="0" w:afterAutospacing="0" w:line="216" w:lineRule="auto"/>
        <w:ind w:left="360"/>
        <w:rPr>
          <w:sz w:val="20"/>
          <w:szCs w:val="20"/>
        </w:rPr>
      </w:pPr>
      <w:r w:rsidRPr="006604E2">
        <w:rPr>
          <w:rFonts w:eastAsia="+mn-ea"/>
          <w:color w:val="000000"/>
          <w:kern w:val="24"/>
          <w:position w:val="1"/>
          <w:sz w:val="20"/>
          <w:szCs w:val="20"/>
        </w:rPr>
        <w:t>2.21.2. Metered Sales by Liquid Volume. – All metered sales by liquid volume shall be accomplished using metering systems as follows:</w:t>
      </w:r>
    </w:p>
    <w:p w14:paraId="58D78E61" w14:textId="77777777" w:rsidR="006540E5" w:rsidRPr="006604E2" w:rsidRDefault="006540E5" w:rsidP="006540E5">
      <w:pPr>
        <w:pStyle w:val="NormalWeb"/>
        <w:spacing w:beforeAutospacing="0" w:after="0" w:afterAutospacing="0" w:line="216" w:lineRule="auto"/>
        <w:ind w:left="1267" w:hanging="547"/>
        <w:rPr>
          <w:sz w:val="20"/>
          <w:szCs w:val="20"/>
        </w:rPr>
      </w:pPr>
      <w:r w:rsidRPr="006604E2">
        <w:rPr>
          <w:rFonts w:eastAsia="+mn-ea"/>
          <w:color w:val="000000"/>
          <w:kern w:val="24"/>
          <w:sz w:val="20"/>
          <w:szCs w:val="20"/>
        </w:rPr>
        <w:t>(a) Sales using metering systems with a maximum rated capacity greater than 20 gal/min shall be accomplished using a metering system that automatically compensates for the effects of temperature.</w:t>
      </w:r>
    </w:p>
    <w:p w14:paraId="607E1732" w14:textId="77777777" w:rsidR="006540E5" w:rsidRPr="006604E2" w:rsidRDefault="006540E5" w:rsidP="006540E5">
      <w:pPr>
        <w:pStyle w:val="NormalWeb"/>
        <w:tabs>
          <w:tab w:val="left" w:pos="1360"/>
        </w:tabs>
        <w:spacing w:beforeAutospacing="0" w:after="0" w:afterAutospacing="0" w:line="216" w:lineRule="auto"/>
        <w:ind w:left="1267" w:hanging="547"/>
        <w:rPr>
          <w:sz w:val="20"/>
          <w:szCs w:val="20"/>
        </w:rPr>
      </w:pPr>
      <w:r w:rsidRPr="006604E2">
        <w:rPr>
          <w:rFonts w:eastAsia="+mn-ea"/>
          <w:color w:val="000000"/>
          <w:kern w:val="24"/>
          <w:sz w:val="20"/>
          <w:szCs w:val="20"/>
        </w:rPr>
        <w:t>(b) Sales using metering systems with a maximum rated capacity equal to or less than 20 gal/min that were placed into service after January 1, 202</w:t>
      </w:r>
      <w:r w:rsidRPr="006604E2">
        <w:rPr>
          <w:rFonts w:eastAsia="+mn-ea"/>
          <w:strike/>
          <w:color w:val="FF0000"/>
          <w:kern w:val="24"/>
          <w:sz w:val="20"/>
          <w:szCs w:val="20"/>
        </w:rPr>
        <w:t>6</w:t>
      </w:r>
      <w:r w:rsidRPr="006604E2">
        <w:rPr>
          <w:rFonts w:eastAsia="+mn-ea"/>
          <w:color w:val="0070C0"/>
          <w:kern w:val="24"/>
          <w:sz w:val="20"/>
          <w:szCs w:val="20"/>
          <w:u w:val="single"/>
        </w:rPr>
        <w:t>7</w:t>
      </w:r>
      <w:r w:rsidRPr="006604E2">
        <w:rPr>
          <w:rFonts w:eastAsia="+mn-ea"/>
          <w:color w:val="000000"/>
          <w:kern w:val="24"/>
          <w:sz w:val="20"/>
          <w:szCs w:val="20"/>
        </w:rPr>
        <w:t xml:space="preserve">, shall be accomplished by use of a metering system that automatically </w:t>
      </w:r>
      <w:r w:rsidRPr="006604E2">
        <w:rPr>
          <w:rFonts w:eastAsia="+mn-ea"/>
          <w:b/>
          <w:bCs/>
          <w:color w:val="000000"/>
          <w:kern w:val="24"/>
          <w:sz w:val="20"/>
          <w:szCs w:val="20"/>
          <w:u w:val="single"/>
        </w:rPr>
        <w:t>and electronically</w:t>
      </w:r>
      <w:r w:rsidRPr="006604E2">
        <w:rPr>
          <w:rFonts w:eastAsia="+mn-ea"/>
          <w:color w:val="0070C0"/>
          <w:kern w:val="24"/>
          <w:sz w:val="20"/>
          <w:szCs w:val="20"/>
          <w:u w:val="single"/>
        </w:rPr>
        <w:t xml:space="preserve"> </w:t>
      </w:r>
      <w:r w:rsidRPr="006604E2">
        <w:rPr>
          <w:rFonts w:eastAsia="+mn-ea"/>
          <w:color w:val="000000"/>
          <w:kern w:val="24"/>
          <w:sz w:val="20"/>
          <w:szCs w:val="20"/>
        </w:rPr>
        <w:t>compensates for the effects of temperature.</w:t>
      </w:r>
    </w:p>
    <w:p w14:paraId="604CD1F2" w14:textId="77777777" w:rsidR="006540E5" w:rsidRDefault="006540E5" w:rsidP="006540E5">
      <w:pPr>
        <w:pStyle w:val="NormalWeb"/>
        <w:spacing w:beforeAutospacing="0" w:after="240" w:afterAutospacing="0" w:line="216" w:lineRule="auto"/>
        <w:ind w:left="1267" w:hanging="547"/>
      </w:pPr>
      <w:r w:rsidRPr="006604E2">
        <w:rPr>
          <w:rFonts w:eastAsia="+mn-ea"/>
          <w:color w:val="000000"/>
          <w:kern w:val="24"/>
          <w:sz w:val="20"/>
          <w:szCs w:val="20"/>
        </w:rPr>
        <w:t xml:space="preserve">(c) Effective January 1, 2034, all metered sales </w:t>
      </w:r>
      <w:r w:rsidRPr="006604E2">
        <w:rPr>
          <w:rFonts w:eastAsia="+mn-ea"/>
          <w:b/>
          <w:bCs/>
          <w:strike/>
          <w:color w:val="000000"/>
          <w:kern w:val="24"/>
          <w:sz w:val="20"/>
          <w:szCs w:val="20"/>
        </w:rPr>
        <w:t xml:space="preserve">(through all capacities of metering devices, regardless of installation and service </w:t>
      </w:r>
      <w:proofErr w:type="gramStart"/>
      <w:r w:rsidRPr="006604E2">
        <w:rPr>
          <w:rFonts w:eastAsia="+mn-ea"/>
          <w:b/>
          <w:bCs/>
          <w:strike/>
          <w:color w:val="000000"/>
          <w:kern w:val="24"/>
          <w:sz w:val="20"/>
          <w:szCs w:val="20"/>
        </w:rPr>
        <w:t>date)</w:t>
      </w:r>
      <w:r w:rsidRPr="006604E2">
        <w:rPr>
          <w:rFonts w:eastAsia="+mn-ea"/>
          <w:b/>
          <w:bCs/>
          <w:color w:val="000000"/>
          <w:kern w:val="24"/>
          <w:sz w:val="20"/>
          <w:szCs w:val="20"/>
          <w:u w:val="single"/>
        </w:rPr>
        <w:t>through</w:t>
      </w:r>
      <w:proofErr w:type="gramEnd"/>
      <w:r w:rsidRPr="006604E2">
        <w:rPr>
          <w:rFonts w:eastAsia="+mn-ea"/>
          <w:b/>
          <w:bCs/>
          <w:color w:val="000000"/>
          <w:kern w:val="24"/>
          <w:sz w:val="20"/>
          <w:szCs w:val="20"/>
          <w:u w:val="single"/>
        </w:rPr>
        <w:t xml:space="preserve"> devices with a maximum rated capacity equal to or less than 20 gal/min that were placed into service prior to January 1, 2027,</w:t>
      </w:r>
      <w:r w:rsidRPr="006604E2">
        <w:rPr>
          <w:rFonts w:eastAsia="+mn-ea"/>
          <w:color w:val="0070C0"/>
          <w:kern w:val="24"/>
          <w:sz w:val="20"/>
          <w:szCs w:val="20"/>
          <w:u w:val="single"/>
        </w:rPr>
        <w:t xml:space="preserve"> </w:t>
      </w:r>
      <w:r w:rsidRPr="006604E2">
        <w:rPr>
          <w:rFonts w:eastAsia="+mn-ea"/>
          <w:color w:val="000000"/>
          <w:kern w:val="24"/>
          <w:sz w:val="20"/>
          <w:szCs w:val="20"/>
        </w:rPr>
        <w:t xml:space="preserve">shall be accomplished by use of a metering system that automatically </w:t>
      </w:r>
      <w:r w:rsidRPr="006604E2">
        <w:rPr>
          <w:rFonts w:eastAsia="+mn-ea"/>
          <w:b/>
          <w:bCs/>
          <w:color w:val="000000"/>
          <w:kern w:val="24"/>
          <w:sz w:val="20"/>
          <w:szCs w:val="20"/>
          <w:u w:val="single"/>
        </w:rPr>
        <w:t>and electronically</w:t>
      </w:r>
      <w:r w:rsidRPr="006604E2">
        <w:rPr>
          <w:rFonts w:eastAsia="+mn-ea"/>
          <w:color w:val="0070C0"/>
          <w:kern w:val="24"/>
          <w:sz w:val="20"/>
          <w:szCs w:val="20"/>
          <w:u w:val="single"/>
        </w:rPr>
        <w:t xml:space="preserve"> </w:t>
      </w:r>
      <w:r w:rsidRPr="006604E2">
        <w:rPr>
          <w:rFonts w:eastAsia="+mn-ea"/>
          <w:color w:val="000000"/>
          <w:kern w:val="24"/>
          <w:sz w:val="20"/>
          <w:szCs w:val="20"/>
        </w:rPr>
        <w:t xml:space="preserve">compensates for </w:t>
      </w:r>
      <w:r w:rsidRPr="006604E2">
        <w:rPr>
          <w:rFonts w:eastAsia="+mn-ea"/>
          <w:b/>
          <w:bCs/>
          <w:color w:val="000000"/>
          <w:kern w:val="24"/>
          <w:sz w:val="20"/>
          <w:szCs w:val="20"/>
          <w:u w:val="single"/>
        </w:rPr>
        <w:t>the effects of</w:t>
      </w:r>
      <w:r w:rsidRPr="006604E2">
        <w:rPr>
          <w:rFonts w:eastAsia="+mn-ea"/>
          <w:color w:val="0070C0"/>
          <w:kern w:val="24"/>
          <w:sz w:val="20"/>
          <w:szCs w:val="20"/>
          <w:u w:val="single"/>
        </w:rPr>
        <w:t xml:space="preserve"> </w:t>
      </w:r>
      <w:r w:rsidRPr="006604E2">
        <w:rPr>
          <w:rFonts w:eastAsia="+mn-ea"/>
          <w:color w:val="000000"/>
          <w:kern w:val="24"/>
          <w:sz w:val="20"/>
          <w:szCs w:val="20"/>
        </w:rPr>
        <w:t>temperature.</w:t>
      </w:r>
    </w:p>
    <w:p w14:paraId="7E1F299F" w14:textId="77777777" w:rsidR="006540E5" w:rsidRDefault="006540E5" w:rsidP="006540E5">
      <w:pPr>
        <w:spacing w:after="0"/>
      </w:pPr>
      <w:r w:rsidRPr="00E025F9">
        <w:rPr>
          <w:b/>
        </w:rPr>
        <w:t xml:space="preserve">Previous </w:t>
      </w:r>
      <w:r>
        <w:rPr>
          <w:b/>
        </w:rPr>
        <w:t>Status</w:t>
      </w:r>
      <w:r w:rsidRPr="00E025F9">
        <w:rPr>
          <w:b/>
        </w:rPr>
        <w:t>:</w:t>
      </w:r>
    </w:p>
    <w:p w14:paraId="0C8CAA82" w14:textId="77777777" w:rsidR="006540E5" w:rsidRDefault="006540E5" w:rsidP="00C26F86">
      <w:r>
        <w:t xml:space="preserve">New Proposal </w:t>
      </w:r>
    </w:p>
    <w:p w14:paraId="0B75E684" w14:textId="77777777" w:rsidR="006540E5" w:rsidRPr="00AB010B" w:rsidRDefault="006540E5" w:rsidP="006540E5">
      <w:pPr>
        <w:keepNext/>
        <w:spacing w:after="0"/>
        <w:rPr>
          <w:b/>
        </w:rPr>
      </w:pPr>
      <w:r w:rsidRPr="00AB010B">
        <w:rPr>
          <w:b/>
        </w:rPr>
        <w:t>Original Justification:</w:t>
      </w:r>
    </w:p>
    <w:p w14:paraId="45190CA7" w14:textId="32DD2B73" w:rsidR="006540E5" w:rsidRPr="00C36659" w:rsidRDefault="006540E5" w:rsidP="00C36659">
      <w:r w:rsidRPr="00C36659">
        <w:t xml:space="preserve">Existing data has been presented by way of a </w:t>
      </w:r>
      <w:proofErr w:type="spellStart"/>
      <w:r w:rsidRPr="00C36659">
        <w:t>Linco</w:t>
      </w:r>
      <w:proofErr w:type="spellEnd"/>
      <w:r w:rsidRPr="00C36659">
        <w:t>-Electromatic, Inc.</w:t>
      </w:r>
      <w:r w:rsidR="006C0B95">
        <w:t xml:space="preserve"> </w:t>
      </w:r>
      <w:r w:rsidRPr="00C36659">
        <w:t>Technical Paper that calls into question the efficacy of mechanical temperature compensation equipment when connected to low flow pumping or dispensing systems. This paper calls out a reaction time ranging from three to six minutes before adequate compensation begins. With this lag time no single container filled by a</w:t>
      </w:r>
      <w:r w:rsidR="00F574F5">
        <w:t>n</w:t>
      </w:r>
      <w:r w:rsidRPr="00C36659">
        <w:t xml:space="preserve"> LP Gas dispenser would receive compensated </w:t>
      </w:r>
      <w:proofErr w:type="gramStart"/>
      <w:r w:rsidR="00F574F5" w:rsidRPr="00C36659">
        <w:t>product</w:t>
      </w:r>
      <w:proofErr w:type="gramEnd"/>
      <w:r w:rsidR="00FD4A37">
        <w:t xml:space="preserve"> </w:t>
      </w:r>
      <w:r w:rsidRPr="00C36659">
        <w:t>if utilizing a mechanical temperature compensator. To ensure equity for propane sellers and buyers proper and immediately reactive temperature compensation equipment is needed.</w:t>
      </w:r>
    </w:p>
    <w:p w14:paraId="6D072D12" w14:textId="4439F9F9" w:rsidR="006540E5" w:rsidRPr="00C36659" w:rsidRDefault="006540E5" w:rsidP="00C36659">
      <w:r w:rsidRPr="00C36659">
        <w:t>The submitter acknowledged that State Weights and Measures officials have stated that during the</w:t>
      </w:r>
      <w:r w:rsidR="00BF191B">
        <w:t xml:space="preserve"> </w:t>
      </w:r>
      <w:r w:rsidRPr="00C36659">
        <w:t xml:space="preserve">conduction of meter proving with mechanical temperature compensation they have not witnessed the slow reaction times stated in the </w:t>
      </w:r>
      <w:proofErr w:type="spellStart"/>
      <w:r w:rsidRPr="00C36659">
        <w:t>Linco</w:t>
      </w:r>
      <w:proofErr w:type="spellEnd"/>
      <w:r w:rsidRPr="00C36659">
        <w:t>- Electromatic, Inc. Technical Paper, although there is a flush performed prior to the actual meter flow test and not from direct start up.</w:t>
      </w:r>
    </w:p>
    <w:p w14:paraId="369BD07B" w14:textId="72057B9F" w:rsidR="00AD2513" w:rsidRPr="00C36659" w:rsidRDefault="006540E5" w:rsidP="00C36659">
      <w:r w:rsidRPr="00C36659">
        <w:t>The submitter requested Voting status in 2026.</w:t>
      </w:r>
    </w:p>
    <w:p w14:paraId="3A83D378" w14:textId="77777777" w:rsidR="006540E5" w:rsidRPr="002A7C3B" w:rsidRDefault="006540E5" w:rsidP="006540E5">
      <w:pPr>
        <w:keepNext/>
        <w:rPr>
          <w:b/>
        </w:rPr>
      </w:pPr>
      <w:r>
        <w:rPr>
          <w:b/>
        </w:rPr>
        <w:t>Comments</w:t>
      </w:r>
      <w:r w:rsidRPr="002A7C3B">
        <w:rPr>
          <w:b/>
        </w:rPr>
        <w:t xml:space="preserve"> in Favor:</w:t>
      </w:r>
    </w:p>
    <w:p w14:paraId="6E54705E" w14:textId="0074B524" w:rsidR="006540E5" w:rsidRPr="002A7C3B" w:rsidRDefault="0042639E" w:rsidP="006540E5">
      <w:pPr>
        <w:keepNext/>
        <w:spacing w:after="0"/>
        <w:ind w:left="720"/>
        <w:rPr>
          <w:b/>
        </w:rPr>
      </w:pPr>
      <w:r>
        <w:rPr>
          <w:b/>
        </w:rPr>
        <w:t>Weights and Measures Officials</w:t>
      </w:r>
      <w:r w:rsidR="006540E5" w:rsidRPr="002A7C3B">
        <w:rPr>
          <w:b/>
        </w:rPr>
        <w:t>:</w:t>
      </w:r>
    </w:p>
    <w:p w14:paraId="3867B4D1" w14:textId="59B5ED23" w:rsidR="006540E5" w:rsidRPr="002A7C3B" w:rsidRDefault="008D2645" w:rsidP="006540E5">
      <w:pPr>
        <w:pStyle w:val="ListParagraph"/>
        <w:numPr>
          <w:ilvl w:val="0"/>
          <w:numId w:val="26"/>
        </w:numPr>
        <w:spacing w:after="0" w:line="259" w:lineRule="auto"/>
        <w:contextualSpacing/>
        <w:jc w:val="left"/>
      </w:pPr>
      <w:r>
        <w:t>None</w:t>
      </w:r>
    </w:p>
    <w:p w14:paraId="7D909AB3" w14:textId="77777777" w:rsidR="006540E5" w:rsidRPr="002A7C3B" w:rsidRDefault="006540E5" w:rsidP="006540E5">
      <w:pPr>
        <w:spacing w:before="240" w:after="0"/>
        <w:ind w:left="720"/>
        <w:rPr>
          <w:b/>
        </w:rPr>
      </w:pPr>
      <w:r w:rsidRPr="002A7C3B">
        <w:rPr>
          <w:b/>
        </w:rPr>
        <w:t>Industry:</w:t>
      </w:r>
    </w:p>
    <w:p w14:paraId="2F8BD0FF" w14:textId="5DF0BC74" w:rsidR="006540E5" w:rsidRPr="002A7C3B" w:rsidRDefault="008D2645" w:rsidP="006540E5">
      <w:pPr>
        <w:pStyle w:val="ListParagraph"/>
        <w:numPr>
          <w:ilvl w:val="0"/>
          <w:numId w:val="26"/>
        </w:numPr>
        <w:spacing w:after="0" w:line="259" w:lineRule="auto"/>
        <w:contextualSpacing/>
        <w:jc w:val="left"/>
      </w:pPr>
      <w:r>
        <w:t>None</w:t>
      </w:r>
    </w:p>
    <w:p w14:paraId="21DD85CE" w14:textId="77777777" w:rsidR="006540E5" w:rsidRPr="002A7C3B" w:rsidRDefault="006540E5" w:rsidP="006540E5">
      <w:pPr>
        <w:spacing w:before="240" w:after="0"/>
        <w:ind w:left="720"/>
        <w:rPr>
          <w:b/>
        </w:rPr>
      </w:pPr>
      <w:r w:rsidRPr="002A7C3B">
        <w:rPr>
          <w:b/>
        </w:rPr>
        <w:t>Advisory:</w:t>
      </w:r>
    </w:p>
    <w:p w14:paraId="4A62E808" w14:textId="43FCB347" w:rsidR="006540E5" w:rsidRPr="002A7C3B" w:rsidRDefault="008D2645" w:rsidP="006540E5">
      <w:pPr>
        <w:pStyle w:val="ListParagraph"/>
        <w:numPr>
          <w:ilvl w:val="0"/>
          <w:numId w:val="26"/>
        </w:numPr>
        <w:spacing w:after="0" w:line="259" w:lineRule="auto"/>
        <w:contextualSpacing/>
        <w:jc w:val="left"/>
      </w:pPr>
      <w:r>
        <w:t>None</w:t>
      </w:r>
    </w:p>
    <w:p w14:paraId="4F6C5D96" w14:textId="77777777" w:rsidR="006540E5" w:rsidRPr="002A7C3B" w:rsidRDefault="006540E5" w:rsidP="006540E5">
      <w:pPr>
        <w:spacing w:before="240"/>
        <w:rPr>
          <w:b/>
        </w:rPr>
      </w:pPr>
      <w:r>
        <w:rPr>
          <w:b/>
        </w:rPr>
        <w:lastRenderedPageBreak/>
        <w:t>Comments</w:t>
      </w:r>
      <w:r w:rsidRPr="002A7C3B">
        <w:rPr>
          <w:b/>
        </w:rPr>
        <w:t xml:space="preserve"> Against:</w:t>
      </w:r>
    </w:p>
    <w:p w14:paraId="0B4F25CD" w14:textId="1855C58D" w:rsidR="006540E5" w:rsidRPr="002A7C3B" w:rsidRDefault="0042639E" w:rsidP="006540E5">
      <w:pPr>
        <w:spacing w:after="0"/>
        <w:ind w:left="720"/>
        <w:rPr>
          <w:b/>
        </w:rPr>
      </w:pPr>
      <w:r>
        <w:rPr>
          <w:b/>
        </w:rPr>
        <w:t>Weights and Measures Officials</w:t>
      </w:r>
      <w:r w:rsidR="006540E5" w:rsidRPr="002A7C3B">
        <w:rPr>
          <w:b/>
        </w:rPr>
        <w:t>:</w:t>
      </w:r>
    </w:p>
    <w:p w14:paraId="7669E8EF" w14:textId="63F578A8" w:rsidR="006540E5" w:rsidRPr="002A7C3B" w:rsidRDefault="008D2645" w:rsidP="006540E5">
      <w:pPr>
        <w:pStyle w:val="ListParagraph"/>
        <w:numPr>
          <w:ilvl w:val="0"/>
          <w:numId w:val="27"/>
        </w:numPr>
        <w:spacing w:after="0" w:line="259" w:lineRule="auto"/>
        <w:contextualSpacing/>
        <w:jc w:val="left"/>
      </w:pPr>
      <w:r>
        <w:t>None</w:t>
      </w:r>
    </w:p>
    <w:p w14:paraId="581A1342" w14:textId="77777777" w:rsidR="006540E5" w:rsidRPr="002A7C3B" w:rsidRDefault="006540E5" w:rsidP="006540E5">
      <w:pPr>
        <w:spacing w:before="240" w:after="0"/>
        <w:ind w:left="720"/>
        <w:rPr>
          <w:b/>
        </w:rPr>
      </w:pPr>
      <w:r w:rsidRPr="002A7C3B">
        <w:rPr>
          <w:b/>
        </w:rPr>
        <w:t>Industry:</w:t>
      </w:r>
    </w:p>
    <w:p w14:paraId="7B619D52" w14:textId="29F89651" w:rsidR="006540E5" w:rsidRPr="002A7C3B" w:rsidRDefault="008D2645" w:rsidP="006540E5">
      <w:pPr>
        <w:pStyle w:val="ListParagraph"/>
        <w:numPr>
          <w:ilvl w:val="0"/>
          <w:numId w:val="27"/>
        </w:numPr>
        <w:spacing w:after="0" w:line="259" w:lineRule="auto"/>
        <w:contextualSpacing/>
        <w:jc w:val="left"/>
      </w:pPr>
      <w:r>
        <w:t>None</w:t>
      </w:r>
    </w:p>
    <w:p w14:paraId="6ADD4487" w14:textId="77777777" w:rsidR="006540E5" w:rsidRPr="00AC5B86" w:rsidRDefault="006540E5" w:rsidP="006540E5">
      <w:pPr>
        <w:spacing w:before="240" w:after="0"/>
        <w:ind w:left="720"/>
        <w:rPr>
          <w:b/>
        </w:rPr>
      </w:pPr>
      <w:r w:rsidRPr="002A7C3B">
        <w:rPr>
          <w:b/>
        </w:rPr>
        <w:t>Advisory:</w:t>
      </w:r>
    </w:p>
    <w:p w14:paraId="459AE50E" w14:textId="598A16F0" w:rsidR="006540E5" w:rsidRDefault="008D2645" w:rsidP="006540E5">
      <w:pPr>
        <w:pStyle w:val="ListParagraph"/>
        <w:numPr>
          <w:ilvl w:val="0"/>
          <w:numId w:val="27"/>
        </w:numPr>
        <w:spacing w:after="0" w:line="259" w:lineRule="auto"/>
        <w:contextualSpacing/>
        <w:jc w:val="left"/>
      </w:pPr>
      <w:r>
        <w:t>None</w:t>
      </w:r>
    </w:p>
    <w:p w14:paraId="62522738" w14:textId="77777777" w:rsidR="006540E5" w:rsidRPr="002A7C3B" w:rsidRDefault="006540E5" w:rsidP="006540E5">
      <w:pPr>
        <w:spacing w:before="240"/>
        <w:rPr>
          <w:b/>
        </w:rPr>
      </w:pPr>
      <w:r>
        <w:rPr>
          <w:b/>
        </w:rPr>
        <w:t>Neutral Comments</w:t>
      </w:r>
      <w:r w:rsidRPr="002A7C3B">
        <w:rPr>
          <w:b/>
        </w:rPr>
        <w:t>:</w:t>
      </w:r>
    </w:p>
    <w:p w14:paraId="04B78715" w14:textId="2D8870CA" w:rsidR="006540E5" w:rsidRPr="002A7C3B" w:rsidRDefault="0042639E" w:rsidP="00F10657">
      <w:pPr>
        <w:keepNext/>
        <w:keepLines/>
        <w:spacing w:after="0"/>
        <w:ind w:left="720"/>
        <w:rPr>
          <w:b/>
        </w:rPr>
      </w:pPr>
      <w:r>
        <w:rPr>
          <w:b/>
        </w:rPr>
        <w:t>Weights and Measures Officials</w:t>
      </w:r>
      <w:r w:rsidR="006540E5" w:rsidRPr="002A7C3B">
        <w:rPr>
          <w:b/>
        </w:rPr>
        <w:t>:</w:t>
      </w:r>
    </w:p>
    <w:p w14:paraId="0FC5EE26" w14:textId="63E06AE0" w:rsidR="006540E5" w:rsidRPr="002A7C3B" w:rsidRDefault="00C9358C" w:rsidP="00F10657">
      <w:pPr>
        <w:pStyle w:val="ListParagraph"/>
        <w:keepNext/>
        <w:keepLines/>
        <w:numPr>
          <w:ilvl w:val="0"/>
          <w:numId w:val="27"/>
        </w:numPr>
        <w:spacing w:after="0" w:line="259" w:lineRule="auto"/>
        <w:contextualSpacing/>
        <w:jc w:val="left"/>
      </w:pPr>
      <w:r>
        <w:t xml:space="preserve">The Committee heard from </w:t>
      </w:r>
      <w:r w:rsidR="005F53F2">
        <w:t xml:space="preserve">multiple </w:t>
      </w:r>
      <w:r w:rsidR="001B29F9" w:rsidRPr="00FD3A16">
        <w:t>w</w:t>
      </w:r>
      <w:r w:rsidR="005F53F2" w:rsidRPr="001B29F9">
        <w:t xml:space="preserve">eights and </w:t>
      </w:r>
      <w:r w:rsidR="001B29F9" w:rsidRPr="00FD3A16">
        <w:t>m</w:t>
      </w:r>
      <w:r w:rsidR="005F53F2" w:rsidRPr="001B29F9">
        <w:t xml:space="preserve">easures </w:t>
      </w:r>
      <w:r w:rsidR="00AC6485" w:rsidRPr="001B29F9">
        <w:t>officials</w:t>
      </w:r>
      <w:r w:rsidR="005F53F2">
        <w:t xml:space="preserve"> who recommended the item </w:t>
      </w:r>
      <w:r w:rsidR="00A05611">
        <w:t xml:space="preserve">to </w:t>
      </w:r>
      <w:r w:rsidR="005F53F2">
        <w:t xml:space="preserve">be </w:t>
      </w:r>
      <w:r w:rsidR="003A4373">
        <w:t>D</w:t>
      </w:r>
      <w:r w:rsidR="000C6181">
        <w:t xml:space="preserve">eveloping or </w:t>
      </w:r>
      <w:r w:rsidR="003A4373">
        <w:t>A</w:t>
      </w:r>
      <w:r w:rsidR="005F53F2">
        <w:t>ssigned to a Work Group.</w:t>
      </w:r>
      <w:r w:rsidR="00C47B6F">
        <w:t xml:space="preserve"> They expressed concerns regarding the additional burden placed on the i</w:t>
      </w:r>
      <w:r w:rsidR="003A4373">
        <w:t>n</w:t>
      </w:r>
      <w:r w:rsidR="00C47B6F">
        <w:t>dustry, the availability of these dev</w:t>
      </w:r>
      <w:r w:rsidR="00BC7E81">
        <w:t xml:space="preserve">ices as well as their suitability and accuracy under </w:t>
      </w:r>
      <w:r w:rsidR="00E06E47">
        <w:t xml:space="preserve">normal testing conditions. Most of them concurred </w:t>
      </w:r>
      <w:proofErr w:type="gramStart"/>
      <w:r w:rsidR="00E06E47">
        <w:t>on</w:t>
      </w:r>
      <w:proofErr w:type="gramEnd"/>
      <w:r w:rsidR="00E06E47">
        <w:t xml:space="preserve"> the need </w:t>
      </w:r>
      <w:r w:rsidR="00674263">
        <w:t>for</w:t>
      </w:r>
      <w:r w:rsidR="00E06E47">
        <w:t xml:space="preserve"> a study to obtain sound data </w:t>
      </w:r>
      <w:r w:rsidR="00B62F0B">
        <w:t xml:space="preserve">supporting an electronic </w:t>
      </w:r>
      <w:r w:rsidR="009367C9">
        <w:t xml:space="preserve">temperature compensation requirement. </w:t>
      </w:r>
    </w:p>
    <w:p w14:paraId="374DE027" w14:textId="77777777" w:rsidR="006540E5" w:rsidRPr="002A7C3B" w:rsidRDefault="006540E5" w:rsidP="006540E5">
      <w:pPr>
        <w:spacing w:before="240" w:after="0"/>
        <w:ind w:left="720"/>
        <w:rPr>
          <w:b/>
        </w:rPr>
      </w:pPr>
      <w:r w:rsidRPr="002A7C3B">
        <w:rPr>
          <w:b/>
        </w:rPr>
        <w:t>Industry:</w:t>
      </w:r>
    </w:p>
    <w:p w14:paraId="419D026C" w14:textId="6E49CC37" w:rsidR="006540E5" w:rsidRPr="002A7C3B" w:rsidRDefault="00AF1515" w:rsidP="006540E5">
      <w:pPr>
        <w:pStyle w:val="ListParagraph"/>
        <w:numPr>
          <w:ilvl w:val="0"/>
          <w:numId w:val="27"/>
        </w:numPr>
        <w:spacing w:after="0" w:line="259" w:lineRule="auto"/>
        <w:contextualSpacing/>
        <w:jc w:val="left"/>
      </w:pPr>
      <w:r>
        <w:t>Representatives from t</w:t>
      </w:r>
      <w:r w:rsidR="003B0CA1">
        <w:t>he National Propane Gas Association and Meter Manufacturers</w:t>
      </w:r>
      <w:r w:rsidR="008D2645">
        <w:t xml:space="preserve"> </w:t>
      </w:r>
      <w:proofErr w:type="gramStart"/>
      <w:r w:rsidR="008D2645">
        <w:t xml:space="preserve">Association </w:t>
      </w:r>
      <w:r w:rsidR="00DB7370">
        <w:t xml:space="preserve"> </w:t>
      </w:r>
      <w:r w:rsidR="008D2645">
        <w:t>recommended</w:t>
      </w:r>
      <w:proofErr w:type="gramEnd"/>
      <w:r w:rsidR="008D2645">
        <w:t xml:space="preserve"> the item be assigned to a Work Group.</w:t>
      </w:r>
    </w:p>
    <w:p w14:paraId="3F72C34C" w14:textId="77777777" w:rsidR="006540E5" w:rsidRPr="002A7C3B" w:rsidRDefault="006540E5" w:rsidP="006540E5">
      <w:pPr>
        <w:spacing w:before="240" w:after="0"/>
        <w:ind w:left="720"/>
        <w:rPr>
          <w:b/>
        </w:rPr>
      </w:pPr>
      <w:r w:rsidRPr="002A7C3B">
        <w:rPr>
          <w:b/>
        </w:rPr>
        <w:t>Advisory:</w:t>
      </w:r>
    </w:p>
    <w:p w14:paraId="30BB2130" w14:textId="58DEE057" w:rsidR="006540E5" w:rsidRDefault="00DF3FFB" w:rsidP="006540E5">
      <w:pPr>
        <w:pStyle w:val="ListParagraph"/>
        <w:numPr>
          <w:ilvl w:val="0"/>
          <w:numId w:val="27"/>
        </w:numPr>
        <w:spacing w:after="0" w:line="259" w:lineRule="auto"/>
        <w:contextualSpacing/>
        <w:jc w:val="left"/>
      </w:pPr>
      <w:r>
        <w:rPr>
          <w:szCs w:val="20"/>
          <w:lang w:eastAsia="ja-JP"/>
        </w:rPr>
        <w:t xml:space="preserve">The representative of </w:t>
      </w:r>
      <w:r w:rsidR="00780072">
        <w:rPr>
          <w:szCs w:val="20"/>
          <w:lang w:eastAsia="ja-JP"/>
        </w:rPr>
        <w:t xml:space="preserve">NIST </w:t>
      </w:r>
      <w:r>
        <w:rPr>
          <w:szCs w:val="20"/>
          <w:lang w:eastAsia="ja-JP"/>
        </w:rPr>
        <w:t>OWM supported the item to be</w:t>
      </w:r>
      <w:r w:rsidR="00C70870">
        <w:rPr>
          <w:szCs w:val="20"/>
          <w:lang w:eastAsia="ja-JP"/>
        </w:rPr>
        <w:t xml:space="preserve"> Developing or assign it to a Work Group.  </w:t>
      </w:r>
      <w:r w:rsidR="00780072">
        <w:rPr>
          <w:szCs w:val="20"/>
          <w:lang w:eastAsia="ja-JP"/>
        </w:rPr>
        <w:t xml:space="preserve"> </w:t>
      </w:r>
    </w:p>
    <w:p w14:paraId="15F4FB77" w14:textId="77777777" w:rsidR="006540E5" w:rsidRPr="00E025F9" w:rsidRDefault="006540E5" w:rsidP="006540E5">
      <w:pPr>
        <w:spacing w:before="240" w:after="0"/>
        <w:rPr>
          <w:b/>
        </w:rPr>
      </w:pPr>
      <w:r w:rsidRPr="002A7C3B">
        <w:rPr>
          <w:b/>
        </w:rPr>
        <w:t>Item Develop</w:t>
      </w:r>
      <w:r w:rsidRPr="00E025F9">
        <w:rPr>
          <w:b/>
        </w:rPr>
        <w:t>ment:</w:t>
      </w:r>
    </w:p>
    <w:p w14:paraId="725FD394" w14:textId="23B1C253" w:rsidR="006540E5" w:rsidRDefault="006540E5" w:rsidP="006540E5">
      <w:r>
        <w:t>New Proposal</w:t>
      </w:r>
      <w:r w:rsidR="00DB7370">
        <w:t xml:space="preserve"> </w:t>
      </w:r>
      <w:r w:rsidR="00362642">
        <w:t>2026</w:t>
      </w:r>
    </w:p>
    <w:p w14:paraId="796A8AEE" w14:textId="14434575" w:rsidR="00362642" w:rsidRPr="001224CF" w:rsidRDefault="00362642" w:rsidP="00346B96">
      <w:pPr>
        <w:keepNext/>
        <w:keepLines/>
        <w:rPr>
          <w:szCs w:val="20"/>
        </w:rPr>
      </w:pPr>
      <w:r w:rsidRPr="00960A2B">
        <w:rPr>
          <w:szCs w:val="20"/>
          <w:u w:val="single"/>
        </w:rPr>
        <w:t>NCWM 202</w:t>
      </w:r>
      <w:r>
        <w:rPr>
          <w:szCs w:val="20"/>
          <w:u w:val="single"/>
        </w:rPr>
        <w:t>6</w:t>
      </w:r>
      <w:r w:rsidRPr="00960A2B">
        <w:rPr>
          <w:szCs w:val="20"/>
          <w:u w:val="single"/>
        </w:rPr>
        <w:t xml:space="preserve"> Interim</w:t>
      </w:r>
      <w:proofErr w:type="gramStart"/>
      <w:r w:rsidRPr="00960A2B">
        <w:rPr>
          <w:szCs w:val="20"/>
          <w:u w:val="single"/>
        </w:rPr>
        <w:t>:</w:t>
      </w:r>
      <w:r w:rsidR="008D2645" w:rsidRPr="001224CF">
        <w:rPr>
          <w:szCs w:val="20"/>
        </w:rPr>
        <w:t xml:space="preserve">  </w:t>
      </w:r>
      <w:r w:rsidR="00703F96" w:rsidRPr="001224CF">
        <w:rPr>
          <w:szCs w:val="20"/>
        </w:rPr>
        <w:t>Taking</w:t>
      </w:r>
      <w:proofErr w:type="gramEnd"/>
      <w:r w:rsidR="00703F96" w:rsidRPr="001224CF">
        <w:rPr>
          <w:szCs w:val="20"/>
        </w:rPr>
        <w:t xml:space="preserve"> in</w:t>
      </w:r>
      <w:r w:rsidR="001224CF">
        <w:rPr>
          <w:szCs w:val="20"/>
        </w:rPr>
        <w:t>to</w:t>
      </w:r>
      <w:r w:rsidR="00703F96" w:rsidRPr="001224CF">
        <w:rPr>
          <w:szCs w:val="20"/>
        </w:rPr>
        <w:t xml:space="preserve"> consideration </w:t>
      </w:r>
      <w:r w:rsidR="007D17C0" w:rsidRPr="001224CF">
        <w:rPr>
          <w:szCs w:val="20"/>
        </w:rPr>
        <w:t>the concerns of those that provided comments and the requ</w:t>
      </w:r>
      <w:r w:rsidR="00973B90" w:rsidRPr="001224CF">
        <w:rPr>
          <w:szCs w:val="20"/>
        </w:rPr>
        <w:t>est of the</w:t>
      </w:r>
      <w:r w:rsidR="00C63EB4" w:rsidRPr="001224CF">
        <w:rPr>
          <w:szCs w:val="20"/>
        </w:rPr>
        <w:t xml:space="preserve"> submitter,</w:t>
      </w:r>
      <w:r w:rsidR="00973B90" w:rsidRPr="001224CF">
        <w:rPr>
          <w:szCs w:val="20"/>
        </w:rPr>
        <w:t xml:space="preserve"> </w:t>
      </w:r>
      <w:r w:rsidR="00874F35">
        <w:rPr>
          <w:szCs w:val="20"/>
        </w:rPr>
        <w:t>t</w:t>
      </w:r>
      <w:r w:rsidR="008D2645" w:rsidRPr="001224CF">
        <w:rPr>
          <w:szCs w:val="20"/>
        </w:rPr>
        <w:t>he Committee</w:t>
      </w:r>
      <w:r w:rsidR="00472A87" w:rsidRPr="001224CF">
        <w:rPr>
          <w:szCs w:val="20"/>
        </w:rPr>
        <w:t xml:space="preserve"> decided to re</w:t>
      </w:r>
      <w:r w:rsidR="00116A15">
        <w:rPr>
          <w:szCs w:val="20"/>
        </w:rPr>
        <w:t>commend that</w:t>
      </w:r>
      <w:r w:rsidR="00472A87" w:rsidRPr="001224CF">
        <w:rPr>
          <w:szCs w:val="20"/>
        </w:rPr>
        <w:t xml:space="preserve"> </w:t>
      </w:r>
      <w:r w:rsidR="00225FC4" w:rsidRPr="001224CF">
        <w:rPr>
          <w:szCs w:val="20"/>
        </w:rPr>
        <w:t xml:space="preserve">this </w:t>
      </w:r>
      <w:r w:rsidR="00DB7370" w:rsidRPr="001224CF">
        <w:rPr>
          <w:szCs w:val="20"/>
        </w:rPr>
        <w:t>item</w:t>
      </w:r>
      <w:r w:rsidR="00225FC4" w:rsidRPr="001224CF">
        <w:rPr>
          <w:szCs w:val="20"/>
        </w:rPr>
        <w:t xml:space="preserve"> </w:t>
      </w:r>
      <w:r w:rsidR="00231400" w:rsidRPr="001224CF">
        <w:rPr>
          <w:szCs w:val="20"/>
        </w:rPr>
        <w:t xml:space="preserve">be assigned to </w:t>
      </w:r>
      <w:r w:rsidR="00225FC4" w:rsidRPr="001224CF">
        <w:rPr>
          <w:szCs w:val="20"/>
        </w:rPr>
        <w:t xml:space="preserve">a Work </w:t>
      </w:r>
      <w:r w:rsidR="00B02E40" w:rsidRPr="001224CF">
        <w:rPr>
          <w:szCs w:val="20"/>
        </w:rPr>
        <w:t>Group and</w:t>
      </w:r>
      <w:r w:rsidR="001A695C">
        <w:rPr>
          <w:szCs w:val="20"/>
        </w:rPr>
        <w:t xml:space="preserve"> </w:t>
      </w:r>
      <w:r w:rsidR="007239CD">
        <w:rPr>
          <w:szCs w:val="20"/>
        </w:rPr>
        <w:t xml:space="preserve">keep </w:t>
      </w:r>
      <w:r w:rsidR="00C0184A" w:rsidRPr="001224CF">
        <w:rPr>
          <w:szCs w:val="20"/>
        </w:rPr>
        <w:t>open the effective dates pro</w:t>
      </w:r>
      <w:r w:rsidR="000958CF" w:rsidRPr="001224CF">
        <w:rPr>
          <w:szCs w:val="20"/>
        </w:rPr>
        <w:t>pos</w:t>
      </w:r>
      <w:r w:rsidR="00C0184A" w:rsidRPr="001224CF">
        <w:rPr>
          <w:szCs w:val="20"/>
        </w:rPr>
        <w:t>ed in it.</w:t>
      </w:r>
      <w:r w:rsidR="00C64D85" w:rsidRPr="001224CF">
        <w:rPr>
          <w:szCs w:val="20"/>
        </w:rPr>
        <w:t xml:space="preserve"> The work group will coordinate and oversee</w:t>
      </w:r>
      <w:r w:rsidR="00E540A9" w:rsidRPr="001224CF">
        <w:rPr>
          <w:szCs w:val="20"/>
        </w:rPr>
        <w:t>,</w:t>
      </w:r>
      <w:r w:rsidR="00C64D85" w:rsidRPr="001224CF">
        <w:rPr>
          <w:szCs w:val="20"/>
        </w:rPr>
        <w:t xml:space="preserve"> </w:t>
      </w:r>
      <w:r w:rsidR="00FC77C1" w:rsidRPr="001224CF">
        <w:rPr>
          <w:szCs w:val="20"/>
        </w:rPr>
        <w:t xml:space="preserve">in conjunction </w:t>
      </w:r>
      <w:r w:rsidR="00C64D85" w:rsidRPr="001224CF">
        <w:rPr>
          <w:szCs w:val="20"/>
        </w:rPr>
        <w:t>with the industry</w:t>
      </w:r>
      <w:r w:rsidR="00E540A9" w:rsidRPr="001224CF">
        <w:rPr>
          <w:szCs w:val="20"/>
        </w:rPr>
        <w:t>,</w:t>
      </w:r>
      <w:r w:rsidR="00C64D85" w:rsidRPr="001224CF">
        <w:rPr>
          <w:szCs w:val="20"/>
        </w:rPr>
        <w:t xml:space="preserve"> </w:t>
      </w:r>
      <w:r w:rsidR="00FC77C1" w:rsidRPr="001224CF">
        <w:rPr>
          <w:szCs w:val="20"/>
        </w:rPr>
        <w:t xml:space="preserve">the design </w:t>
      </w:r>
      <w:r w:rsidR="00BC392E" w:rsidRPr="001224CF">
        <w:rPr>
          <w:szCs w:val="20"/>
        </w:rPr>
        <w:t>and execution of a study to determine</w:t>
      </w:r>
      <w:r w:rsidR="005B2DE0">
        <w:rPr>
          <w:szCs w:val="20"/>
        </w:rPr>
        <w:t xml:space="preserve"> </w:t>
      </w:r>
      <w:r w:rsidR="00B76E14">
        <w:rPr>
          <w:szCs w:val="20"/>
        </w:rPr>
        <w:t>the</w:t>
      </w:r>
      <w:r w:rsidR="00BC392E" w:rsidRPr="001224CF">
        <w:rPr>
          <w:szCs w:val="20"/>
        </w:rPr>
        <w:t xml:space="preserve"> </w:t>
      </w:r>
      <w:r w:rsidR="00917333" w:rsidRPr="001224CF">
        <w:rPr>
          <w:szCs w:val="20"/>
        </w:rPr>
        <w:t>effectiveness and cost-efficient</w:t>
      </w:r>
      <w:r w:rsidR="00702548" w:rsidRPr="001224CF">
        <w:rPr>
          <w:szCs w:val="20"/>
        </w:rPr>
        <w:t xml:space="preserve"> </w:t>
      </w:r>
      <w:r w:rsidR="00D92090" w:rsidRPr="001224CF">
        <w:rPr>
          <w:szCs w:val="20"/>
        </w:rPr>
        <w:t>viability</w:t>
      </w:r>
      <w:r w:rsidR="00917333" w:rsidRPr="001224CF">
        <w:rPr>
          <w:szCs w:val="20"/>
        </w:rPr>
        <w:t xml:space="preserve"> of electronic </w:t>
      </w:r>
      <w:r w:rsidR="001A170C" w:rsidRPr="001224CF">
        <w:rPr>
          <w:szCs w:val="20"/>
        </w:rPr>
        <w:t>temperature compensator</w:t>
      </w:r>
      <w:r w:rsidR="00CD48B7" w:rsidRPr="001224CF">
        <w:rPr>
          <w:szCs w:val="20"/>
        </w:rPr>
        <w:t>s</w:t>
      </w:r>
      <w:r w:rsidR="001A170C" w:rsidRPr="001224CF">
        <w:rPr>
          <w:szCs w:val="20"/>
        </w:rPr>
        <w:t xml:space="preserve"> in all applications</w:t>
      </w:r>
      <w:r w:rsidR="00D94223" w:rsidRPr="001224CF">
        <w:rPr>
          <w:szCs w:val="20"/>
        </w:rPr>
        <w:t xml:space="preserve"> before</w:t>
      </w:r>
      <w:r w:rsidR="00D94455">
        <w:rPr>
          <w:szCs w:val="20"/>
        </w:rPr>
        <w:t xml:space="preserve"> </w:t>
      </w:r>
      <w:r w:rsidR="00C55CF5">
        <w:rPr>
          <w:szCs w:val="20"/>
        </w:rPr>
        <w:t xml:space="preserve">they </w:t>
      </w:r>
      <w:r w:rsidR="00D94455">
        <w:rPr>
          <w:szCs w:val="20"/>
        </w:rPr>
        <w:t xml:space="preserve">become a requirement. </w:t>
      </w:r>
      <w:r w:rsidR="00D94223" w:rsidRPr="001224CF">
        <w:rPr>
          <w:szCs w:val="20"/>
        </w:rPr>
        <w:t xml:space="preserve">Depending on the results of the study, </w:t>
      </w:r>
      <w:r w:rsidR="008E4FF3" w:rsidRPr="001224CF">
        <w:rPr>
          <w:szCs w:val="20"/>
        </w:rPr>
        <w:t xml:space="preserve">if </w:t>
      </w:r>
      <w:r w:rsidR="00B05D35" w:rsidRPr="001224CF">
        <w:rPr>
          <w:szCs w:val="20"/>
        </w:rPr>
        <w:t xml:space="preserve">established </w:t>
      </w:r>
      <w:r w:rsidR="001879BA" w:rsidRPr="001224CF">
        <w:rPr>
          <w:szCs w:val="20"/>
        </w:rPr>
        <w:t xml:space="preserve">the item has </w:t>
      </w:r>
      <w:r w:rsidR="00B05D35" w:rsidRPr="001224CF">
        <w:rPr>
          <w:szCs w:val="20"/>
        </w:rPr>
        <w:t xml:space="preserve">merit, </w:t>
      </w:r>
      <w:r w:rsidR="00D94223" w:rsidRPr="001224CF">
        <w:rPr>
          <w:szCs w:val="20"/>
        </w:rPr>
        <w:t xml:space="preserve">the </w:t>
      </w:r>
      <w:r w:rsidR="0075622A">
        <w:rPr>
          <w:szCs w:val="20"/>
        </w:rPr>
        <w:t>Work G</w:t>
      </w:r>
      <w:r w:rsidR="00D94223" w:rsidRPr="001224CF">
        <w:rPr>
          <w:szCs w:val="20"/>
        </w:rPr>
        <w:t xml:space="preserve">roup </w:t>
      </w:r>
      <w:r w:rsidR="00EF02BC" w:rsidRPr="001224CF">
        <w:rPr>
          <w:szCs w:val="20"/>
        </w:rPr>
        <w:t xml:space="preserve">will recommend final </w:t>
      </w:r>
      <w:r w:rsidR="00CD48B7" w:rsidRPr="001224CF">
        <w:rPr>
          <w:szCs w:val="20"/>
        </w:rPr>
        <w:t>language</w:t>
      </w:r>
      <w:r w:rsidR="00D11BD1" w:rsidRPr="001224CF">
        <w:rPr>
          <w:szCs w:val="20"/>
        </w:rPr>
        <w:t>,</w:t>
      </w:r>
      <w:r w:rsidR="001C7CB7" w:rsidRPr="001224CF">
        <w:rPr>
          <w:szCs w:val="20"/>
        </w:rPr>
        <w:t xml:space="preserve"> an</w:t>
      </w:r>
      <w:r w:rsidR="0075622A">
        <w:rPr>
          <w:szCs w:val="20"/>
        </w:rPr>
        <w:t>y</w:t>
      </w:r>
      <w:r w:rsidR="001C7CB7" w:rsidRPr="001224CF">
        <w:rPr>
          <w:szCs w:val="20"/>
        </w:rPr>
        <w:t xml:space="preserve"> required</w:t>
      </w:r>
      <w:r w:rsidR="00621416" w:rsidRPr="001224CF">
        <w:rPr>
          <w:szCs w:val="20"/>
        </w:rPr>
        <w:t xml:space="preserve"> alignment </w:t>
      </w:r>
      <w:r w:rsidR="000A60A5" w:rsidRPr="001224CF">
        <w:rPr>
          <w:szCs w:val="20"/>
        </w:rPr>
        <w:t xml:space="preserve">of it </w:t>
      </w:r>
      <w:r w:rsidR="00621416" w:rsidRPr="001224CF">
        <w:rPr>
          <w:szCs w:val="20"/>
        </w:rPr>
        <w:t>with other publications</w:t>
      </w:r>
      <w:r w:rsidR="00D11BD1" w:rsidRPr="001224CF">
        <w:rPr>
          <w:szCs w:val="20"/>
        </w:rPr>
        <w:t>,</w:t>
      </w:r>
      <w:r w:rsidR="00621416" w:rsidRPr="001224CF">
        <w:rPr>
          <w:szCs w:val="20"/>
        </w:rPr>
        <w:t xml:space="preserve"> and effective dates. </w:t>
      </w:r>
      <w:r w:rsidR="00CD48B7" w:rsidRPr="001224CF">
        <w:rPr>
          <w:szCs w:val="20"/>
        </w:rPr>
        <w:t xml:space="preserve"> </w:t>
      </w:r>
    </w:p>
    <w:p w14:paraId="6144BC51" w14:textId="77777777" w:rsidR="006540E5" w:rsidRPr="00E025F9" w:rsidRDefault="006540E5" w:rsidP="00E701E6">
      <w:pPr>
        <w:rPr>
          <w:b/>
        </w:rPr>
      </w:pPr>
      <w:r w:rsidRPr="00E025F9">
        <w:rPr>
          <w:b/>
        </w:rPr>
        <w:t>Regional Associations’ Comments:</w:t>
      </w:r>
    </w:p>
    <w:p w14:paraId="6D43AC28" w14:textId="638EFB6A" w:rsidR="00B55C17" w:rsidRDefault="00C8190C" w:rsidP="00E701E6">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57A3662B" w14:textId="0D7B8B5C" w:rsidR="009D0141" w:rsidRDefault="009D0141" w:rsidP="00E701E6">
      <w:pPr>
        <w:rPr>
          <w:rFonts w:eastAsia="Times New Roman"/>
          <w:szCs w:val="24"/>
        </w:rPr>
      </w:pPr>
      <w:r>
        <w:rPr>
          <w:rFonts w:eastAsia="Times New Roman"/>
          <w:szCs w:val="24"/>
        </w:rPr>
        <w:t>Mr. Chris Wagner with the National Propane Gas Association (NPGA) referenced a study called the “</w:t>
      </w:r>
      <w:proofErr w:type="spellStart"/>
      <w:r>
        <w:rPr>
          <w:rFonts w:eastAsia="Times New Roman"/>
          <w:szCs w:val="24"/>
        </w:rPr>
        <w:t>Linco</w:t>
      </w:r>
      <w:proofErr w:type="spellEnd"/>
      <w:r>
        <w:rPr>
          <w:rFonts w:eastAsia="Times New Roman"/>
          <w:szCs w:val="24"/>
        </w:rPr>
        <w:t xml:space="preserve">-Electromatic, Inc. Technical Paper” which demonstrates that electronic temperature compensation is immediate and meaningful in comparison with mechanical temperature compensation, which has a lag time that renders it ineffective for small drafts. He also stated the electronic compensators are more expensive so retailers, if left to their own devices, will install mechanical compensators to comply with the 2034 requirement. The NPGA polled the </w:t>
      </w:r>
      <w:proofErr w:type="gramStart"/>
      <w:r>
        <w:rPr>
          <w:rFonts w:eastAsia="Times New Roman"/>
          <w:szCs w:val="24"/>
        </w:rPr>
        <w:t>industry</w:t>
      </w:r>
      <w:proofErr w:type="gramEnd"/>
      <w:r>
        <w:rPr>
          <w:rFonts w:eastAsia="Times New Roman"/>
          <w:szCs w:val="24"/>
        </w:rPr>
        <w:t xml:space="preserve"> and no contradictory data could be found. Mr. Chris Wagner recommended a voting status.</w:t>
      </w:r>
    </w:p>
    <w:p w14:paraId="04AB3F32" w14:textId="77777777" w:rsidR="00347DDC" w:rsidRDefault="009D0141" w:rsidP="00E701E6">
      <w:pPr>
        <w:rPr>
          <w:rFonts w:eastAsia="Times New Roman"/>
          <w:szCs w:val="24"/>
        </w:rPr>
      </w:pPr>
      <w:r>
        <w:rPr>
          <w:rFonts w:eastAsia="Times New Roman"/>
          <w:szCs w:val="24"/>
        </w:rPr>
        <w:t xml:space="preserve">Mr. Scott Simmons (P 20:10 Services LLC) was opposed to the item and recommended the item be withdrawn. He expressed that mechanical automatic temperature compensators (ATCs) have been in use on dispensers with flow rates less than 20 gallons per minute for more than the 32 years that he has been testing and inspecting these devices. He </w:t>
      </w:r>
      <w:r>
        <w:rPr>
          <w:rFonts w:eastAsia="Times New Roman"/>
          <w:szCs w:val="24"/>
        </w:rPr>
        <w:lastRenderedPageBreak/>
        <w:t xml:space="preserve">also stated that both mechanical and electronic compensators are accurate and doesn’t believe that existing technology should be limited without supporting statistical data. </w:t>
      </w:r>
    </w:p>
    <w:p w14:paraId="591B3E34" w14:textId="1F651A36" w:rsidR="009D0141" w:rsidRDefault="009D0141" w:rsidP="00E701E6">
      <w:pPr>
        <w:rPr>
          <w:rFonts w:eastAsia="Times New Roman"/>
          <w:szCs w:val="24"/>
        </w:rPr>
      </w:pPr>
      <w:r>
        <w:rPr>
          <w:rFonts w:eastAsia="Times New Roman"/>
          <w:szCs w:val="24"/>
        </w:rPr>
        <w:t>Mr. Simmons pointed out that the technical paper was based on large volumes of crude oil and does not apply to small deliveries of LPG. Additionally, he voiced concern that many propane companies have already invested in mechanical temperature compensators to comply with recently adopted requirements and would have to replace this equipment should this proposal be adopted.</w:t>
      </w:r>
    </w:p>
    <w:p w14:paraId="34886459" w14:textId="77777777" w:rsidR="008277B9" w:rsidRDefault="009D0141" w:rsidP="00D04F80">
      <w:pPr>
        <w:rPr>
          <w:rFonts w:eastAsia="Times New Roman"/>
          <w:szCs w:val="24"/>
        </w:rPr>
      </w:pPr>
      <w:r>
        <w:rPr>
          <w:rFonts w:eastAsia="Times New Roman"/>
          <w:szCs w:val="24"/>
        </w:rPr>
        <w:t xml:space="preserve">Mr. Mahesh </w:t>
      </w:r>
      <w:r w:rsidRPr="00E13A3F">
        <w:rPr>
          <w:rFonts w:eastAsia="Times New Roman"/>
          <w:szCs w:val="24"/>
        </w:rPr>
        <w:t>Albuquerque</w:t>
      </w:r>
      <w:r>
        <w:rPr>
          <w:rFonts w:eastAsia="Times New Roman"/>
          <w:szCs w:val="24"/>
        </w:rPr>
        <w:t xml:space="preserve"> (Colorado Division of Oil and Public Safety) stated that his position was neutral on this item but shared the concern of the cost of replacement being substantial. He stated that Colorado has adopted regulations requiring ATCs by 2030 but does not specify whether these need to be mechanical or electronic. </w:t>
      </w:r>
    </w:p>
    <w:p w14:paraId="241B5991" w14:textId="0F7FCA81" w:rsidR="00D04F80" w:rsidRDefault="009D0141" w:rsidP="00D04F80">
      <w:pPr>
        <w:rPr>
          <w:rFonts w:eastAsia="Times New Roman"/>
          <w:szCs w:val="24"/>
        </w:rPr>
      </w:pPr>
      <w:r>
        <w:rPr>
          <w:rFonts w:eastAsia="Times New Roman"/>
          <w:szCs w:val="24"/>
        </w:rPr>
        <w:t xml:space="preserve">Mr. </w:t>
      </w:r>
      <w:r w:rsidRPr="00E13A3F">
        <w:rPr>
          <w:rFonts w:eastAsia="Times New Roman"/>
          <w:szCs w:val="24"/>
        </w:rPr>
        <w:t>Albuquerque</w:t>
      </w:r>
      <w:r>
        <w:rPr>
          <w:rFonts w:eastAsia="Times New Roman"/>
          <w:szCs w:val="24"/>
        </w:rPr>
        <w:t xml:space="preserve"> stated it wasn’t fair to require a business to who just invested in a mechanical ATC to have to replace the ATC with an electronic ATC.</w:t>
      </w:r>
    </w:p>
    <w:p w14:paraId="36E8EC84" w14:textId="4C3AC117" w:rsidR="009D0141" w:rsidRDefault="009D0141" w:rsidP="00D04F80">
      <w:pPr>
        <w:rPr>
          <w:rFonts w:eastAsia="Times New Roman"/>
          <w:szCs w:val="24"/>
        </w:rPr>
      </w:pPr>
      <w:r>
        <w:rPr>
          <w:rFonts w:eastAsia="Times New Roman"/>
          <w:szCs w:val="24"/>
        </w:rPr>
        <w:t>Mr. John Beall (County of Ventura, California) stated that while working in the field he checked propane deliveries with mechanical compensators and did not notice a trend of mechanical compensators being associated with inaccuracies. He s</w:t>
      </w:r>
      <w:r w:rsidRPr="007C69B7">
        <w:rPr>
          <w:rFonts w:eastAsia="Times New Roman"/>
          <w:szCs w:val="24"/>
        </w:rPr>
        <w:t>ees the need to move towards ATC but not necessarily specifying which one must be required.</w:t>
      </w:r>
    </w:p>
    <w:p w14:paraId="748A8C1B" w14:textId="1D24E9C7" w:rsidR="009D0141" w:rsidRDefault="009D0141" w:rsidP="00D04F80">
      <w:pPr>
        <w:rPr>
          <w:rFonts w:eastAsia="Times New Roman"/>
          <w:szCs w:val="24"/>
        </w:rPr>
      </w:pPr>
      <w:r>
        <w:rPr>
          <w:rFonts w:eastAsia="Times New Roman"/>
          <w:szCs w:val="24"/>
        </w:rPr>
        <w:t>Mr. Mike Brooks (</w:t>
      </w:r>
      <w:r w:rsidRPr="009F7C1A">
        <w:rPr>
          <w:rFonts w:eastAsia="Times New Roman"/>
          <w:szCs w:val="24"/>
        </w:rPr>
        <w:t>Arizona Department of Agriculture</w:t>
      </w:r>
      <w:r>
        <w:rPr>
          <w:rFonts w:eastAsia="Times New Roman"/>
          <w:szCs w:val="24"/>
        </w:rPr>
        <w:t>, Office of</w:t>
      </w:r>
      <w:r w:rsidRPr="009F7C1A">
        <w:rPr>
          <w:rFonts w:eastAsia="Times New Roman"/>
          <w:szCs w:val="24"/>
        </w:rPr>
        <w:t xml:space="preserve"> Weights and Measures</w:t>
      </w:r>
      <w:r>
        <w:rPr>
          <w:rFonts w:eastAsia="Times New Roman"/>
          <w:szCs w:val="24"/>
        </w:rPr>
        <w:t>) recommended forming a task group to address the contradiction in previous testimonies regarding the applicability of the study and the merits of mechanical vs electronic compensators.</w:t>
      </w:r>
    </w:p>
    <w:p w14:paraId="3486DFB8" w14:textId="5C6BDF1B" w:rsidR="009D0141" w:rsidRDefault="009D0141" w:rsidP="00D04F80">
      <w:pPr>
        <w:rPr>
          <w:rFonts w:eastAsia="Times New Roman"/>
          <w:szCs w:val="24"/>
        </w:rPr>
      </w:pPr>
      <w:r>
        <w:rPr>
          <w:rFonts w:eastAsia="Times New Roman"/>
          <w:szCs w:val="24"/>
        </w:rPr>
        <w:t xml:space="preserve">Mr. Brent Ricks (Montana Weights and Measures Program) stated that Montana has a statute requiring compensation but does not specify whether these need to be electronic or mechanical. They have noticed more failures for mechanical than electronic for high flow rates but there are no electronic compensators at low flow rates to compare. Mr. Brent Ricks concurred with Mr. Mike Brooks about creating a task group. </w:t>
      </w:r>
    </w:p>
    <w:p w14:paraId="298EDEF3" w14:textId="46738450" w:rsidR="009D0141" w:rsidRDefault="009D0141" w:rsidP="00D04F80">
      <w:pPr>
        <w:rPr>
          <w:rFonts w:eastAsia="Times New Roman"/>
          <w:szCs w:val="24"/>
        </w:rPr>
      </w:pPr>
      <w:r>
        <w:rPr>
          <w:rFonts w:eastAsia="Times New Roman"/>
          <w:szCs w:val="24"/>
        </w:rPr>
        <w:t xml:space="preserve">Mr. Chris Wagner (NPGA) </w:t>
      </w:r>
      <w:r w:rsidRPr="006F031F">
        <w:rPr>
          <w:rFonts w:eastAsia="Times New Roman"/>
          <w:szCs w:val="24"/>
        </w:rPr>
        <w:t>is not in opposition to further studies</w:t>
      </w:r>
      <w:r>
        <w:rPr>
          <w:rFonts w:eastAsia="Times New Roman"/>
          <w:szCs w:val="24"/>
        </w:rPr>
        <w:t xml:space="preserve"> and r</w:t>
      </w:r>
      <w:r w:rsidRPr="006F031F">
        <w:rPr>
          <w:rFonts w:eastAsia="Times New Roman"/>
          <w:szCs w:val="24"/>
        </w:rPr>
        <w:t>ecognizes the study was on a different product but</w:t>
      </w:r>
      <w:r>
        <w:rPr>
          <w:rFonts w:eastAsia="Times New Roman"/>
          <w:szCs w:val="24"/>
        </w:rPr>
        <w:t xml:space="preserve"> </w:t>
      </w:r>
      <w:proofErr w:type="gramStart"/>
      <w:r>
        <w:rPr>
          <w:rFonts w:eastAsia="Times New Roman"/>
          <w:szCs w:val="24"/>
        </w:rPr>
        <w:t>claimed</w:t>
      </w:r>
      <w:proofErr w:type="gramEnd"/>
      <w:r>
        <w:rPr>
          <w:rFonts w:eastAsia="Times New Roman"/>
          <w:szCs w:val="24"/>
        </w:rPr>
        <w:t xml:space="preserve"> that</w:t>
      </w:r>
      <w:r w:rsidRPr="006F031F">
        <w:rPr>
          <w:rFonts w:eastAsia="Times New Roman"/>
          <w:szCs w:val="24"/>
        </w:rPr>
        <w:t xml:space="preserve"> it </w:t>
      </w:r>
      <w:r>
        <w:rPr>
          <w:rFonts w:eastAsia="Times New Roman"/>
          <w:szCs w:val="24"/>
        </w:rPr>
        <w:t xml:space="preserve">is </w:t>
      </w:r>
      <w:r w:rsidRPr="006F031F">
        <w:rPr>
          <w:rFonts w:eastAsia="Times New Roman"/>
          <w:szCs w:val="24"/>
        </w:rPr>
        <w:t xml:space="preserve">the only study in existence today. </w:t>
      </w:r>
      <w:r>
        <w:rPr>
          <w:rFonts w:eastAsia="Times New Roman"/>
          <w:szCs w:val="24"/>
        </w:rPr>
        <w:t>He clarified that a</w:t>
      </w:r>
      <w:r w:rsidRPr="006F031F">
        <w:rPr>
          <w:rFonts w:eastAsia="Times New Roman"/>
          <w:szCs w:val="24"/>
        </w:rPr>
        <w:t>n item can always be downgraded but not upgraded</w:t>
      </w:r>
      <w:r>
        <w:rPr>
          <w:rFonts w:eastAsia="Times New Roman"/>
          <w:szCs w:val="24"/>
        </w:rPr>
        <w:t xml:space="preserve">; and that he is concerned with the </w:t>
      </w:r>
      <w:r w:rsidRPr="006F031F">
        <w:rPr>
          <w:rFonts w:eastAsia="Times New Roman"/>
          <w:szCs w:val="24"/>
        </w:rPr>
        <w:t>potentia</w:t>
      </w:r>
      <w:r>
        <w:rPr>
          <w:rFonts w:eastAsia="Times New Roman"/>
          <w:szCs w:val="24"/>
        </w:rPr>
        <w:t>l that</w:t>
      </w:r>
      <w:r w:rsidRPr="006F031F">
        <w:rPr>
          <w:rFonts w:eastAsia="Times New Roman"/>
          <w:szCs w:val="24"/>
        </w:rPr>
        <w:t xml:space="preserve"> 7000 mechanical ATCs</w:t>
      </w:r>
      <w:r>
        <w:rPr>
          <w:rFonts w:eastAsia="Times New Roman"/>
          <w:szCs w:val="24"/>
        </w:rPr>
        <w:t xml:space="preserve"> may</w:t>
      </w:r>
      <w:r w:rsidRPr="006F031F">
        <w:rPr>
          <w:rFonts w:eastAsia="Times New Roman"/>
          <w:szCs w:val="24"/>
        </w:rPr>
        <w:t xml:space="preserve"> </w:t>
      </w:r>
      <w:r>
        <w:rPr>
          <w:rFonts w:eastAsia="Times New Roman"/>
          <w:szCs w:val="24"/>
        </w:rPr>
        <w:t xml:space="preserve">be installed annually </w:t>
      </w:r>
      <w:r w:rsidRPr="006F031F">
        <w:rPr>
          <w:rFonts w:eastAsia="Times New Roman"/>
          <w:szCs w:val="24"/>
        </w:rPr>
        <w:t xml:space="preserve">only to be forced to </w:t>
      </w:r>
      <w:r>
        <w:rPr>
          <w:rFonts w:eastAsia="Times New Roman"/>
          <w:szCs w:val="24"/>
        </w:rPr>
        <w:t>be replaced with electronic</w:t>
      </w:r>
      <w:r w:rsidRPr="006F031F">
        <w:rPr>
          <w:rFonts w:eastAsia="Times New Roman"/>
          <w:szCs w:val="24"/>
        </w:rPr>
        <w:t xml:space="preserve"> ATCs after the studies confirm what they already know </w:t>
      </w:r>
      <w:r>
        <w:rPr>
          <w:rFonts w:eastAsia="Times New Roman"/>
          <w:szCs w:val="24"/>
        </w:rPr>
        <w:t xml:space="preserve">- </w:t>
      </w:r>
      <w:r w:rsidRPr="006F031F">
        <w:rPr>
          <w:rFonts w:eastAsia="Times New Roman"/>
          <w:szCs w:val="24"/>
        </w:rPr>
        <w:t xml:space="preserve">that </w:t>
      </w:r>
      <w:r>
        <w:rPr>
          <w:rFonts w:eastAsia="Times New Roman"/>
          <w:szCs w:val="24"/>
        </w:rPr>
        <w:t>electronic</w:t>
      </w:r>
      <w:r w:rsidRPr="006F031F">
        <w:rPr>
          <w:rFonts w:eastAsia="Times New Roman"/>
          <w:szCs w:val="24"/>
        </w:rPr>
        <w:t xml:space="preserve"> ATC</w:t>
      </w:r>
      <w:r>
        <w:rPr>
          <w:rFonts w:eastAsia="Times New Roman"/>
          <w:szCs w:val="24"/>
        </w:rPr>
        <w:t>s</w:t>
      </w:r>
      <w:r w:rsidRPr="006F031F">
        <w:rPr>
          <w:rFonts w:eastAsia="Times New Roman"/>
          <w:szCs w:val="24"/>
        </w:rPr>
        <w:t xml:space="preserve"> are more accurate. </w:t>
      </w:r>
      <w:r>
        <w:rPr>
          <w:rFonts w:eastAsia="Times New Roman"/>
          <w:szCs w:val="24"/>
        </w:rPr>
        <w:t>He r</w:t>
      </w:r>
      <w:r w:rsidRPr="006F031F">
        <w:rPr>
          <w:rFonts w:eastAsia="Times New Roman"/>
          <w:szCs w:val="24"/>
        </w:rPr>
        <w:t xml:space="preserve">ecommends </w:t>
      </w:r>
      <w:r>
        <w:rPr>
          <w:rFonts w:eastAsia="Times New Roman"/>
          <w:szCs w:val="24"/>
        </w:rPr>
        <w:t xml:space="preserve">a </w:t>
      </w:r>
      <w:r w:rsidRPr="006F031F">
        <w:rPr>
          <w:rFonts w:eastAsia="Times New Roman"/>
          <w:szCs w:val="24"/>
        </w:rPr>
        <w:t xml:space="preserve">voting </w:t>
      </w:r>
      <w:r>
        <w:rPr>
          <w:rFonts w:eastAsia="Times New Roman"/>
          <w:szCs w:val="24"/>
        </w:rPr>
        <w:t xml:space="preserve">status for this item </w:t>
      </w:r>
      <w:r w:rsidRPr="006F031F">
        <w:rPr>
          <w:rFonts w:eastAsia="Times New Roman"/>
          <w:szCs w:val="24"/>
        </w:rPr>
        <w:t>realizing the item can always be downgraded in the future.</w:t>
      </w:r>
    </w:p>
    <w:p w14:paraId="08079F3F" w14:textId="08A9B884" w:rsidR="009D0141" w:rsidRDefault="009D0141" w:rsidP="00D04F80">
      <w:pPr>
        <w:rPr>
          <w:rFonts w:eastAsia="Times New Roman"/>
          <w:szCs w:val="24"/>
        </w:rPr>
      </w:pPr>
      <w:r>
        <w:rPr>
          <w:rFonts w:eastAsia="Times New Roman"/>
          <w:szCs w:val="24"/>
        </w:rPr>
        <w:t>Mr. Lor</w:t>
      </w:r>
      <w:r w:rsidRPr="006F031F">
        <w:rPr>
          <w:rFonts w:eastAsia="Times New Roman"/>
          <w:szCs w:val="24"/>
        </w:rPr>
        <w:t>en Min</w:t>
      </w:r>
      <w:r>
        <w:rPr>
          <w:rFonts w:eastAsia="Times New Roman"/>
          <w:szCs w:val="24"/>
        </w:rPr>
        <w:t>nich asked a question as a consumer. If consumers buy about 4lbs for a typical cylinder, what is the draft size used during a test?</w:t>
      </w:r>
    </w:p>
    <w:p w14:paraId="4DD38A50" w14:textId="17D92D09" w:rsidR="009D0141" w:rsidRDefault="009D0141" w:rsidP="00D04F80">
      <w:pPr>
        <w:rPr>
          <w:rFonts w:eastAsia="Times New Roman"/>
          <w:szCs w:val="24"/>
        </w:rPr>
      </w:pPr>
      <w:r>
        <w:rPr>
          <w:rFonts w:eastAsia="Times New Roman"/>
          <w:szCs w:val="24"/>
        </w:rPr>
        <w:t xml:space="preserve">Mr. </w:t>
      </w:r>
      <w:r w:rsidRPr="006F031F">
        <w:rPr>
          <w:rFonts w:eastAsia="Times New Roman"/>
          <w:szCs w:val="24"/>
        </w:rPr>
        <w:t>Matt Douglas</w:t>
      </w:r>
      <w:r>
        <w:rPr>
          <w:rFonts w:eastAsia="Times New Roman"/>
          <w:szCs w:val="24"/>
        </w:rPr>
        <w:t xml:space="preserve"> (California Division of Measurement Standards) responded to Mr. Minnich indicating that the test draft is approximately 20 gallons. He also stated that he was n</w:t>
      </w:r>
      <w:r w:rsidRPr="006F031F">
        <w:rPr>
          <w:rFonts w:eastAsia="Times New Roman"/>
          <w:szCs w:val="24"/>
        </w:rPr>
        <w:t>ot aware the study was not for the same product</w:t>
      </w:r>
      <w:r>
        <w:rPr>
          <w:rFonts w:eastAsia="Times New Roman"/>
          <w:szCs w:val="24"/>
        </w:rPr>
        <w:t xml:space="preserve"> and that t</w:t>
      </w:r>
      <w:r w:rsidRPr="006F031F">
        <w:rPr>
          <w:rFonts w:eastAsia="Times New Roman"/>
          <w:szCs w:val="24"/>
        </w:rPr>
        <w:t xml:space="preserve">hese devices have been </w:t>
      </w:r>
      <w:r>
        <w:rPr>
          <w:rFonts w:eastAsia="Times New Roman"/>
          <w:szCs w:val="24"/>
        </w:rPr>
        <w:t>National Type Evaluation Program (</w:t>
      </w:r>
      <w:r w:rsidRPr="006F031F">
        <w:rPr>
          <w:rFonts w:eastAsia="Times New Roman"/>
          <w:szCs w:val="24"/>
        </w:rPr>
        <w:t>NTEP</w:t>
      </w:r>
      <w:r>
        <w:rPr>
          <w:rFonts w:eastAsia="Times New Roman"/>
          <w:szCs w:val="24"/>
        </w:rPr>
        <w:t>)</w:t>
      </w:r>
      <w:r w:rsidRPr="006F031F">
        <w:rPr>
          <w:rFonts w:eastAsia="Times New Roman"/>
          <w:szCs w:val="24"/>
        </w:rPr>
        <w:t xml:space="preserve"> approved already. </w:t>
      </w:r>
      <w:r>
        <w:rPr>
          <w:rFonts w:eastAsia="Times New Roman"/>
          <w:szCs w:val="24"/>
        </w:rPr>
        <w:t>He said that he r</w:t>
      </w:r>
      <w:r w:rsidRPr="006F031F">
        <w:rPr>
          <w:rFonts w:eastAsia="Times New Roman"/>
          <w:szCs w:val="24"/>
        </w:rPr>
        <w:t xml:space="preserve">ecognizes </w:t>
      </w:r>
      <w:r>
        <w:rPr>
          <w:rFonts w:eastAsia="Times New Roman"/>
          <w:szCs w:val="24"/>
        </w:rPr>
        <w:t xml:space="preserve">the </w:t>
      </w:r>
      <w:r w:rsidRPr="006F031F">
        <w:rPr>
          <w:rFonts w:eastAsia="Times New Roman"/>
          <w:szCs w:val="24"/>
        </w:rPr>
        <w:t xml:space="preserve">NPGA viewpoint about </w:t>
      </w:r>
      <w:proofErr w:type="gramStart"/>
      <w:r w:rsidRPr="006F031F">
        <w:rPr>
          <w:rFonts w:eastAsia="Times New Roman"/>
          <w:szCs w:val="24"/>
        </w:rPr>
        <w:t>replacement</w:t>
      </w:r>
      <w:proofErr w:type="gramEnd"/>
      <w:r w:rsidRPr="006F031F">
        <w:rPr>
          <w:rFonts w:eastAsia="Times New Roman"/>
          <w:szCs w:val="24"/>
        </w:rPr>
        <w:t xml:space="preserve"> however this item as </w:t>
      </w:r>
      <w:r>
        <w:rPr>
          <w:rFonts w:eastAsia="Times New Roman"/>
          <w:szCs w:val="24"/>
        </w:rPr>
        <w:t xml:space="preserve">it </w:t>
      </w:r>
      <w:r w:rsidRPr="006F031F">
        <w:rPr>
          <w:rFonts w:eastAsia="Times New Roman"/>
          <w:szCs w:val="24"/>
        </w:rPr>
        <w:t>exist</w:t>
      </w:r>
      <w:r>
        <w:rPr>
          <w:rFonts w:eastAsia="Times New Roman"/>
          <w:szCs w:val="24"/>
        </w:rPr>
        <w:t>s</w:t>
      </w:r>
      <w:r w:rsidRPr="006F031F">
        <w:rPr>
          <w:rFonts w:eastAsia="Times New Roman"/>
          <w:szCs w:val="24"/>
        </w:rPr>
        <w:t xml:space="preserve"> is not ready for a vote</w:t>
      </w:r>
      <w:r>
        <w:rPr>
          <w:rFonts w:eastAsia="Times New Roman"/>
          <w:szCs w:val="24"/>
        </w:rPr>
        <w:t>.</w:t>
      </w:r>
    </w:p>
    <w:p w14:paraId="64901DF2" w14:textId="33E86CCB" w:rsidR="009D0141" w:rsidRDefault="009D0141" w:rsidP="00D04F80">
      <w:pPr>
        <w:rPr>
          <w:rFonts w:eastAsia="Times New Roman"/>
          <w:szCs w:val="24"/>
        </w:rPr>
      </w:pPr>
      <w:r>
        <w:rPr>
          <w:rFonts w:eastAsia="Times New Roman"/>
          <w:szCs w:val="24"/>
        </w:rPr>
        <w:t>Mr. Scott Simmons (P 20:10 Services LLC) stated that a t</w:t>
      </w:r>
      <w:r w:rsidRPr="001E3672">
        <w:rPr>
          <w:rFonts w:eastAsia="Times New Roman"/>
          <w:szCs w:val="24"/>
        </w:rPr>
        <w:t>est draft size is 20 or 25 gallons</w:t>
      </w:r>
      <w:r>
        <w:rPr>
          <w:rFonts w:eastAsia="Times New Roman"/>
          <w:szCs w:val="24"/>
        </w:rPr>
        <w:t xml:space="preserve"> and that an empty consumer LPG bottle would receive approximately 4.5 gallons.</w:t>
      </w:r>
      <w:r w:rsidRPr="001E3672">
        <w:rPr>
          <w:rFonts w:eastAsia="Times New Roman"/>
          <w:szCs w:val="24"/>
        </w:rPr>
        <w:t xml:space="preserve"> On that small of a draft there would be limited benefit for an ATC. </w:t>
      </w:r>
      <w:r>
        <w:rPr>
          <w:rFonts w:eastAsia="Times New Roman"/>
          <w:szCs w:val="24"/>
        </w:rPr>
        <w:t>He reiterated that the mechanical ATCs have been in use for many years and have been type approved, and ATCs are already required by our Handbooks</w:t>
      </w:r>
      <w:r w:rsidRPr="001E3672">
        <w:rPr>
          <w:rFonts w:eastAsia="Times New Roman"/>
          <w:szCs w:val="24"/>
        </w:rPr>
        <w:t xml:space="preserve">. </w:t>
      </w:r>
      <w:r>
        <w:rPr>
          <w:rFonts w:eastAsia="Times New Roman"/>
          <w:szCs w:val="24"/>
        </w:rPr>
        <w:t>He also stated that t</w:t>
      </w:r>
      <w:r w:rsidRPr="001E3672">
        <w:rPr>
          <w:rFonts w:eastAsia="Times New Roman"/>
          <w:szCs w:val="24"/>
        </w:rPr>
        <w:t xml:space="preserve">here is </w:t>
      </w:r>
      <w:r>
        <w:rPr>
          <w:rFonts w:eastAsia="Times New Roman"/>
          <w:szCs w:val="24"/>
        </w:rPr>
        <w:t>only one</w:t>
      </w:r>
      <w:r w:rsidRPr="001E3672">
        <w:rPr>
          <w:rFonts w:eastAsia="Times New Roman"/>
          <w:szCs w:val="24"/>
        </w:rPr>
        <w:t xml:space="preserve"> company who developed a</w:t>
      </w:r>
      <w:r>
        <w:rPr>
          <w:rFonts w:eastAsia="Times New Roman"/>
          <w:szCs w:val="24"/>
        </w:rPr>
        <w:t>n electronic</w:t>
      </w:r>
      <w:r w:rsidRPr="001E3672">
        <w:rPr>
          <w:rFonts w:eastAsia="Times New Roman"/>
          <w:szCs w:val="24"/>
        </w:rPr>
        <w:t xml:space="preserve"> ATC. There are </w:t>
      </w:r>
      <w:r>
        <w:rPr>
          <w:rFonts w:eastAsia="Times New Roman"/>
          <w:szCs w:val="24"/>
        </w:rPr>
        <w:t xml:space="preserve">currently </w:t>
      </w:r>
      <w:r w:rsidRPr="001E3672">
        <w:rPr>
          <w:rFonts w:eastAsia="Times New Roman"/>
          <w:szCs w:val="24"/>
        </w:rPr>
        <w:t xml:space="preserve">no </w:t>
      </w:r>
      <w:r>
        <w:rPr>
          <w:rFonts w:eastAsia="Times New Roman"/>
          <w:szCs w:val="24"/>
        </w:rPr>
        <w:t xml:space="preserve">electronic </w:t>
      </w:r>
      <w:r w:rsidRPr="001E3672">
        <w:rPr>
          <w:rFonts w:eastAsia="Times New Roman"/>
          <w:szCs w:val="24"/>
        </w:rPr>
        <w:t xml:space="preserve">ATCs </w:t>
      </w:r>
      <w:r>
        <w:rPr>
          <w:rFonts w:eastAsia="Times New Roman"/>
          <w:szCs w:val="24"/>
        </w:rPr>
        <w:t>installed on</w:t>
      </w:r>
      <w:r w:rsidRPr="001E3672">
        <w:rPr>
          <w:rFonts w:eastAsia="Times New Roman"/>
          <w:szCs w:val="24"/>
        </w:rPr>
        <w:t xml:space="preserve"> meters</w:t>
      </w:r>
      <w:r>
        <w:rPr>
          <w:rFonts w:eastAsia="Times New Roman"/>
          <w:szCs w:val="24"/>
        </w:rPr>
        <w:t xml:space="preserve"> </w:t>
      </w:r>
      <w:proofErr w:type="gramStart"/>
      <w:r>
        <w:rPr>
          <w:rFonts w:eastAsia="Times New Roman"/>
          <w:szCs w:val="24"/>
        </w:rPr>
        <w:t>operating</w:t>
      </w:r>
      <w:proofErr w:type="gramEnd"/>
      <w:r w:rsidRPr="001E3672">
        <w:rPr>
          <w:rFonts w:eastAsia="Times New Roman"/>
          <w:szCs w:val="24"/>
        </w:rPr>
        <w:t xml:space="preserve"> under 20GPM</w:t>
      </w:r>
      <w:r>
        <w:rPr>
          <w:rFonts w:eastAsia="Times New Roman"/>
          <w:szCs w:val="24"/>
        </w:rPr>
        <w:t>, so i</w:t>
      </w:r>
      <w:r w:rsidRPr="001E3672">
        <w:rPr>
          <w:rFonts w:eastAsia="Times New Roman"/>
          <w:szCs w:val="24"/>
        </w:rPr>
        <w:t xml:space="preserve">f this requirement goes into effect </w:t>
      </w:r>
      <w:proofErr w:type="gramStart"/>
      <w:r>
        <w:rPr>
          <w:rFonts w:eastAsia="Times New Roman"/>
          <w:szCs w:val="24"/>
        </w:rPr>
        <w:t>all of</w:t>
      </w:r>
      <w:proofErr w:type="gramEnd"/>
      <w:r>
        <w:rPr>
          <w:rFonts w:eastAsia="Times New Roman"/>
          <w:szCs w:val="24"/>
        </w:rPr>
        <w:t xml:space="preserve"> the meters that already have temperature compensation will need to be upgraded</w:t>
      </w:r>
      <w:r w:rsidRPr="001E3672">
        <w:rPr>
          <w:rFonts w:eastAsia="Times New Roman"/>
          <w:szCs w:val="24"/>
        </w:rPr>
        <w:t xml:space="preserve">. </w:t>
      </w:r>
      <w:r>
        <w:rPr>
          <w:rFonts w:eastAsia="Times New Roman"/>
          <w:szCs w:val="24"/>
        </w:rPr>
        <w:t>We should not</w:t>
      </w:r>
      <w:r w:rsidRPr="001E3672">
        <w:rPr>
          <w:rFonts w:eastAsia="Times New Roman"/>
          <w:szCs w:val="24"/>
        </w:rPr>
        <w:t xml:space="preserve"> outlaw approved technology with</w:t>
      </w:r>
      <w:r>
        <w:rPr>
          <w:rFonts w:eastAsia="Times New Roman"/>
          <w:szCs w:val="24"/>
        </w:rPr>
        <w:t>out</w:t>
      </w:r>
      <w:r w:rsidRPr="001E3672">
        <w:rPr>
          <w:rFonts w:eastAsia="Times New Roman"/>
          <w:szCs w:val="24"/>
        </w:rPr>
        <w:t xml:space="preserve"> significant data. Without the data we cannot </w:t>
      </w:r>
      <w:proofErr w:type="gramStart"/>
      <w:r w:rsidRPr="001E3672">
        <w:rPr>
          <w:rFonts w:eastAsia="Times New Roman"/>
          <w:szCs w:val="24"/>
        </w:rPr>
        <w:t>make a decision</w:t>
      </w:r>
      <w:proofErr w:type="gramEnd"/>
      <w:r w:rsidRPr="001E3672">
        <w:rPr>
          <w:rFonts w:eastAsia="Times New Roman"/>
          <w:szCs w:val="24"/>
        </w:rPr>
        <w:t>.</w:t>
      </w:r>
    </w:p>
    <w:p w14:paraId="46297167" w14:textId="0117F604" w:rsidR="009D0141" w:rsidRPr="00A43BF4" w:rsidRDefault="009D0141" w:rsidP="00D04F80">
      <w:pPr>
        <w:rPr>
          <w:rFonts w:eastAsia="Times New Roman"/>
          <w:szCs w:val="24"/>
        </w:rPr>
      </w:pPr>
      <w:r>
        <w:rPr>
          <w:rFonts w:eastAsia="Times New Roman"/>
          <w:szCs w:val="24"/>
        </w:rPr>
        <w:t xml:space="preserve">Mr. Aaron Yanker </w:t>
      </w:r>
      <w:r w:rsidRPr="005D61E3">
        <w:rPr>
          <w:rFonts w:eastAsia="Times New Roman"/>
          <w:szCs w:val="24"/>
        </w:rPr>
        <w:t>(Colorado Department</w:t>
      </w:r>
      <w:r>
        <w:rPr>
          <w:rFonts w:eastAsia="Times New Roman"/>
          <w:szCs w:val="24"/>
        </w:rPr>
        <w:t xml:space="preserve"> </w:t>
      </w:r>
      <w:r w:rsidRPr="005D61E3">
        <w:rPr>
          <w:rFonts w:eastAsia="Times New Roman"/>
          <w:szCs w:val="24"/>
        </w:rPr>
        <w:t>of Agriculture, Weights and Measures)</w:t>
      </w:r>
      <w:r>
        <w:rPr>
          <w:rFonts w:eastAsia="Times New Roman"/>
          <w:szCs w:val="24"/>
        </w:rPr>
        <w:t xml:space="preserve"> stated that he was cautious about assigning this to a task group and suggested that industry should supply supporting data. Mr. Yanker then stated that if not withdrawn the item should be assigned a developing status</w:t>
      </w:r>
      <w:r w:rsidR="00D04F80">
        <w:rPr>
          <w:rFonts w:eastAsia="Times New Roman"/>
          <w:szCs w:val="24"/>
        </w:rPr>
        <w:t>.</w:t>
      </w:r>
    </w:p>
    <w:p w14:paraId="57248DB6" w14:textId="2BB612B6" w:rsidR="00C8190C" w:rsidRPr="00A43BF4" w:rsidRDefault="009D0141" w:rsidP="00347DDC">
      <w:pPr>
        <w:keepNext/>
        <w:keepLines/>
        <w:rPr>
          <w:rFonts w:eastAsia="Times New Roman"/>
          <w:szCs w:val="24"/>
        </w:rPr>
      </w:pPr>
      <w:r>
        <w:rPr>
          <w:rFonts w:eastAsia="Times New Roman"/>
          <w:szCs w:val="24"/>
        </w:rPr>
        <w:lastRenderedPageBreak/>
        <w:t>The WWMA L&amp;R Committee recommends a developing status for this item and suggests that the NPGA reach out to stakeholders to collect data to support the necessity of electronic temperature compensators over mechanical. The WWMA L&amp;R Committee further recommends to the NCWM L&amp;R Committee that, once such data is available, the merit of this item and both the effective and non-retroactivity dates identified in subsections (b) and (c) should be reassessed.</w:t>
      </w:r>
    </w:p>
    <w:p w14:paraId="305D6D6A" w14:textId="44F8B81A" w:rsidR="00C8190C" w:rsidRDefault="00C8190C" w:rsidP="00C8190C">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A60E61">
        <w:rPr>
          <w:rFonts w:eastAsia="Times New Roman"/>
          <w:szCs w:val="24"/>
          <w:u w:val="single"/>
        </w:rPr>
        <w:t>Interim</w:t>
      </w:r>
      <w:r w:rsidRPr="0051426D">
        <w:rPr>
          <w:rFonts w:eastAsia="Times New Roman"/>
          <w:szCs w:val="24"/>
          <w:u w:val="single"/>
        </w:rPr>
        <w:t xml:space="preserve"> Meeting:</w:t>
      </w:r>
    </w:p>
    <w:p w14:paraId="341B650B" w14:textId="77777777" w:rsidR="00E77602" w:rsidRPr="00A43BF4" w:rsidRDefault="00E77602" w:rsidP="00D04F80">
      <w:pPr>
        <w:rPr>
          <w:rFonts w:eastAsia="Times New Roman"/>
          <w:szCs w:val="24"/>
        </w:rPr>
      </w:pPr>
      <w:r>
        <w:rPr>
          <w:rFonts w:eastAsia="Times New Roman"/>
          <w:szCs w:val="24"/>
        </w:rPr>
        <w:t>A letter of opposition was received from Colorado and is posted on the CWMA website. Ivan Hankins, IA, concurs with the letter of opposition and recommended withdrawal of this item.</w:t>
      </w:r>
    </w:p>
    <w:p w14:paraId="4A1F5039" w14:textId="1A48979C" w:rsidR="007B2C09" w:rsidRDefault="00E77602" w:rsidP="0049496F">
      <w:pPr>
        <w:rPr>
          <w:u w:val="single"/>
        </w:rPr>
      </w:pPr>
      <w:r w:rsidRPr="00E77602">
        <w:rPr>
          <w:rFonts w:eastAsia="Times New Roman"/>
          <w:szCs w:val="24"/>
        </w:rPr>
        <w:t xml:space="preserve">The CWMA L&amp;R Committee </w:t>
      </w:r>
      <w:r>
        <w:rPr>
          <w:rFonts w:eastAsia="Times New Roman"/>
          <w:szCs w:val="24"/>
        </w:rPr>
        <w:t>recommends a</w:t>
      </w:r>
      <w:r w:rsidR="002B0649">
        <w:rPr>
          <w:rFonts w:eastAsia="Times New Roman"/>
          <w:szCs w:val="24"/>
        </w:rPr>
        <w:t xml:space="preserve"> Withdrawn Status for this item. </w:t>
      </w:r>
    </w:p>
    <w:p w14:paraId="5A506FE6" w14:textId="3DBB00ED" w:rsidR="000401A0" w:rsidRDefault="00C8190C" w:rsidP="00C8190C">
      <w:pPr>
        <w:jc w:val="left"/>
        <w:rPr>
          <w:u w:val="single"/>
        </w:rPr>
      </w:pPr>
      <w:r w:rsidRPr="006C7BFB">
        <w:rPr>
          <w:u w:val="single"/>
        </w:rPr>
        <w:t>NEWMA 202</w:t>
      </w:r>
      <w:r>
        <w:rPr>
          <w:u w:val="single"/>
        </w:rPr>
        <w:t>5</w:t>
      </w:r>
      <w:r w:rsidRPr="006C7BFB">
        <w:rPr>
          <w:u w:val="single"/>
        </w:rPr>
        <w:t xml:space="preserve"> Interim Meeting:</w:t>
      </w:r>
    </w:p>
    <w:p w14:paraId="7CEBA2A6" w14:textId="46295061" w:rsidR="00A87C98" w:rsidRDefault="00A87C98" w:rsidP="0060214E">
      <w:pPr>
        <w:rPr>
          <w:rFonts w:eastAsia="Times New Roman"/>
          <w:szCs w:val="24"/>
        </w:rPr>
      </w:pPr>
      <w:r>
        <w:rPr>
          <w:rFonts w:eastAsia="Times New Roman"/>
          <w:szCs w:val="24"/>
        </w:rPr>
        <w:t>A regulator from New York commented that the way the proposal is currently written in section 2.21.2(c) leaves out devices that may be installed on January 1, 2027, and pointed out that the Handbook currently reads “Effective January 1, 2030</w:t>
      </w:r>
      <w:proofErr w:type="gramStart"/>
      <w:r>
        <w:rPr>
          <w:rFonts w:eastAsia="Times New Roman"/>
          <w:szCs w:val="24"/>
        </w:rPr>
        <w:t>”, and</w:t>
      </w:r>
      <w:proofErr w:type="gramEnd"/>
      <w:r>
        <w:rPr>
          <w:rFonts w:eastAsia="Times New Roman"/>
          <w:szCs w:val="24"/>
        </w:rPr>
        <w:t xml:space="preserve"> needs to be struck to include the new date of 2034.  New York recommended a Voting with the editorial changes.  The committee referenced a supporting document that </w:t>
      </w:r>
      <w:proofErr w:type="gramStart"/>
      <w:r>
        <w:rPr>
          <w:rFonts w:eastAsia="Times New Roman"/>
          <w:szCs w:val="24"/>
        </w:rPr>
        <w:t>appear</w:t>
      </w:r>
      <w:proofErr w:type="gramEnd"/>
      <w:r>
        <w:rPr>
          <w:rFonts w:eastAsia="Times New Roman"/>
          <w:szCs w:val="24"/>
        </w:rPr>
        <w:t xml:space="preserve"> on the NEWMA website from a representative of P 20:10 Services, LLC.  The supporting document requested a Withdrawn status for several reasons, but namely that a study the submitter relied on for data was confined to measuring crude oil, and not LPG.</w:t>
      </w:r>
    </w:p>
    <w:p w14:paraId="7F20F198" w14:textId="5A2D25CD" w:rsidR="00A87C98" w:rsidRDefault="00A87C98" w:rsidP="0060214E">
      <w:pPr>
        <w:rPr>
          <w:rFonts w:eastAsia="Times New Roman"/>
          <w:szCs w:val="24"/>
        </w:rPr>
      </w:pPr>
      <w:r>
        <w:rPr>
          <w:rFonts w:eastAsia="Times New Roman"/>
          <w:szCs w:val="24"/>
        </w:rPr>
        <w:t>After hearing comments from the floor, and considering the supporting document, the committee recommended a Voting status, and the body concurred.</w:t>
      </w:r>
    </w:p>
    <w:p w14:paraId="365F9CC7" w14:textId="7AD19FAB" w:rsidR="00A87C98" w:rsidRDefault="00A87C98" w:rsidP="0060214E">
      <w:pPr>
        <w:rPr>
          <w:rFonts w:eastAsia="Times New Roman"/>
          <w:szCs w:val="24"/>
        </w:rPr>
      </w:pPr>
      <w:r>
        <w:rPr>
          <w:rFonts w:eastAsia="Times New Roman"/>
          <w:szCs w:val="24"/>
        </w:rPr>
        <w:t xml:space="preserve">During a subsequent committee review of this item, it was discovered that the comments made by New York regarding the </w:t>
      </w:r>
      <w:proofErr w:type="gramStart"/>
      <w:r>
        <w:rPr>
          <w:rFonts w:eastAsia="Times New Roman"/>
          <w:szCs w:val="24"/>
        </w:rPr>
        <w:t>2030/2034 date</w:t>
      </w:r>
      <w:proofErr w:type="gramEnd"/>
      <w:r>
        <w:rPr>
          <w:rFonts w:eastAsia="Times New Roman"/>
          <w:szCs w:val="24"/>
        </w:rPr>
        <w:t xml:space="preserve"> were based on the language that appears in the 2025 Handbook.  The committee now points out that during the 2025 Annual NCWM Meeting, a vote was held on MOS-25.1, which changed the date to 2034, and it will appear as such in the 2026 Handbook.  After further review, the committee recommends the following editorial changes to section 2.21.2(c) based on the remaining comments from New York, to include “on or before” prior to January 1, 2027:</w:t>
      </w:r>
    </w:p>
    <w:p w14:paraId="1C5C0ECE" w14:textId="7F52C6AB" w:rsidR="002F612A" w:rsidRDefault="00A87C98" w:rsidP="0060214E">
      <w:pPr>
        <w:spacing w:before="240"/>
        <w:jc w:val="left"/>
        <w:rPr>
          <w:u w:val="single"/>
        </w:rPr>
      </w:pPr>
      <w:r w:rsidRPr="006604E2">
        <w:rPr>
          <w:rFonts w:eastAsia="+mn-ea"/>
          <w:color w:val="000000"/>
          <w:kern w:val="24"/>
          <w:szCs w:val="20"/>
        </w:rPr>
        <w:t xml:space="preserve">(c) Effective January 1, 2034, all metered sales </w:t>
      </w:r>
      <w:r w:rsidRPr="006604E2">
        <w:rPr>
          <w:rFonts w:eastAsia="+mn-ea"/>
          <w:b/>
          <w:bCs/>
          <w:strike/>
          <w:color w:val="000000"/>
          <w:kern w:val="24"/>
          <w:szCs w:val="20"/>
        </w:rPr>
        <w:t>(through all capacities of metering devices, regardless of installation and service date)</w:t>
      </w:r>
      <w:r>
        <w:rPr>
          <w:rFonts w:eastAsia="+mn-ea"/>
          <w:b/>
          <w:bCs/>
          <w:strike/>
          <w:color w:val="000000"/>
          <w:kern w:val="24"/>
          <w:szCs w:val="20"/>
        </w:rPr>
        <w:t xml:space="preserve"> </w:t>
      </w:r>
      <w:r w:rsidRPr="006604E2">
        <w:rPr>
          <w:rFonts w:eastAsia="+mn-ea"/>
          <w:b/>
          <w:bCs/>
          <w:color w:val="000000"/>
          <w:kern w:val="24"/>
          <w:szCs w:val="20"/>
          <w:u w:val="single"/>
        </w:rPr>
        <w:t xml:space="preserve">through devices with a maximum rated capacity equal to or less than 20 gal/min that were placed into service </w:t>
      </w:r>
      <w:r>
        <w:rPr>
          <w:rFonts w:eastAsia="+mn-ea"/>
          <w:b/>
          <w:bCs/>
          <w:color w:val="000000"/>
          <w:kern w:val="24"/>
          <w:szCs w:val="20"/>
          <w:u w:val="single"/>
        </w:rPr>
        <w:t xml:space="preserve">on or before </w:t>
      </w:r>
      <w:r w:rsidRPr="00076368">
        <w:rPr>
          <w:rFonts w:eastAsia="+mn-ea"/>
          <w:b/>
          <w:bCs/>
          <w:strike/>
          <w:color w:val="000000"/>
          <w:kern w:val="24"/>
          <w:szCs w:val="20"/>
          <w:u w:val="single"/>
        </w:rPr>
        <w:t>prior to</w:t>
      </w:r>
      <w:r w:rsidRPr="006604E2">
        <w:rPr>
          <w:rFonts w:eastAsia="+mn-ea"/>
          <w:b/>
          <w:bCs/>
          <w:color w:val="000000"/>
          <w:kern w:val="24"/>
          <w:szCs w:val="20"/>
          <w:u w:val="single"/>
        </w:rPr>
        <w:t xml:space="preserve"> January 1, 2027,</w:t>
      </w:r>
      <w:r w:rsidRPr="006604E2">
        <w:rPr>
          <w:rFonts w:eastAsia="+mn-ea"/>
          <w:color w:val="0070C0"/>
          <w:kern w:val="24"/>
          <w:szCs w:val="20"/>
          <w:u w:val="single"/>
        </w:rPr>
        <w:t xml:space="preserve"> </w:t>
      </w:r>
      <w:r w:rsidRPr="006604E2">
        <w:rPr>
          <w:rFonts w:eastAsia="+mn-ea"/>
          <w:color w:val="000000"/>
          <w:kern w:val="24"/>
          <w:szCs w:val="20"/>
        </w:rPr>
        <w:t xml:space="preserve">shall be accomplished by use of a metering system that automatically </w:t>
      </w:r>
      <w:r w:rsidRPr="006604E2">
        <w:rPr>
          <w:rFonts w:eastAsia="+mn-ea"/>
          <w:b/>
          <w:bCs/>
          <w:color w:val="000000"/>
          <w:kern w:val="24"/>
          <w:szCs w:val="20"/>
          <w:u w:val="single"/>
        </w:rPr>
        <w:t>and electronically</w:t>
      </w:r>
      <w:r w:rsidRPr="006604E2">
        <w:rPr>
          <w:rFonts w:eastAsia="+mn-ea"/>
          <w:color w:val="0070C0"/>
          <w:kern w:val="24"/>
          <w:szCs w:val="20"/>
          <w:u w:val="single"/>
        </w:rPr>
        <w:t xml:space="preserve"> </w:t>
      </w:r>
      <w:r w:rsidRPr="006604E2">
        <w:rPr>
          <w:rFonts w:eastAsia="+mn-ea"/>
          <w:color w:val="000000"/>
          <w:kern w:val="24"/>
          <w:szCs w:val="20"/>
        </w:rPr>
        <w:t xml:space="preserve">compensates for </w:t>
      </w:r>
      <w:r w:rsidRPr="006604E2">
        <w:rPr>
          <w:rFonts w:eastAsia="+mn-ea"/>
          <w:b/>
          <w:bCs/>
          <w:color w:val="000000"/>
          <w:kern w:val="24"/>
          <w:szCs w:val="20"/>
          <w:u w:val="single"/>
        </w:rPr>
        <w:t>the effects of</w:t>
      </w:r>
      <w:r w:rsidRPr="006604E2">
        <w:rPr>
          <w:rFonts w:eastAsia="+mn-ea"/>
          <w:color w:val="0070C0"/>
          <w:kern w:val="24"/>
          <w:szCs w:val="20"/>
          <w:u w:val="single"/>
        </w:rPr>
        <w:t xml:space="preserve"> </w:t>
      </w:r>
      <w:r w:rsidRPr="006604E2">
        <w:rPr>
          <w:rFonts w:eastAsia="+mn-ea"/>
          <w:color w:val="000000"/>
          <w:kern w:val="24"/>
          <w:szCs w:val="20"/>
        </w:rPr>
        <w:t>temperature.</w:t>
      </w:r>
    </w:p>
    <w:p w14:paraId="0B3B3D60" w14:textId="001763CB" w:rsidR="00C8190C" w:rsidRDefault="00C8190C" w:rsidP="0060214E">
      <w:pPr>
        <w:spacing w:before="240"/>
        <w:jc w:val="left"/>
        <w:rPr>
          <w:u w:val="single"/>
        </w:rPr>
      </w:pPr>
      <w:r>
        <w:rPr>
          <w:u w:val="single"/>
        </w:rPr>
        <w:t>S</w:t>
      </w:r>
      <w:r w:rsidRPr="00EF1ACC">
        <w:rPr>
          <w:u w:val="single"/>
        </w:rPr>
        <w:t>WMA 202</w:t>
      </w:r>
      <w:r>
        <w:rPr>
          <w:u w:val="single"/>
        </w:rPr>
        <w:t>5</w:t>
      </w:r>
      <w:r w:rsidRPr="00EF1ACC">
        <w:rPr>
          <w:u w:val="single"/>
        </w:rPr>
        <w:t xml:space="preserve"> </w:t>
      </w:r>
      <w:r w:rsidR="00A60E61">
        <w:rPr>
          <w:u w:val="single"/>
        </w:rPr>
        <w:t>Annual</w:t>
      </w:r>
      <w:r w:rsidRPr="00EF1ACC">
        <w:rPr>
          <w:u w:val="single"/>
        </w:rPr>
        <w:t xml:space="preserve"> Meeting</w:t>
      </w:r>
      <w:r>
        <w:rPr>
          <w:u w:val="single"/>
        </w:rPr>
        <w:t>:</w:t>
      </w:r>
    </w:p>
    <w:p w14:paraId="5968D2D7" w14:textId="498AF4CA" w:rsidR="000C4A53" w:rsidRDefault="000C4A53" w:rsidP="002F612A">
      <w:pPr>
        <w:rPr>
          <w:rFonts w:eastAsia="Times New Roman"/>
          <w:szCs w:val="24"/>
        </w:rPr>
      </w:pPr>
      <w:r>
        <w:rPr>
          <w:rFonts w:eastAsia="Times New Roman"/>
          <w:szCs w:val="24"/>
        </w:rPr>
        <w:t xml:space="preserve">Mr. Chris Wagner, with the </w:t>
      </w:r>
      <w:proofErr w:type="gramStart"/>
      <w:r w:rsidRPr="00B34325">
        <w:rPr>
          <w:rFonts w:eastAsia="Times New Roman"/>
          <w:szCs w:val="24"/>
        </w:rPr>
        <w:t>NPGA</w:t>
      </w:r>
      <w:proofErr w:type="gramEnd"/>
      <w:r w:rsidRPr="00B34325">
        <w:rPr>
          <w:rFonts w:eastAsia="Times New Roman"/>
          <w:szCs w:val="24"/>
        </w:rPr>
        <w:t xml:space="preserve"> </w:t>
      </w:r>
      <w:r>
        <w:rPr>
          <w:rFonts w:eastAsia="Times New Roman"/>
          <w:szCs w:val="24"/>
        </w:rPr>
        <w:t xml:space="preserve">commented that </w:t>
      </w:r>
      <w:r w:rsidRPr="00B34325">
        <w:rPr>
          <w:rFonts w:eastAsia="Times New Roman"/>
          <w:szCs w:val="24"/>
        </w:rPr>
        <w:t xml:space="preserve">members are preparing for a $198 million infrastructure investment to comply with the retroactive requirements for temperature compensation. Industry and manufacturers admittedly have no data to substantiate or refute existing study that has been submitted into the record related to temperature compensation.  NPGA has developed an initial study proposal in partnership with meter manufacturers, NIST, dispenser manufacturers, propane marketers, and the Propane Education and Research Council but seeks State Weights and Measures input prior to finalization of test methodology and protocol and in witnessing of proposed testing.  NPGA has secured all funding necessary to complete the study.  NPGA seeks </w:t>
      </w:r>
      <w:r>
        <w:rPr>
          <w:rFonts w:eastAsia="Times New Roman"/>
          <w:szCs w:val="24"/>
        </w:rPr>
        <w:t>A</w:t>
      </w:r>
      <w:r w:rsidRPr="00231746">
        <w:rPr>
          <w:rFonts w:eastAsia="Times New Roman"/>
          <w:szCs w:val="24"/>
        </w:rPr>
        <w:t xml:space="preserve">ssigned or </w:t>
      </w:r>
      <w:r>
        <w:rPr>
          <w:rFonts w:eastAsia="Times New Roman"/>
          <w:szCs w:val="24"/>
        </w:rPr>
        <w:t>D</w:t>
      </w:r>
      <w:r w:rsidRPr="00231746">
        <w:rPr>
          <w:rFonts w:eastAsia="Times New Roman"/>
          <w:szCs w:val="24"/>
        </w:rPr>
        <w:t>evelopi</w:t>
      </w:r>
      <w:r>
        <w:rPr>
          <w:rFonts w:eastAsia="Times New Roman"/>
          <w:szCs w:val="24"/>
        </w:rPr>
        <w:t xml:space="preserve">ng </w:t>
      </w:r>
      <w:r w:rsidRPr="00231746">
        <w:rPr>
          <w:rFonts w:eastAsia="Times New Roman"/>
          <w:szCs w:val="24"/>
        </w:rPr>
        <w:t>status.</w:t>
      </w:r>
      <w:r w:rsidRPr="0092725F">
        <w:rPr>
          <w:rFonts w:eastAsia="Times New Roman"/>
          <w:szCs w:val="24"/>
        </w:rPr>
        <w:t xml:space="preserve"> </w:t>
      </w:r>
      <w:r>
        <w:rPr>
          <w:rFonts w:eastAsia="Times New Roman"/>
          <w:szCs w:val="24"/>
        </w:rPr>
        <w:t xml:space="preserve">           </w:t>
      </w:r>
    </w:p>
    <w:p w14:paraId="6F2B078F" w14:textId="01D13C0B" w:rsidR="000C4A53" w:rsidRPr="00A43BF4" w:rsidRDefault="000C4A53" w:rsidP="002F612A">
      <w:pPr>
        <w:rPr>
          <w:rFonts w:eastAsia="Times New Roman"/>
          <w:szCs w:val="24"/>
        </w:rPr>
      </w:pPr>
      <w:r>
        <w:rPr>
          <w:rFonts w:eastAsia="Times New Roman"/>
          <w:szCs w:val="24"/>
        </w:rPr>
        <w:t>Ms. Alison Wilkinson with the state of Maryland agrees with NPGA that this item should be given a Developing status.</w:t>
      </w:r>
    </w:p>
    <w:p w14:paraId="2F0AD637" w14:textId="40942E41" w:rsidR="00BC01D1" w:rsidRPr="000C4A53" w:rsidRDefault="000C4A53" w:rsidP="002F612A">
      <w:pPr>
        <w:jc w:val="left"/>
        <w:rPr>
          <w:rFonts w:eastAsia="Times New Roman"/>
          <w:szCs w:val="24"/>
        </w:rPr>
      </w:pPr>
      <w:r>
        <w:rPr>
          <w:rFonts w:eastAsia="Times New Roman"/>
          <w:szCs w:val="24"/>
        </w:rPr>
        <w:t>Based on the comments made from the floor the Committee recommends a Developing status.</w:t>
      </w:r>
    </w:p>
    <w:p w14:paraId="1AA5D8D4" w14:textId="0AAA854F" w:rsidR="006540E5" w:rsidRDefault="006540E5" w:rsidP="006540E5">
      <w:r>
        <w:t xml:space="preserve">Additional letters, </w:t>
      </w:r>
      <w:proofErr w:type="gramStart"/>
      <w:r>
        <w:t>presentation</w:t>
      </w:r>
      <w:proofErr w:type="gramEnd"/>
      <w:r>
        <w:t xml:space="preserve"> and data may have been submitted for consideration with this item.  Please refer to </w:t>
      </w:r>
      <w:hyperlink r:id="rId19" w:history="1">
        <w:r w:rsidRPr="002A1164">
          <w:rPr>
            <w:rStyle w:val="Hyperlink"/>
          </w:rPr>
          <w:t>https://www.ncwm.com/publication-15</w:t>
        </w:r>
      </w:hyperlink>
      <w:r>
        <w:t xml:space="preserve"> to </w:t>
      </w:r>
      <w:proofErr w:type="gramStart"/>
      <w:r>
        <w:t>review these documents.</w:t>
      </w:r>
      <w:proofErr w:type="gramEnd"/>
    </w:p>
    <w:p w14:paraId="6EC577BC" w14:textId="02F4121A" w:rsidR="00C016C5" w:rsidRDefault="00C016C5" w:rsidP="0029398A">
      <w:pPr>
        <w:pStyle w:val="ItemHeading"/>
      </w:pPr>
      <w:bookmarkStart w:id="65" w:name="_Toc224019617"/>
      <w:r>
        <w:lastRenderedPageBreak/>
        <w:t>MOS-26.3</w:t>
      </w:r>
      <w:r w:rsidRPr="003C355F">
        <w:tab/>
      </w:r>
      <w:r w:rsidR="00A222A5">
        <w:t>A</w:t>
      </w:r>
      <w:r w:rsidRPr="003C355F">
        <w:tab/>
      </w:r>
      <w:r>
        <w:t>Section 2.20 Gasoline and Gasoline Oxygenate Blends</w:t>
      </w:r>
      <w:bookmarkEnd w:id="65"/>
    </w:p>
    <w:p w14:paraId="288F6015" w14:textId="77777777" w:rsidR="00C016C5" w:rsidRPr="00E025F9" w:rsidRDefault="00C016C5" w:rsidP="00C016C5">
      <w:pPr>
        <w:spacing w:after="0"/>
        <w:rPr>
          <w:b/>
        </w:rPr>
      </w:pPr>
      <w:r w:rsidRPr="00E025F9">
        <w:rPr>
          <w:b/>
        </w:rPr>
        <w:t>Source:</w:t>
      </w:r>
    </w:p>
    <w:p w14:paraId="1F65D7FA" w14:textId="1636AE95" w:rsidR="00C016C5" w:rsidRDefault="00C016C5" w:rsidP="00C016C5">
      <w:r>
        <w:t>American Petroleum Institute</w:t>
      </w:r>
    </w:p>
    <w:p w14:paraId="211B5D33" w14:textId="77777777" w:rsidR="00C016C5" w:rsidRPr="00E025F9" w:rsidRDefault="00C016C5" w:rsidP="00C016C5">
      <w:pPr>
        <w:spacing w:after="0"/>
        <w:rPr>
          <w:b/>
        </w:rPr>
      </w:pPr>
      <w:r w:rsidRPr="00E025F9">
        <w:rPr>
          <w:b/>
        </w:rPr>
        <w:t>Purpose:</w:t>
      </w:r>
    </w:p>
    <w:p w14:paraId="31D33D07" w14:textId="6000F0D4" w:rsidR="00C016C5" w:rsidRDefault="00C016C5" w:rsidP="00C016C5">
      <w:r w:rsidRPr="003B4D43">
        <w:rPr>
          <w:szCs w:val="20"/>
        </w:rPr>
        <w:t>Add requirements to the method of sale for liquid measuring devices that perform temperature compensation and/or density correction.</w:t>
      </w:r>
    </w:p>
    <w:p w14:paraId="0FD904AC" w14:textId="77777777" w:rsidR="00C016C5" w:rsidRPr="00E025F9" w:rsidRDefault="00C016C5" w:rsidP="00C016C5">
      <w:pPr>
        <w:spacing w:after="0"/>
        <w:rPr>
          <w:b/>
        </w:rPr>
      </w:pPr>
      <w:r w:rsidRPr="00E025F9">
        <w:rPr>
          <w:b/>
        </w:rPr>
        <w:t>Item under Consideration:</w:t>
      </w:r>
    </w:p>
    <w:p w14:paraId="1394E6C5" w14:textId="5D814C9E" w:rsidR="00C016C5" w:rsidRDefault="0076491B" w:rsidP="00C016C5">
      <w:r>
        <w:t>Amend NIST Handbook 130 Uniform Regulation for the Method of Sale of Commodities as follows:</w:t>
      </w:r>
    </w:p>
    <w:p w14:paraId="3588A363" w14:textId="77777777" w:rsidR="0076491B" w:rsidRPr="00312E2A" w:rsidRDefault="0076491B" w:rsidP="0076491B">
      <w:pPr>
        <w:spacing w:after="0" w:line="276" w:lineRule="auto"/>
        <w:rPr>
          <w:rFonts w:eastAsia="Times New Roman"/>
          <w:szCs w:val="20"/>
        </w:rPr>
      </w:pPr>
      <w:r w:rsidRPr="00312E2A">
        <w:rPr>
          <w:rFonts w:eastAsia="Yu Gothic"/>
          <w:b/>
          <w:bCs/>
          <w:color w:val="000000"/>
          <w:szCs w:val="20"/>
        </w:rPr>
        <w:t>2.20. Gasoline and Gasoline Oxygenate Blends</w:t>
      </w:r>
    </w:p>
    <w:p w14:paraId="55F0EE85" w14:textId="77777777" w:rsidR="0076491B" w:rsidRPr="00A87C98" w:rsidRDefault="0076491B" w:rsidP="0076491B">
      <w:pPr>
        <w:pStyle w:val="Default"/>
        <w:ind w:left="720"/>
        <w:rPr>
          <w:rFonts w:ascii="Times New Roman" w:hAnsi="Times New Roman" w:cs="Times New Roman"/>
          <w:sz w:val="20"/>
          <w:szCs w:val="20"/>
        </w:rPr>
      </w:pPr>
      <w:r w:rsidRPr="00A87C98">
        <w:rPr>
          <w:rFonts w:ascii="Times New Roman" w:hAnsi="Times New Roman" w:cs="Times New Roman"/>
          <w:b/>
          <w:bCs/>
          <w:sz w:val="20"/>
          <w:szCs w:val="20"/>
        </w:rPr>
        <w:t xml:space="preserve">2.20.1. Method of Retail Sale. </w:t>
      </w:r>
      <w:r w:rsidRPr="00A87C98">
        <w:rPr>
          <w:rFonts w:ascii="Times New Roman" w:hAnsi="Times New Roman" w:cs="Times New Roman"/>
          <w:sz w:val="20"/>
          <w:szCs w:val="20"/>
        </w:rPr>
        <w:t xml:space="preserve">– Type of Oxygenate must be Disclosed. – All automotive gasoline or automotive gasoline-oxygenate blends kept, offered, or exposed for sale, or sold at retail containing at least 1.5 mass percent oxygen shall be identified as “with” or “containing” (or similar wording) the predominant oxygenate in the engine fuel. For example, the label may read “contains ethanol” or “with MTBE.” The oxygenate contributing the largest mass percent oxygen to the blend shall be considered the predominant oxygenate. Where mixtures of only ethers are present, the retailer may post the predominant oxygenate followed by the phrase “or other ethers” or alternatively post the phrase “contains MTBE or other ethers.” In addition, gasoline-methanol blend fuels containing more than 0.3 % by volume methanol shall be identified as “with” or “containing” methanol. This information shall be posted on the upper 50 % of the dispenser front panel in a position clear and conspicuous from the driver’s position in a type at least 12.7 mm (1/2 in) in height, 1.5 mm (1/16 in) stroke (width of type). </w:t>
      </w:r>
    </w:p>
    <w:p w14:paraId="16FB5131" w14:textId="77777777" w:rsidR="0076491B" w:rsidRPr="00312E2A" w:rsidRDefault="0076491B" w:rsidP="0076491B">
      <w:pPr>
        <w:spacing w:before="100" w:after="0" w:line="216" w:lineRule="auto"/>
        <w:ind w:left="720"/>
        <w:rPr>
          <w:rFonts w:eastAsia="Yu Gothic"/>
          <w:b/>
          <w:bCs/>
          <w:color w:val="000000"/>
          <w:szCs w:val="20"/>
        </w:rPr>
      </w:pPr>
      <w:r w:rsidRPr="00312E2A">
        <w:rPr>
          <w:szCs w:val="20"/>
        </w:rPr>
        <w:t>(Amended 1996)</w:t>
      </w:r>
    </w:p>
    <w:p w14:paraId="4266755B" w14:textId="77777777" w:rsidR="0076491B" w:rsidRPr="00312E2A" w:rsidRDefault="0076491B" w:rsidP="0076491B">
      <w:pPr>
        <w:spacing w:before="100" w:after="0" w:line="216" w:lineRule="auto"/>
        <w:ind w:left="720"/>
        <w:rPr>
          <w:rFonts w:eastAsia="Times New Roman"/>
          <w:szCs w:val="20"/>
        </w:rPr>
      </w:pPr>
      <w:r w:rsidRPr="00312E2A">
        <w:rPr>
          <w:rFonts w:eastAsia="Yu Gothic"/>
          <w:b/>
          <w:bCs/>
          <w:color w:val="000000"/>
          <w:szCs w:val="20"/>
        </w:rPr>
        <w:t xml:space="preserve">2.20.2 Product Transfer Document Requirements. </w:t>
      </w:r>
      <w:r w:rsidRPr="00312E2A">
        <w:rPr>
          <w:rFonts w:eastAsia="Yu Gothic"/>
          <w:color w:val="000000"/>
          <w:szCs w:val="20"/>
        </w:rPr>
        <w:t xml:space="preserve">– </w:t>
      </w:r>
      <w:r w:rsidRPr="00312E2A">
        <w:rPr>
          <w:rFonts w:eastAsia="+mn-ea"/>
          <w:color w:val="000000"/>
          <w:kern w:val="24"/>
          <w:szCs w:val="20"/>
        </w:rPr>
        <w:t xml:space="preserve">The retailer shall be provided information that complies with PTD requirements for gasoline, gasoline additives, and gasoline regulated </w:t>
      </w:r>
      <w:proofErr w:type="spellStart"/>
      <w:r w:rsidRPr="00312E2A">
        <w:rPr>
          <w:rFonts w:eastAsia="+mn-ea"/>
          <w:color w:val="000000"/>
          <w:kern w:val="24"/>
          <w:szCs w:val="20"/>
        </w:rPr>
        <w:t>blendstocks</w:t>
      </w:r>
      <w:proofErr w:type="spellEnd"/>
      <w:r w:rsidRPr="00312E2A">
        <w:rPr>
          <w:rFonts w:eastAsia="+mn-ea"/>
          <w:color w:val="000000"/>
          <w:kern w:val="24"/>
          <w:szCs w:val="20"/>
        </w:rPr>
        <w:t xml:space="preserve"> </w:t>
      </w:r>
      <w:hyperlink r:id="rId20" w:history="1">
        <w:r w:rsidRPr="00312E2A">
          <w:rPr>
            <w:rFonts w:eastAsia="+mn-ea"/>
            <w:b/>
            <w:bCs/>
            <w:color w:val="0563C1"/>
            <w:kern w:val="24"/>
            <w:szCs w:val="20"/>
            <w:u w:val="single"/>
          </w:rPr>
          <w:t>40 C.F.R. § 1090.1110</w:t>
        </w:r>
      </w:hyperlink>
      <w:hyperlink r:id="rId21" w:history="1">
        <w:r w:rsidRPr="00312E2A">
          <w:rPr>
            <w:rFonts w:eastAsia="+mn-ea"/>
            <w:color w:val="0563C1"/>
            <w:kern w:val="24"/>
            <w:szCs w:val="20"/>
            <w:u w:val="single"/>
          </w:rPr>
          <w:t xml:space="preserve">, </w:t>
        </w:r>
      </w:hyperlink>
      <w:r w:rsidRPr="00312E2A">
        <w:rPr>
          <w:rFonts w:eastAsia="+mn-ea"/>
          <w:color w:val="000000"/>
          <w:kern w:val="24"/>
          <w:szCs w:val="20"/>
        </w:rPr>
        <w:t xml:space="preserve">at the time of delivery of the fuel, on product transfer documents such as an invoice, bill of lading, shipping paper, or other documentation. Additional declarations may be required for specific fuels </w:t>
      </w:r>
      <w:r w:rsidRPr="0076491B">
        <w:rPr>
          <w:rFonts w:eastAsia="+mn-ea"/>
          <w:b/>
          <w:bCs/>
          <w:color w:val="000000"/>
          <w:kern w:val="24"/>
          <w:szCs w:val="20"/>
          <w:u w:val="single"/>
        </w:rPr>
        <w:t>and/or measuring devices:</w:t>
      </w:r>
      <w:r w:rsidRPr="00312E2A">
        <w:rPr>
          <w:rFonts w:eastAsia="+mn-ea"/>
          <w:color w:val="000000"/>
          <w:kern w:val="24"/>
          <w:szCs w:val="20"/>
          <w:u w:val="single"/>
        </w:rPr>
        <w:t xml:space="preserve"> </w:t>
      </w:r>
      <w:r w:rsidRPr="00312E2A">
        <w:rPr>
          <w:rFonts w:eastAsia="Times New Roman"/>
          <w:szCs w:val="20"/>
        </w:rPr>
        <w:t xml:space="preserve"> </w:t>
      </w:r>
    </w:p>
    <w:p w14:paraId="6FB0F282" w14:textId="77777777" w:rsidR="0076491B" w:rsidRPr="00312E2A" w:rsidRDefault="0076491B" w:rsidP="0076491B">
      <w:pPr>
        <w:spacing w:before="100" w:after="0" w:line="216" w:lineRule="auto"/>
        <w:ind w:left="1440"/>
        <w:rPr>
          <w:rFonts w:eastAsia="Times New Roman"/>
          <w:szCs w:val="20"/>
        </w:rPr>
      </w:pPr>
      <w:r w:rsidRPr="00312E2A">
        <w:rPr>
          <w:rFonts w:eastAsia="+mn-ea"/>
          <w:color w:val="000000"/>
          <w:kern w:val="24"/>
          <w:szCs w:val="20"/>
        </w:rPr>
        <w:t>(a) For fuels containing multiple oxygenates or oxygenates other than ethanol a declaration of the predominant oxygenate or combination of oxygenates present in concentrations sufficient to yield an oxygenate content of at least 1.0 % by volume in the fuel. Where mixtures of only ethers are present, the fuel supplier may identify either the predominant oxygenate in the fuel (i.e., the oxygenate contributing the largest mass percent oxygen) or alternatively, use the phrase “contains MTBE or other ethers.”</w:t>
      </w:r>
    </w:p>
    <w:p w14:paraId="725445E2" w14:textId="77777777" w:rsidR="0076491B" w:rsidRPr="00312E2A" w:rsidRDefault="0076491B" w:rsidP="0076491B">
      <w:pPr>
        <w:spacing w:before="100" w:after="0" w:line="216" w:lineRule="auto"/>
        <w:ind w:left="1440"/>
        <w:rPr>
          <w:rFonts w:eastAsia="+mn-ea"/>
          <w:color w:val="000000"/>
          <w:kern w:val="24"/>
          <w:szCs w:val="20"/>
        </w:rPr>
      </w:pPr>
      <w:r w:rsidRPr="00312E2A">
        <w:rPr>
          <w:rFonts w:eastAsia="+mn-ea"/>
          <w:color w:val="000000"/>
          <w:kern w:val="24"/>
          <w:szCs w:val="20"/>
        </w:rPr>
        <w:t>(b) For fuels containing more than 0.3 % by volume methanol a declaration shall be identified as “with” or “containing” methanol.</w:t>
      </w:r>
    </w:p>
    <w:p w14:paraId="2609D53B" w14:textId="77777777" w:rsidR="0076491B" w:rsidRPr="00312E2A" w:rsidRDefault="0076491B" w:rsidP="0076491B">
      <w:pPr>
        <w:spacing w:before="100" w:after="0" w:line="216" w:lineRule="auto"/>
        <w:ind w:left="1440"/>
        <w:rPr>
          <w:rFonts w:eastAsia="+mn-ea"/>
          <w:color w:val="000000"/>
          <w:kern w:val="24"/>
          <w:szCs w:val="20"/>
        </w:rPr>
      </w:pPr>
    </w:p>
    <w:p w14:paraId="62460216" w14:textId="77777777" w:rsidR="0076491B" w:rsidRPr="0076491B" w:rsidRDefault="0076491B" w:rsidP="0076491B">
      <w:pPr>
        <w:ind w:left="1440"/>
        <w:rPr>
          <w:b/>
          <w:bCs/>
          <w:szCs w:val="20"/>
          <w:u w:val="single"/>
        </w:rPr>
      </w:pPr>
      <w:r w:rsidRPr="0076491B">
        <w:rPr>
          <w:rFonts w:eastAsia="+mn-ea"/>
          <w:b/>
          <w:bCs/>
          <w:color w:val="000000"/>
          <w:kern w:val="24"/>
          <w:szCs w:val="20"/>
          <w:u w:val="single"/>
        </w:rPr>
        <w:t xml:space="preserve">(c) </w:t>
      </w:r>
      <w:r w:rsidRPr="0076491B">
        <w:rPr>
          <w:b/>
          <w:bCs/>
          <w:szCs w:val="20"/>
          <w:u w:val="single"/>
        </w:rPr>
        <w:t xml:space="preserve">A written invoice based on a reading of a device that is equipped with an automatic or nonautomatic temperature compensator shall show the net volume delivered and that the volume delivered has been adjusted to the volume at 15 °C (60 °F). </w:t>
      </w:r>
    </w:p>
    <w:p w14:paraId="32CAF509" w14:textId="77777777" w:rsidR="0076491B" w:rsidRPr="00312E2A" w:rsidRDefault="0076491B" w:rsidP="0076491B">
      <w:pPr>
        <w:ind w:left="1440"/>
        <w:rPr>
          <w:szCs w:val="20"/>
          <w:u w:val="single"/>
        </w:rPr>
      </w:pPr>
      <w:r w:rsidRPr="0076491B">
        <w:rPr>
          <w:rFonts w:eastAsia="+mn-ea"/>
          <w:b/>
          <w:bCs/>
          <w:color w:val="000000"/>
          <w:kern w:val="24"/>
          <w:szCs w:val="20"/>
          <w:u w:val="single"/>
        </w:rPr>
        <w:t>(d)</w:t>
      </w:r>
      <w:r w:rsidRPr="0076491B">
        <w:rPr>
          <w:b/>
          <w:bCs/>
          <w:szCs w:val="20"/>
          <w:u w:val="single"/>
        </w:rPr>
        <w:t xml:space="preserve"> A written invoice based on a reading of a device that is equipped with an automatic or nonautomatic density-correction system shall show the excess volume for the finished product and the net standard volume inclusive of the excess volume for the finished product adjusted to the volume at 15 °C (60 °F).</w:t>
      </w:r>
    </w:p>
    <w:p w14:paraId="243C5C14" w14:textId="2F273B74" w:rsidR="0076491B" w:rsidRDefault="0076491B" w:rsidP="0076491B">
      <w:r w:rsidRPr="00312E2A">
        <w:rPr>
          <w:rFonts w:eastAsia="+mn-ea"/>
          <w:color w:val="000000"/>
          <w:kern w:val="24"/>
          <w:szCs w:val="20"/>
        </w:rPr>
        <w:t xml:space="preserve">(Added 1984) (Amended 1985, 1986, 1991, 1996, 2014, 2022, </w:t>
      </w:r>
      <w:r w:rsidRPr="0076491B">
        <w:rPr>
          <w:rFonts w:eastAsia="+mn-ea"/>
          <w:b/>
          <w:bCs/>
          <w:strike/>
          <w:color w:val="000000"/>
          <w:kern w:val="24"/>
          <w:szCs w:val="20"/>
        </w:rPr>
        <w:t>and</w:t>
      </w:r>
      <w:r w:rsidRPr="0076491B">
        <w:rPr>
          <w:rFonts w:eastAsia="+mn-ea"/>
          <w:b/>
          <w:bCs/>
          <w:color w:val="000000"/>
          <w:kern w:val="24"/>
          <w:szCs w:val="20"/>
        </w:rPr>
        <w:t xml:space="preserve"> </w:t>
      </w:r>
      <w:r w:rsidRPr="00312E2A">
        <w:rPr>
          <w:rFonts w:eastAsia="+mn-ea"/>
          <w:color w:val="000000"/>
          <w:kern w:val="24"/>
          <w:szCs w:val="20"/>
        </w:rPr>
        <w:t>2023</w:t>
      </w:r>
      <w:r w:rsidRPr="0076491B">
        <w:rPr>
          <w:rFonts w:eastAsia="+mn-ea"/>
          <w:b/>
          <w:bCs/>
          <w:color w:val="000000"/>
          <w:kern w:val="24"/>
          <w:szCs w:val="20"/>
          <w:u w:val="single"/>
        </w:rPr>
        <w:t>, and 202X</w:t>
      </w:r>
      <w:r w:rsidRPr="00312E2A">
        <w:rPr>
          <w:rFonts w:eastAsia="+mn-ea"/>
          <w:color w:val="000000"/>
          <w:kern w:val="24"/>
          <w:szCs w:val="20"/>
        </w:rPr>
        <w:t>)</w:t>
      </w:r>
    </w:p>
    <w:p w14:paraId="5265D474" w14:textId="77777777" w:rsidR="00C016C5" w:rsidRDefault="00C016C5" w:rsidP="00C016C5">
      <w:pPr>
        <w:keepNext/>
        <w:spacing w:after="0"/>
      </w:pPr>
      <w:r w:rsidRPr="00E025F9">
        <w:rPr>
          <w:b/>
        </w:rPr>
        <w:t xml:space="preserve">Previous </w:t>
      </w:r>
      <w:r>
        <w:rPr>
          <w:b/>
        </w:rPr>
        <w:t>Status</w:t>
      </w:r>
      <w:r w:rsidRPr="00E025F9">
        <w:rPr>
          <w:b/>
        </w:rPr>
        <w:t>:</w:t>
      </w:r>
    </w:p>
    <w:p w14:paraId="69D7D2CD" w14:textId="137703D6" w:rsidR="00C016C5" w:rsidRDefault="0076491B" w:rsidP="0029398A">
      <w:r>
        <w:t>2026</w:t>
      </w:r>
      <w:r w:rsidR="00C016C5">
        <w:t xml:space="preserve">: New Proposal </w:t>
      </w:r>
    </w:p>
    <w:p w14:paraId="17BEF651" w14:textId="77777777" w:rsidR="00C016C5" w:rsidRPr="00AB010B" w:rsidRDefault="00C016C5" w:rsidP="00C016C5">
      <w:pPr>
        <w:keepNext/>
        <w:spacing w:after="0"/>
        <w:rPr>
          <w:b/>
        </w:rPr>
      </w:pPr>
      <w:r w:rsidRPr="00AB010B">
        <w:rPr>
          <w:b/>
        </w:rPr>
        <w:lastRenderedPageBreak/>
        <w:t>Original Justification:</w:t>
      </w:r>
    </w:p>
    <w:p w14:paraId="38B077D6" w14:textId="77777777" w:rsidR="0076491B" w:rsidRPr="003B4D43" w:rsidRDefault="0076491B" w:rsidP="0076491B">
      <w:pPr>
        <w:rPr>
          <w:szCs w:val="20"/>
        </w:rPr>
      </w:pPr>
      <w:r w:rsidRPr="003B4D43">
        <w:rPr>
          <w:szCs w:val="20"/>
        </w:rPr>
        <w:t xml:space="preserve">Section IV., B. Method of Sale of Commodities, gasoline and gasoline oxygenate blends does not have a requirement for an invoice to include a statement that a calculated volume has been adjusted to a temperature of 15 °C (60 °F).  The proposed language adds such a requirement. </w:t>
      </w:r>
    </w:p>
    <w:p w14:paraId="64F22C6C" w14:textId="77777777" w:rsidR="0076491B" w:rsidRPr="003B4D43" w:rsidRDefault="0076491B" w:rsidP="0076491B">
      <w:pPr>
        <w:rPr>
          <w:szCs w:val="20"/>
        </w:rPr>
      </w:pPr>
      <w:r w:rsidRPr="003B4D43">
        <w:rPr>
          <w:szCs w:val="20"/>
        </w:rPr>
        <w:t xml:space="preserve">Handbook 44 allows the use of automatic and nonautomatic temperature compensators to be used to calculate the net volume of the product at a reference temperature, but there is not a requirement in the Method of Sale to reflect that information on the invoice, though it is industry practice to do so.  Additionally, due to the fact that the volume of gasoline and ethanol when blended is more than the volume of the two liquids measured separately, a proposal to modify Handbook 44 has been submitted to the NCWM to clarify that it is acceptable to use specific density-correction methods that allow for the accurate determination of volume growth that occurs when gasoline is blended with ethanol to make finished gasoline. </w:t>
      </w:r>
    </w:p>
    <w:p w14:paraId="399F29B7" w14:textId="77777777" w:rsidR="0076491B" w:rsidRPr="003B4D43" w:rsidRDefault="0076491B" w:rsidP="0076491B">
      <w:pPr>
        <w:rPr>
          <w:szCs w:val="20"/>
        </w:rPr>
      </w:pPr>
      <w:r w:rsidRPr="003B4D43">
        <w:rPr>
          <w:szCs w:val="20"/>
        </w:rPr>
        <w:t xml:space="preserve">Automatic temperature compensators have been used for decades throughout the United States to calculate the net volume of the fuel being sold at terminals. Including a statement on the invoice to that effect identifies that the calculation has been done.  </w:t>
      </w:r>
    </w:p>
    <w:p w14:paraId="2A101C56" w14:textId="77777777" w:rsidR="0076491B" w:rsidRPr="003B4D43" w:rsidRDefault="0076491B" w:rsidP="0076491B">
      <w:pPr>
        <w:rPr>
          <w:szCs w:val="20"/>
        </w:rPr>
      </w:pPr>
      <w:r w:rsidRPr="003B4D43">
        <w:rPr>
          <w:szCs w:val="20"/>
        </w:rPr>
        <w:t xml:space="preserve">In 2019, the American Petroleum Institute published a Manual of Petroleum Measurement Standards (MPMS) Chapter 11.3.4, </w:t>
      </w:r>
      <w:r w:rsidRPr="003B4D43">
        <w:rPr>
          <w:i/>
          <w:iCs/>
          <w:szCs w:val="20"/>
        </w:rPr>
        <w:t>Miscellaneous Hydrocarbon Properties - Denatured Ethanol and Gasoline Component Blend Densities and Volume Correction Factors,</w:t>
      </w:r>
      <w:r w:rsidRPr="003B4D43">
        <w:rPr>
          <w:szCs w:val="20"/>
        </w:rPr>
        <w:t xml:space="preserve"> that identifies multiple blending scenarios to calculate the excess volume that occurs when gasoline and ethanol are blended.  Ch. 11.3.4 is a subchapter of the parent document Ch. 11, </w:t>
      </w:r>
      <w:r w:rsidRPr="003B4D43">
        <w:rPr>
          <w:i/>
          <w:iCs/>
          <w:szCs w:val="20"/>
        </w:rPr>
        <w:t>Physical Properties Data</w:t>
      </w:r>
      <w:r w:rsidRPr="003B4D43">
        <w:rPr>
          <w:szCs w:val="20"/>
        </w:rPr>
        <w:t xml:space="preserve">. </w:t>
      </w:r>
    </w:p>
    <w:p w14:paraId="471BD453" w14:textId="77777777" w:rsidR="0076491B" w:rsidRPr="003B4D43" w:rsidRDefault="0076491B" w:rsidP="0076491B">
      <w:pPr>
        <w:rPr>
          <w:szCs w:val="20"/>
        </w:rPr>
      </w:pPr>
      <w:r w:rsidRPr="003B4D43">
        <w:rPr>
          <w:szCs w:val="20"/>
        </w:rPr>
        <w:t xml:space="preserve">Ch. 11 is used throughout the petroleum industry to ensure the physical properties of the fuels are properly assessed to ensure that the fuel measured throughout the manufacturing and distribution system is done accurately and transparently using industry recognized standards.  Indeed, measurements are taken at the refinery when fuel is moved into a pipeline, when the fuel is moved out of the pipeline into a terminal, and when the fuel is loaded from the terminal into a truck for delivery to a retail gasoline station. A recently released video by NIST states that every drop of fuel “passes through a meticulous system of measurements” from where the crude oil is extracted to the terminal to “prevent costly losses.”  [Source: Trust in Transactions: The Economic Power of Data – Moser April 9, 2025, </w:t>
      </w:r>
      <w:hyperlink r:id="rId22" w:history="1">
        <w:r w:rsidRPr="003B4D43">
          <w:rPr>
            <w:rStyle w:val="Hyperlink"/>
            <w:szCs w:val="20"/>
          </w:rPr>
          <w:t>https://www.nist.gov/pml/owm/weights-and-measures-economic-index</w:t>
        </w:r>
      </w:hyperlink>
      <w:r w:rsidRPr="003B4D43">
        <w:rPr>
          <w:szCs w:val="20"/>
        </w:rPr>
        <w:t xml:space="preserve">.]  The meticulous system of measurements often </w:t>
      </w:r>
      <w:proofErr w:type="gramStart"/>
      <w:r w:rsidRPr="003B4D43">
        <w:rPr>
          <w:szCs w:val="20"/>
        </w:rPr>
        <w:t>use</w:t>
      </w:r>
      <w:proofErr w:type="gramEnd"/>
      <w:r w:rsidRPr="003B4D43">
        <w:rPr>
          <w:szCs w:val="20"/>
        </w:rPr>
        <w:t xml:space="preserve"> API approved standards that are developed by the API Committee on Petroleum Measurement (COPM). Consequently, it is not a stretch to say that it is “firmly established trade custom and practice” to use the API MPMS standards to measure fuels throughout the industry worldwide.  [see reference to HB 130, III. Uniform Laws, A. Weights and Measures Law, Section 16, Method of Sale (p. 29)] </w:t>
      </w:r>
    </w:p>
    <w:p w14:paraId="11AD6021" w14:textId="77777777" w:rsidR="0076491B" w:rsidRPr="003B4D43" w:rsidRDefault="0076491B" w:rsidP="0076491B">
      <w:pPr>
        <w:rPr>
          <w:szCs w:val="20"/>
        </w:rPr>
      </w:pPr>
      <w:r w:rsidRPr="003B4D43">
        <w:rPr>
          <w:szCs w:val="20"/>
        </w:rPr>
        <w:t xml:space="preserve">The requirements for invoices in Handbook 130 </w:t>
      </w:r>
      <w:proofErr w:type="gramStart"/>
      <w:r w:rsidRPr="003B4D43">
        <w:rPr>
          <w:szCs w:val="20"/>
        </w:rPr>
        <w:t>–  Section</w:t>
      </w:r>
      <w:proofErr w:type="gramEnd"/>
      <w:r w:rsidRPr="003B4D43">
        <w:rPr>
          <w:szCs w:val="20"/>
        </w:rPr>
        <w:t xml:space="preserve"> IV., Sec. B. Uniform Regulation for the Method of Sale of Commodities, Paragraph 2.20. Gasoline and Gasoline Oxygenate Blends – are minimal in scope providing only a reference to the U.S. Environmental Protection Agency (EPA) rules. These rules, summarized </w:t>
      </w:r>
      <w:proofErr w:type="gramStart"/>
      <w:r w:rsidRPr="003B4D43">
        <w:rPr>
          <w:szCs w:val="20"/>
        </w:rPr>
        <w:t>below</w:t>
      </w:r>
      <w:proofErr w:type="gramEnd"/>
      <w:r w:rsidRPr="003B4D43">
        <w:rPr>
          <w:szCs w:val="20"/>
        </w:rPr>
        <w:t xml:space="preserve"> require only the volume of the product being transferred to be identified.  </w:t>
      </w:r>
    </w:p>
    <w:p w14:paraId="434D7BA6" w14:textId="77777777" w:rsidR="0076491B" w:rsidRPr="003B4D43" w:rsidRDefault="0076491B" w:rsidP="0076491B">
      <w:pPr>
        <w:ind w:left="720"/>
        <w:rPr>
          <w:szCs w:val="20"/>
        </w:rPr>
      </w:pPr>
      <w:r w:rsidRPr="003B4D43">
        <w:rPr>
          <w:b/>
          <w:bCs/>
          <w:szCs w:val="20"/>
        </w:rPr>
        <w:t xml:space="preserve">EPA Rules at </w:t>
      </w:r>
      <w:hyperlink r:id="rId23" w:history="1">
        <w:r w:rsidRPr="003B4D43">
          <w:rPr>
            <w:rFonts w:eastAsia="+mn-ea"/>
            <w:b/>
            <w:bCs/>
            <w:kern w:val="24"/>
            <w:szCs w:val="20"/>
            <w:u w:val="single"/>
          </w:rPr>
          <w:t>40 C.F.R. § 1090.1110</w:t>
        </w:r>
      </w:hyperlink>
      <w:r w:rsidRPr="003B4D43">
        <w:rPr>
          <w:b/>
          <w:bCs/>
          <w:szCs w:val="20"/>
        </w:rPr>
        <w:t xml:space="preserve">, PTD requirements for gasoline, gasoline additives, and gasoline regulated </w:t>
      </w:r>
      <w:proofErr w:type="spellStart"/>
      <w:r w:rsidRPr="003B4D43">
        <w:rPr>
          <w:b/>
          <w:bCs/>
          <w:szCs w:val="20"/>
        </w:rPr>
        <w:t>blendstocks</w:t>
      </w:r>
      <w:proofErr w:type="spellEnd"/>
      <w:r w:rsidRPr="003B4D43">
        <w:rPr>
          <w:szCs w:val="20"/>
        </w:rPr>
        <w:t xml:space="preserve">, paragraph “(a) </w:t>
      </w:r>
      <w:r w:rsidRPr="003B4D43">
        <w:rPr>
          <w:b/>
          <w:bCs/>
          <w:i/>
          <w:iCs/>
          <w:szCs w:val="20"/>
        </w:rPr>
        <w:t>General requirements.</w:t>
      </w:r>
      <w:r w:rsidRPr="003B4D43">
        <w:rPr>
          <w:szCs w:val="20"/>
        </w:rPr>
        <w:t xml:space="preserve"> On each occasion when any person transfers custody or title of any gasoline, gasoline additive, or gasoline regulated </w:t>
      </w:r>
      <w:proofErr w:type="spellStart"/>
      <w:r w:rsidRPr="003B4D43">
        <w:rPr>
          <w:szCs w:val="20"/>
        </w:rPr>
        <w:t>blendstock</w:t>
      </w:r>
      <w:proofErr w:type="spellEnd"/>
      <w:r w:rsidRPr="003B4D43">
        <w:rPr>
          <w:szCs w:val="20"/>
        </w:rPr>
        <w:t xml:space="preserve">, other than when fuel is sold or dispensed to the ultimate end user at a retail outlet or WPC facility, the transferor must provide the transferee PTDs that include the following information: (1) All applicable information required under </w:t>
      </w:r>
      <w:hyperlink r:id="rId24" w:history="1">
        <w:r w:rsidRPr="003B4D43">
          <w:rPr>
            <w:rStyle w:val="Hyperlink"/>
            <w:szCs w:val="20"/>
          </w:rPr>
          <w:t>§ 1090.1100</w:t>
        </w:r>
      </w:hyperlink>
      <w:r w:rsidRPr="003B4D43">
        <w:rPr>
          <w:szCs w:val="20"/>
        </w:rPr>
        <w:t xml:space="preserve"> and this section.”  [emphasis added]</w:t>
      </w:r>
    </w:p>
    <w:p w14:paraId="0E8D68D9" w14:textId="77777777" w:rsidR="0076491B" w:rsidRPr="003B4D43" w:rsidRDefault="0076491B" w:rsidP="0076491B">
      <w:pPr>
        <w:ind w:left="720"/>
        <w:rPr>
          <w:szCs w:val="20"/>
        </w:rPr>
      </w:pPr>
      <w:r w:rsidRPr="003B4D43">
        <w:rPr>
          <w:szCs w:val="20"/>
        </w:rPr>
        <w:t> </w:t>
      </w:r>
      <w:r w:rsidRPr="003B4D43">
        <w:rPr>
          <w:b/>
          <w:bCs/>
          <w:szCs w:val="20"/>
        </w:rPr>
        <w:t>Section “</w:t>
      </w:r>
      <w:hyperlink r:id="rId25" w:history="1">
        <w:r w:rsidRPr="003B4D43">
          <w:rPr>
            <w:rStyle w:val="Hyperlink"/>
            <w:b/>
            <w:bCs/>
            <w:szCs w:val="20"/>
          </w:rPr>
          <w:t xml:space="preserve">1090.1100 </w:t>
        </w:r>
      </w:hyperlink>
      <w:r w:rsidRPr="003B4D43">
        <w:rPr>
          <w:b/>
          <w:bCs/>
          <w:szCs w:val="20"/>
        </w:rPr>
        <w:t xml:space="preserve">General Requirements” </w:t>
      </w:r>
      <w:r w:rsidRPr="003B4D43">
        <w:rPr>
          <w:szCs w:val="20"/>
        </w:rPr>
        <w:t xml:space="preserve">states (a)(1)(iii) a PTD must include a set of information including (iii) </w:t>
      </w:r>
      <w:r w:rsidRPr="003B4D43">
        <w:rPr>
          <w:b/>
          <w:bCs/>
          <w:szCs w:val="20"/>
        </w:rPr>
        <w:t xml:space="preserve">“The volume of the product being transferred.” </w:t>
      </w:r>
      <w:r w:rsidRPr="003B4D43">
        <w:rPr>
          <w:szCs w:val="20"/>
        </w:rPr>
        <w:t>[emphasis added]</w:t>
      </w:r>
    </w:p>
    <w:p w14:paraId="61FC02A1" w14:textId="77777777" w:rsidR="0076491B" w:rsidRPr="003B4D43" w:rsidRDefault="0076491B" w:rsidP="0076491B">
      <w:pPr>
        <w:rPr>
          <w:szCs w:val="20"/>
        </w:rPr>
      </w:pPr>
      <w:r w:rsidRPr="003B4D43">
        <w:rPr>
          <w:szCs w:val="20"/>
        </w:rPr>
        <w:t>This proposed change to HB 130 Method of Sale makes it clear that if the volume of a product is calculated and changed to reflect a change in volume, that the invoice reflects that change and cites the reference temperature.</w:t>
      </w:r>
    </w:p>
    <w:p w14:paraId="1BFDC45D" w14:textId="77777777" w:rsidR="0076491B" w:rsidRPr="003B4D43" w:rsidRDefault="0076491B" w:rsidP="0076491B">
      <w:pPr>
        <w:rPr>
          <w:szCs w:val="20"/>
        </w:rPr>
      </w:pPr>
      <w:r w:rsidRPr="003B4D43">
        <w:rPr>
          <w:szCs w:val="20"/>
        </w:rPr>
        <w:lastRenderedPageBreak/>
        <w:t>Today</w:t>
      </w:r>
      <w:r w:rsidRPr="003B4D43">
        <w:rPr>
          <w:b/>
          <w:bCs/>
          <w:szCs w:val="20"/>
        </w:rPr>
        <w:t xml:space="preserve"> </w:t>
      </w:r>
      <w:r w:rsidRPr="003B4D43">
        <w:rPr>
          <w:szCs w:val="20"/>
        </w:rPr>
        <w:t>multiple API standards (identified below) ensure accurate and transparent measurement. Further, sales agreements may state that where temperature compensation is used, those calculations incorporate the methods and procedures specified in API MPMS Chapter 11.</w:t>
      </w:r>
      <w:r w:rsidRPr="003B4D43">
        <w:rPr>
          <w:rStyle w:val="FootnoteReference"/>
          <w:szCs w:val="20"/>
        </w:rPr>
        <w:footnoteReference w:id="2"/>
      </w:r>
      <w:r w:rsidRPr="003B4D43">
        <w:rPr>
          <w:szCs w:val="20"/>
        </w:rPr>
        <w:t xml:space="preserve">  </w:t>
      </w:r>
    </w:p>
    <w:p w14:paraId="7162F082" w14:textId="77777777" w:rsidR="0076491B" w:rsidRPr="003B4D43" w:rsidRDefault="0076491B" w:rsidP="007169B6">
      <w:pPr>
        <w:numPr>
          <w:ilvl w:val="1"/>
          <w:numId w:val="56"/>
        </w:numPr>
        <w:spacing w:after="160" w:line="278" w:lineRule="auto"/>
        <w:jc w:val="left"/>
        <w:rPr>
          <w:szCs w:val="20"/>
        </w:rPr>
      </w:pPr>
      <w:r w:rsidRPr="003B4D43">
        <w:rPr>
          <w:szCs w:val="20"/>
        </w:rPr>
        <w:t>Ch. 8.1 Manual Sampling of Petroleum Products (ASTM D4057)</w:t>
      </w:r>
    </w:p>
    <w:p w14:paraId="7BB1AB6D" w14:textId="77777777" w:rsidR="0076491B" w:rsidRPr="003B4D43" w:rsidRDefault="0076491B" w:rsidP="007169B6">
      <w:pPr>
        <w:numPr>
          <w:ilvl w:val="1"/>
          <w:numId w:val="56"/>
        </w:numPr>
        <w:spacing w:after="160" w:line="278" w:lineRule="auto"/>
        <w:jc w:val="left"/>
        <w:rPr>
          <w:szCs w:val="20"/>
        </w:rPr>
      </w:pPr>
      <w:r w:rsidRPr="003B4D43">
        <w:rPr>
          <w:szCs w:val="20"/>
        </w:rPr>
        <w:t>Ch. 5.x Metering (5.1 General Considerations for Measurement by Meters, with specific chapters that address for displacement meters, turbine meters, Coriolis meters, ultrasonic flow meters, Fidelity and Security of Flow Measurement Pulsed-Data Transmissions Systems)</w:t>
      </w:r>
    </w:p>
    <w:p w14:paraId="6A0A6CB5" w14:textId="77777777" w:rsidR="0076491B" w:rsidRPr="003B4D43" w:rsidRDefault="0076491B" w:rsidP="007169B6">
      <w:pPr>
        <w:numPr>
          <w:ilvl w:val="1"/>
          <w:numId w:val="56"/>
        </w:numPr>
        <w:spacing w:after="160" w:line="278" w:lineRule="auto"/>
        <w:jc w:val="left"/>
        <w:rPr>
          <w:szCs w:val="20"/>
        </w:rPr>
      </w:pPr>
      <w:r w:rsidRPr="003B4D43">
        <w:rPr>
          <w:szCs w:val="20"/>
        </w:rPr>
        <w:t xml:space="preserve">Ch. 6.x – Metering Systems (6.1 Metering Assemblies- General Considerations, with specific chapters for - Truck and Rail Loading and Unloading Measurement Systems; - Pipeline and Marine Loading/Unloading Measurement Systems; and Lease Automatic Custody Transfer Systems) </w:t>
      </w:r>
    </w:p>
    <w:p w14:paraId="2CF93C30" w14:textId="77777777" w:rsidR="0076491B" w:rsidRPr="003B4D43" w:rsidRDefault="0076491B" w:rsidP="007169B6">
      <w:pPr>
        <w:numPr>
          <w:ilvl w:val="1"/>
          <w:numId w:val="56"/>
        </w:numPr>
        <w:spacing w:after="160" w:line="278" w:lineRule="auto"/>
        <w:jc w:val="left"/>
        <w:rPr>
          <w:szCs w:val="20"/>
        </w:rPr>
      </w:pPr>
      <w:r w:rsidRPr="003B4D43">
        <w:rPr>
          <w:szCs w:val="20"/>
        </w:rPr>
        <w:t xml:space="preserve">Ch. 4.x Proving Systems (Displacement Provers, Master-Meter Provers, Field Standard Test Measures, </w:t>
      </w:r>
      <w:r w:rsidRPr="003B4D43">
        <w:rPr>
          <w:rFonts w:eastAsia="Times New Roman"/>
          <w:szCs w:val="20"/>
        </w:rPr>
        <w:t>Methods of Calibration for Displacement and Volumetric Tank Provers, Part 1—Introduction to the Determination of the Volume of Displacement and Tank Provers</w:t>
      </w:r>
      <w:r w:rsidRPr="003B4D43">
        <w:rPr>
          <w:szCs w:val="20"/>
        </w:rPr>
        <w:t>)</w:t>
      </w:r>
    </w:p>
    <w:p w14:paraId="7086CE82" w14:textId="77777777" w:rsidR="0076491B" w:rsidRPr="003B4D43" w:rsidRDefault="0076491B" w:rsidP="007169B6">
      <w:pPr>
        <w:numPr>
          <w:ilvl w:val="1"/>
          <w:numId w:val="56"/>
        </w:numPr>
        <w:spacing w:after="160" w:line="278" w:lineRule="auto"/>
        <w:jc w:val="left"/>
        <w:rPr>
          <w:szCs w:val="20"/>
        </w:rPr>
      </w:pPr>
      <w:r w:rsidRPr="003B4D43">
        <w:rPr>
          <w:szCs w:val="20"/>
        </w:rPr>
        <w:t>Ch. 7.4 Dynamic Temperature Measurement</w:t>
      </w:r>
    </w:p>
    <w:p w14:paraId="7EAD3F98" w14:textId="77777777" w:rsidR="0076491B" w:rsidRPr="003B4D43" w:rsidRDefault="0076491B" w:rsidP="007169B6">
      <w:pPr>
        <w:numPr>
          <w:ilvl w:val="1"/>
          <w:numId w:val="56"/>
        </w:numPr>
        <w:spacing w:after="160" w:line="278" w:lineRule="auto"/>
        <w:jc w:val="left"/>
        <w:rPr>
          <w:szCs w:val="20"/>
        </w:rPr>
      </w:pPr>
      <w:r w:rsidRPr="003B4D43">
        <w:rPr>
          <w:szCs w:val="20"/>
        </w:rPr>
        <w:t>Ch. 11 Physical Properties Data (ASTM D1250, Adjunct)</w:t>
      </w:r>
    </w:p>
    <w:p w14:paraId="576D997C" w14:textId="77777777" w:rsidR="0076491B" w:rsidRPr="003B4D43" w:rsidRDefault="0076491B" w:rsidP="007169B6">
      <w:pPr>
        <w:numPr>
          <w:ilvl w:val="2"/>
          <w:numId w:val="56"/>
        </w:numPr>
        <w:spacing w:after="160" w:line="278" w:lineRule="auto"/>
        <w:jc w:val="left"/>
        <w:rPr>
          <w:szCs w:val="20"/>
        </w:rPr>
      </w:pPr>
      <w:r w:rsidRPr="003B4D43">
        <w:rPr>
          <w:szCs w:val="20"/>
        </w:rPr>
        <w:t>Chapter 11.1 - Temperature and Pressure Volume Correction Factors for Generalized Crude Oils, Refined Products, and Lubricating Oils</w:t>
      </w:r>
    </w:p>
    <w:p w14:paraId="22A62036" w14:textId="77777777" w:rsidR="0076491B" w:rsidRPr="003B4D43" w:rsidRDefault="0076491B" w:rsidP="007169B6">
      <w:pPr>
        <w:numPr>
          <w:ilvl w:val="2"/>
          <w:numId w:val="56"/>
        </w:numPr>
        <w:spacing w:after="160" w:line="278" w:lineRule="auto"/>
        <w:jc w:val="left"/>
        <w:rPr>
          <w:szCs w:val="20"/>
        </w:rPr>
      </w:pPr>
      <w:r w:rsidRPr="003B4D43">
        <w:rPr>
          <w:szCs w:val="20"/>
        </w:rPr>
        <w:t>Ch. 11.3.3 Miscellaneous Hydrocarbon Product Properties—Denatured Ethanol Density and Volume Correction Factors</w:t>
      </w:r>
    </w:p>
    <w:p w14:paraId="5A2E7C40" w14:textId="77777777" w:rsidR="0076491B" w:rsidRPr="003B4D43" w:rsidRDefault="0076491B" w:rsidP="007169B6">
      <w:pPr>
        <w:numPr>
          <w:ilvl w:val="2"/>
          <w:numId w:val="56"/>
        </w:numPr>
        <w:spacing w:after="160" w:line="278" w:lineRule="auto"/>
        <w:jc w:val="left"/>
        <w:rPr>
          <w:szCs w:val="20"/>
        </w:rPr>
      </w:pPr>
      <w:r w:rsidRPr="003B4D43">
        <w:rPr>
          <w:szCs w:val="20"/>
        </w:rPr>
        <w:t>Ch. 11.3.4 Miscellaneous Hydrocarbon Properties - Denatured Ethanol and Gasoline Component Blend Densities and Volume Correction Factors</w:t>
      </w:r>
    </w:p>
    <w:p w14:paraId="44618BC6" w14:textId="77777777" w:rsidR="0076491B" w:rsidRPr="003B4D43" w:rsidRDefault="0076491B" w:rsidP="007169B6">
      <w:pPr>
        <w:numPr>
          <w:ilvl w:val="2"/>
          <w:numId w:val="56"/>
        </w:numPr>
        <w:spacing w:after="160" w:line="278" w:lineRule="auto"/>
        <w:jc w:val="left"/>
        <w:rPr>
          <w:szCs w:val="20"/>
        </w:rPr>
      </w:pPr>
      <w:r w:rsidRPr="003B4D43">
        <w:rPr>
          <w:szCs w:val="20"/>
        </w:rPr>
        <w:t xml:space="preserve">Ch. 11.4.1 Density of Water and Water Volumetric Correction Factors for Water Calibration of Volumetric Provers </w:t>
      </w:r>
    </w:p>
    <w:p w14:paraId="6D3C13AD" w14:textId="77777777" w:rsidR="0076491B" w:rsidRPr="003B4D43" w:rsidRDefault="0076491B" w:rsidP="007169B6">
      <w:pPr>
        <w:numPr>
          <w:ilvl w:val="1"/>
          <w:numId w:val="56"/>
        </w:numPr>
        <w:spacing w:after="160" w:line="278" w:lineRule="auto"/>
        <w:jc w:val="left"/>
        <w:rPr>
          <w:szCs w:val="20"/>
        </w:rPr>
      </w:pPr>
      <w:r w:rsidRPr="003B4D43">
        <w:rPr>
          <w:szCs w:val="20"/>
        </w:rPr>
        <w:t>Ch. 12.2 Calculation of Petroleum Quantities using Dynamic Measurement Methods and Volumetric Correction Factors</w:t>
      </w:r>
    </w:p>
    <w:p w14:paraId="34CBD181" w14:textId="77777777" w:rsidR="0076491B" w:rsidRPr="003B4D43" w:rsidRDefault="0076491B" w:rsidP="007169B6">
      <w:pPr>
        <w:numPr>
          <w:ilvl w:val="1"/>
          <w:numId w:val="56"/>
        </w:numPr>
        <w:spacing w:after="160" w:line="278" w:lineRule="auto"/>
        <w:jc w:val="left"/>
        <w:rPr>
          <w:szCs w:val="20"/>
        </w:rPr>
      </w:pPr>
      <w:r w:rsidRPr="003B4D43">
        <w:rPr>
          <w:szCs w:val="20"/>
        </w:rPr>
        <w:t xml:space="preserve">Ch. 21.2 Electronic Liquid Measurement Using Positive Displacement and Turbine Meters </w:t>
      </w:r>
    </w:p>
    <w:p w14:paraId="0A310CDF" w14:textId="77777777" w:rsidR="0076491B" w:rsidRPr="003B4D43" w:rsidRDefault="0076491B" w:rsidP="0076491B">
      <w:pPr>
        <w:rPr>
          <w:szCs w:val="20"/>
        </w:rPr>
      </w:pPr>
      <w:r w:rsidRPr="003B4D43">
        <w:rPr>
          <w:szCs w:val="20"/>
        </w:rPr>
        <w:t>Why should we use and accept API standards?</w:t>
      </w:r>
      <w:r w:rsidRPr="003B4D43">
        <w:rPr>
          <w:b/>
          <w:bCs/>
          <w:szCs w:val="20"/>
        </w:rPr>
        <w:t xml:space="preserve"> </w:t>
      </w:r>
      <w:r w:rsidRPr="003B4D43">
        <w:rPr>
          <w:szCs w:val="20"/>
        </w:rPr>
        <w:t xml:space="preserve">Handbook 130, Uniform Weights and Measures Law, Section 16, recognizes “firmly established trade custom and practice” that dictate how liquid fuels are sold. Specifically, it states, </w:t>
      </w:r>
    </w:p>
    <w:p w14:paraId="16C773AC" w14:textId="77777777" w:rsidR="0076491B" w:rsidRPr="003B4D43" w:rsidRDefault="0076491B" w:rsidP="0076491B">
      <w:pPr>
        <w:ind w:left="720"/>
        <w:rPr>
          <w:szCs w:val="20"/>
        </w:rPr>
      </w:pPr>
      <w:r w:rsidRPr="003B4D43">
        <w:rPr>
          <w:b/>
          <w:bCs/>
          <w:szCs w:val="20"/>
        </w:rPr>
        <w:t xml:space="preserve">Section 16. Method of Sale </w:t>
      </w:r>
    </w:p>
    <w:p w14:paraId="7CAD4AD9" w14:textId="77777777" w:rsidR="0076491B" w:rsidRPr="003B4D43" w:rsidRDefault="0076491B" w:rsidP="0076491B">
      <w:pPr>
        <w:ind w:left="720"/>
        <w:rPr>
          <w:szCs w:val="20"/>
        </w:rPr>
      </w:pPr>
      <w:r w:rsidRPr="003B4D43">
        <w:rPr>
          <w:szCs w:val="20"/>
        </w:rPr>
        <w:t xml:space="preserve">Except as otherwise provided by the Director or by firmly established trade </w:t>
      </w:r>
      <w:proofErr w:type="gramStart"/>
      <w:r w:rsidRPr="003B4D43">
        <w:rPr>
          <w:szCs w:val="20"/>
        </w:rPr>
        <w:t>custom</w:t>
      </w:r>
      <w:proofErr w:type="gramEnd"/>
      <w:r w:rsidRPr="003B4D43">
        <w:rPr>
          <w:szCs w:val="20"/>
        </w:rPr>
        <w:t xml:space="preserve"> and practice, </w:t>
      </w:r>
    </w:p>
    <w:p w14:paraId="1F1D5DF8" w14:textId="77777777" w:rsidR="0076491B" w:rsidRPr="003B4D43" w:rsidRDefault="0076491B" w:rsidP="0076491B">
      <w:pPr>
        <w:ind w:left="1440"/>
        <w:rPr>
          <w:szCs w:val="20"/>
        </w:rPr>
      </w:pPr>
      <w:r w:rsidRPr="003B4D43">
        <w:rPr>
          <w:szCs w:val="20"/>
        </w:rPr>
        <w:t xml:space="preserve">(a) commodities in liquid form shall be sold by liquid measure or by weight; and </w:t>
      </w:r>
    </w:p>
    <w:p w14:paraId="44AAC5BD" w14:textId="77777777" w:rsidR="0076491B" w:rsidRPr="003B4D43" w:rsidRDefault="0076491B" w:rsidP="0076491B">
      <w:pPr>
        <w:ind w:left="1440"/>
        <w:rPr>
          <w:szCs w:val="20"/>
        </w:rPr>
      </w:pPr>
      <w:r w:rsidRPr="003B4D43">
        <w:rPr>
          <w:szCs w:val="20"/>
        </w:rPr>
        <w:t xml:space="preserve">(b) commodities not in liquid form shall be sold by weight, by measure, or by count. </w:t>
      </w:r>
    </w:p>
    <w:p w14:paraId="6670CAE9" w14:textId="77777777" w:rsidR="0076491B" w:rsidRPr="003B4D43" w:rsidRDefault="0076491B" w:rsidP="0076491B">
      <w:pPr>
        <w:ind w:left="720"/>
        <w:rPr>
          <w:szCs w:val="20"/>
        </w:rPr>
      </w:pPr>
      <w:r w:rsidRPr="003B4D43">
        <w:rPr>
          <w:szCs w:val="20"/>
        </w:rPr>
        <w:lastRenderedPageBreak/>
        <w:t xml:space="preserve">The method of sale </w:t>
      </w:r>
      <w:proofErr w:type="gramStart"/>
      <w:r w:rsidRPr="003B4D43">
        <w:rPr>
          <w:szCs w:val="20"/>
        </w:rPr>
        <w:t>shall</w:t>
      </w:r>
      <w:proofErr w:type="gramEnd"/>
      <w:r w:rsidRPr="003B4D43">
        <w:rPr>
          <w:szCs w:val="20"/>
        </w:rPr>
        <w:t xml:space="preserve"> provide accurate and adequate quantity information that permits the buyer to make price and quantity comparisons. </w:t>
      </w:r>
    </w:p>
    <w:p w14:paraId="10253207" w14:textId="77777777" w:rsidR="0076491B" w:rsidRPr="003B4D43" w:rsidRDefault="0076491B" w:rsidP="0076491B">
      <w:pPr>
        <w:ind w:firstLine="720"/>
        <w:rPr>
          <w:szCs w:val="20"/>
        </w:rPr>
      </w:pPr>
      <w:r w:rsidRPr="003B4D43">
        <w:rPr>
          <w:szCs w:val="20"/>
        </w:rPr>
        <w:t xml:space="preserve">(Amended 1989) </w:t>
      </w:r>
    </w:p>
    <w:p w14:paraId="7DFCE0CD" w14:textId="77777777" w:rsidR="0076491B" w:rsidRPr="003B4D43" w:rsidRDefault="0076491B" w:rsidP="0076491B">
      <w:pPr>
        <w:rPr>
          <w:szCs w:val="20"/>
        </w:rPr>
      </w:pPr>
      <w:r w:rsidRPr="003B4D43">
        <w:rPr>
          <w:szCs w:val="20"/>
        </w:rPr>
        <w:t xml:space="preserve">In 2024, the U.S. customers consumed 137 billion gallons of gasoline (most of which was 10% ethanol) and 63 billion gallons of diesel fuel. Another 24 billion gallons of jet fuel were consumed in the U.S.  At each stage of the process from producing the crude oil to selling the finished fuel to a retail gasoline station the product is measured. So, while there is over 224 billion gallons of finished product consumed in the U.S., those molecules have likely been measured many times over.  These measurements are so important that the API Committee on Petroleum Measurement (COPM) meets twice a year, with over 700 people in attendance, at each meeting to review the standards that are used in the U.S. and around the world.  </w:t>
      </w:r>
      <w:proofErr w:type="gramStart"/>
      <w:r w:rsidRPr="003B4D43">
        <w:rPr>
          <w:szCs w:val="20"/>
        </w:rPr>
        <w:t>By definition, the</w:t>
      </w:r>
      <w:proofErr w:type="gramEnd"/>
      <w:r w:rsidRPr="003B4D43">
        <w:rPr>
          <w:szCs w:val="20"/>
        </w:rPr>
        <w:t xml:space="preserve"> petroleum industry uses the API standards which are firmly established trade </w:t>
      </w:r>
      <w:proofErr w:type="gramStart"/>
      <w:r w:rsidRPr="003B4D43">
        <w:rPr>
          <w:szCs w:val="20"/>
        </w:rPr>
        <w:t>custom</w:t>
      </w:r>
      <w:proofErr w:type="gramEnd"/>
      <w:r w:rsidRPr="003B4D43">
        <w:rPr>
          <w:szCs w:val="20"/>
        </w:rPr>
        <w:t xml:space="preserve"> and </w:t>
      </w:r>
      <w:proofErr w:type="gramStart"/>
      <w:r w:rsidRPr="003B4D43">
        <w:rPr>
          <w:szCs w:val="20"/>
        </w:rPr>
        <w:t>practice</w:t>
      </w:r>
      <w:proofErr w:type="gramEnd"/>
      <w:r w:rsidRPr="003B4D43">
        <w:rPr>
          <w:szCs w:val="20"/>
        </w:rPr>
        <w:t xml:space="preserve">. </w:t>
      </w:r>
    </w:p>
    <w:p w14:paraId="6B690CA0" w14:textId="77777777" w:rsidR="0076491B" w:rsidRPr="003B4D43" w:rsidRDefault="0076491B" w:rsidP="0076491B">
      <w:pPr>
        <w:rPr>
          <w:szCs w:val="20"/>
        </w:rPr>
      </w:pPr>
      <w:r w:rsidRPr="003B4D43">
        <w:rPr>
          <w:szCs w:val="20"/>
        </w:rPr>
        <w:t xml:space="preserve">Some have raised concerns that metering systems should not modify the volume of the product after it has gone through the custody meter.  This concern appears to be premised on the belief that the gross volume </w:t>
      </w:r>
      <w:r w:rsidRPr="003B4D43">
        <w:rPr>
          <w:b/>
          <w:bCs/>
          <w:szCs w:val="20"/>
        </w:rPr>
        <w:t>and</w:t>
      </w:r>
      <w:r w:rsidRPr="003B4D43">
        <w:rPr>
          <w:szCs w:val="20"/>
        </w:rPr>
        <w:t xml:space="preserve"> the net standard temperature compensated volume are measured.  In practice, the only measured volume is the gross volume and that is measured by counting pulses from the meter in accordance with an API standard.  The gross volume is then used by the custody transfer system or the automatic terminal management system to calculate the net volume using another set of API standards including Chapters 5.x, 6x, 7.4, 11.1, 11.3.3, 11.3.4, 12.2, and 21.2. Please </w:t>
      </w:r>
      <w:proofErr w:type="gramStart"/>
      <w:r w:rsidRPr="003B4D43">
        <w:rPr>
          <w:szCs w:val="20"/>
        </w:rPr>
        <w:t>see</w:t>
      </w:r>
      <w:proofErr w:type="gramEnd"/>
      <w:r w:rsidRPr="003B4D43">
        <w:rPr>
          <w:szCs w:val="20"/>
        </w:rPr>
        <w:t xml:space="preserve"> above for the names of these standards.</w:t>
      </w:r>
    </w:p>
    <w:p w14:paraId="38164F49" w14:textId="77777777" w:rsidR="0076491B" w:rsidRPr="003B4D43" w:rsidRDefault="0076491B" w:rsidP="0076491B">
      <w:pPr>
        <w:rPr>
          <w:szCs w:val="20"/>
        </w:rPr>
      </w:pPr>
      <w:r w:rsidRPr="003B4D43">
        <w:rPr>
          <w:szCs w:val="20"/>
        </w:rPr>
        <w:t xml:space="preserve">Some have indicated that HB 130, IV. Uniform Regulations, A. Uniform Packaging and Labeling Regulation, Paragraphs 7.4.(b) and 7.5.(b) may already include a requirement. </w:t>
      </w:r>
    </w:p>
    <w:p w14:paraId="4AEC726B" w14:textId="77777777" w:rsidR="0076491B" w:rsidRPr="003B4D43" w:rsidRDefault="0076491B" w:rsidP="0076491B">
      <w:pPr>
        <w:rPr>
          <w:b/>
          <w:bCs/>
          <w:szCs w:val="20"/>
        </w:rPr>
      </w:pPr>
      <w:bookmarkStart w:id="66" w:name="Section_7.__Declaration_of_Quantity:__No"/>
      <w:bookmarkStart w:id="67" w:name="7.1. General."/>
      <w:bookmarkStart w:id="68" w:name="7.2. Location."/>
      <w:bookmarkStart w:id="69" w:name="7.3. Terms:__Weight,_Liquid_Measure,_Dry"/>
      <w:bookmarkStart w:id="70" w:name="7.4. SI_Units:__Mass,_Measure."/>
      <w:bookmarkStart w:id="71" w:name="_bookmark0"/>
      <w:bookmarkStart w:id="72" w:name="_bookmark1"/>
      <w:bookmarkStart w:id="73" w:name="_bookmark2"/>
      <w:bookmarkStart w:id="74" w:name="_bookmark3"/>
      <w:bookmarkStart w:id="75" w:name="_bookmark4"/>
      <w:bookmarkEnd w:id="66"/>
      <w:bookmarkEnd w:id="67"/>
      <w:bookmarkEnd w:id="68"/>
      <w:bookmarkEnd w:id="69"/>
      <w:bookmarkEnd w:id="70"/>
      <w:bookmarkEnd w:id="71"/>
      <w:bookmarkEnd w:id="72"/>
      <w:bookmarkEnd w:id="73"/>
      <w:bookmarkEnd w:id="74"/>
      <w:bookmarkEnd w:id="75"/>
      <w:r w:rsidRPr="003B4D43">
        <w:rPr>
          <w:b/>
          <w:bCs/>
          <w:szCs w:val="20"/>
        </w:rPr>
        <w:t>7.4. SI Units: Mass, Measure.</w:t>
      </w:r>
    </w:p>
    <w:p w14:paraId="6BEE56F9" w14:textId="77777777" w:rsidR="0076491B" w:rsidRPr="003B4D43" w:rsidRDefault="0076491B" w:rsidP="0076491B">
      <w:pPr>
        <w:ind w:left="720"/>
        <w:rPr>
          <w:szCs w:val="20"/>
        </w:rPr>
      </w:pPr>
      <w:r w:rsidRPr="003B4D43">
        <w:rPr>
          <w:szCs w:val="20"/>
        </w:rPr>
        <w:t xml:space="preserve">(b) in units of liquid measure shall be in terms of the liter or milliliter, and shall express the volume at 20 °C, except in the case of petroleum products or distilled spirits, for which the declaration shall express the volume at 15.6 °C, and except also in the case of a commodity that is normally sold and consumed while frozen, for which the declaration shall express the volume at the frozen temperature, and except also in the case of malt beverages or a commodity that is normally sold in the refrigerated state, for which the declaration shall express the volume at 4 °C; </w:t>
      </w:r>
    </w:p>
    <w:p w14:paraId="318B8213" w14:textId="77777777" w:rsidR="0076491B" w:rsidRPr="003B4D43" w:rsidRDefault="0076491B" w:rsidP="0076491B">
      <w:pPr>
        <w:ind w:firstLine="720"/>
        <w:rPr>
          <w:szCs w:val="20"/>
        </w:rPr>
      </w:pPr>
      <w:r w:rsidRPr="003B4D43">
        <w:rPr>
          <w:szCs w:val="20"/>
        </w:rPr>
        <w:t>(Amended 1985)</w:t>
      </w:r>
    </w:p>
    <w:p w14:paraId="5009D0DE" w14:textId="77777777" w:rsidR="0076491B" w:rsidRPr="003B4D43" w:rsidRDefault="0076491B" w:rsidP="0076491B">
      <w:pPr>
        <w:rPr>
          <w:b/>
          <w:bCs/>
          <w:szCs w:val="20"/>
        </w:rPr>
      </w:pPr>
      <w:r w:rsidRPr="003B4D43">
        <w:rPr>
          <w:b/>
          <w:bCs/>
          <w:szCs w:val="20"/>
        </w:rPr>
        <w:t>7.5 U.S. Customary Units: Weight, Measure.</w:t>
      </w:r>
    </w:p>
    <w:p w14:paraId="239EB6CE" w14:textId="77777777" w:rsidR="0076491B" w:rsidRPr="003B4D43" w:rsidRDefault="0076491B" w:rsidP="0076491B">
      <w:pPr>
        <w:ind w:left="720"/>
        <w:rPr>
          <w:b/>
          <w:bCs/>
          <w:szCs w:val="20"/>
        </w:rPr>
      </w:pPr>
      <w:r w:rsidRPr="003B4D43">
        <w:rPr>
          <w:szCs w:val="20"/>
        </w:rPr>
        <w:t xml:space="preserve">(b) in units of liquid measure shall be in terms of the United States gallon of 231 cubic inches or liquid quart, liquid pint, or fluid ounce subdivisions of the gallon and shall express the volume at 68 °F, except in the case of petroleum products or distilled spirits, for which the declaration shall express the volume at 60 °F, and except also in the case of a commodity that is normally sold and consumed while frozen, for which the declaration shall express the volume at the frozen temperature, and except also in the case of a commodity that is normally sold in the refrigerated state, for which the declaration shall express the volume at 40 °F, and except also in the case of malt beverages, for which the declaration shall express the volume at 39.1 °F; </w:t>
      </w:r>
    </w:p>
    <w:p w14:paraId="13FC2DDC" w14:textId="72DAA769" w:rsidR="00C016C5" w:rsidRDefault="0076491B" w:rsidP="0076491B">
      <w:pPr>
        <w:ind w:firstLine="720"/>
        <w:rPr>
          <w:szCs w:val="20"/>
        </w:rPr>
      </w:pPr>
      <w:r w:rsidRPr="003B4D43">
        <w:rPr>
          <w:szCs w:val="20"/>
        </w:rPr>
        <w:t>(Amended 1985</w:t>
      </w:r>
      <w:r>
        <w:rPr>
          <w:szCs w:val="20"/>
        </w:rPr>
        <w:t>)</w:t>
      </w:r>
    </w:p>
    <w:p w14:paraId="67F85A5D" w14:textId="12749254" w:rsidR="008326D3" w:rsidRPr="008C1A09" w:rsidRDefault="0076491B" w:rsidP="0076491B">
      <w:pPr>
        <w:rPr>
          <w:szCs w:val="20"/>
        </w:rPr>
      </w:pPr>
      <w:r>
        <w:rPr>
          <w:szCs w:val="20"/>
        </w:rPr>
        <w:t>The submitter requested that this be a Voting Item in 2026.</w:t>
      </w:r>
    </w:p>
    <w:p w14:paraId="4C781FBF" w14:textId="77777777" w:rsidR="00C016C5" w:rsidRPr="002A7C3B" w:rsidRDefault="00C016C5" w:rsidP="00C016C5">
      <w:pPr>
        <w:keepNext/>
        <w:rPr>
          <w:b/>
        </w:rPr>
      </w:pPr>
      <w:r>
        <w:rPr>
          <w:b/>
        </w:rPr>
        <w:t>Comments</w:t>
      </w:r>
      <w:r w:rsidRPr="002A7C3B">
        <w:rPr>
          <w:b/>
        </w:rPr>
        <w:t xml:space="preserve"> in Favor:</w:t>
      </w:r>
    </w:p>
    <w:p w14:paraId="3766BF86" w14:textId="6DECFE81" w:rsidR="00C016C5" w:rsidRPr="002A7C3B" w:rsidRDefault="0042639E" w:rsidP="00C016C5">
      <w:pPr>
        <w:keepNext/>
        <w:spacing w:after="0"/>
        <w:ind w:left="720"/>
        <w:rPr>
          <w:b/>
        </w:rPr>
      </w:pPr>
      <w:r>
        <w:rPr>
          <w:b/>
        </w:rPr>
        <w:t>Weights and Measures Officials</w:t>
      </w:r>
      <w:r w:rsidR="00C016C5" w:rsidRPr="002A7C3B">
        <w:rPr>
          <w:b/>
        </w:rPr>
        <w:t>:</w:t>
      </w:r>
    </w:p>
    <w:p w14:paraId="7BCE490C" w14:textId="70E28EF3" w:rsidR="00C016C5" w:rsidRPr="002A7C3B" w:rsidRDefault="00336749" w:rsidP="00C016C5">
      <w:pPr>
        <w:pStyle w:val="ListParagraph"/>
        <w:numPr>
          <w:ilvl w:val="0"/>
          <w:numId w:val="26"/>
        </w:numPr>
        <w:spacing w:after="0" w:line="259" w:lineRule="auto"/>
        <w:contextualSpacing/>
        <w:jc w:val="left"/>
      </w:pPr>
      <w:r>
        <w:t>None</w:t>
      </w:r>
    </w:p>
    <w:p w14:paraId="33D55B9A" w14:textId="77777777" w:rsidR="00C016C5" w:rsidRPr="002A7C3B" w:rsidRDefault="00C016C5" w:rsidP="00C016C5">
      <w:pPr>
        <w:spacing w:before="240" w:after="0"/>
        <w:ind w:left="720"/>
        <w:rPr>
          <w:b/>
        </w:rPr>
      </w:pPr>
      <w:r w:rsidRPr="002A7C3B">
        <w:rPr>
          <w:b/>
        </w:rPr>
        <w:lastRenderedPageBreak/>
        <w:t>Industry:</w:t>
      </w:r>
    </w:p>
    <w:p w14:paraId="4053B52B" w14:textId="4B4472B8" w:rsidR="00F05A2A" w:rsidRPr="002A7C3B" w:rsidRDefault="003C3B51" w:rsidP="000D2B3D">
      <w:pPr>
        <w:pStyle w:val="ListParagraph"/>
        <w:numPr>
          <w:ilvl w:val="0"/>
          <w:numId w:val="26"/>
        </w:numPr>
        <w:spacing w:after="0" w:line="259" w:lineRule="auto"/>
        <w:contextualSpacing/>
        <w:jc w:val="left"/>
      </w:pPr>
      <w:r>
        <w:t xml:space="preserve">The Submitter representing the American Petroleum Institute </w:t>
      </w:r>
      <w:r w:rsidR="009773B1">
        <w:t xml:space="preserve">gave a presentation and </w:t>
      </w:r>
      <w:r w:rsidR="006A553F">
        <w:rPr>
          <w:szCs w:val="20"/>
          <w:lang w:eastAsia="ja-JP"/>
        </w:rPr>
        <w:t>explained</w:t>
      </w:r>
      <w:r w:rsidR="00317F04" w:rsidRPr="00317F04">
        <w:rPr>
          <w:szCs w:val="20"/>
          <w:lang w:eastAsia="ja-JP"/>
        </w:rPr>
        <w:t xml:space="preserve"> that the</w:t>
      </w:r>
      <w:r w:rsidRPr="00317F04">
        <w:rPr>
          <w:szCs w:val="20"/>
          <w:lang w:eastAsia="ja-JP"/>
        </w:rPr>
        <w:t xml:space="preserve"> purpose of </w:t>
      </w:r>
      <w:r w:rsidR="00A678E5">
        <w:rPr>
          <w:szCs w:val="20"/>
          <w:lang w:eastAsia="ja-JP"/>
        </w:rPr>
        <w:t xml:space="preserve">the </w:t>
      </w:r>
      <w:r w:rsidRPr="00317F04">
        <w:rPr>
          <w:szCs w:val="20"/>
          <w:lang w:eastAsia="ja-JP"/>
        </w:rPr>
        <w:t xml:space="preserve">item is to </w:t>
      </w:r>
      <w:r w:rsidR="00A678E5">
        <w:rPr>
          <w:szCs w:val="20"/>
          <w:lang w:eastAsia="ja-JP"/>
        </w:rPr>
        <w:t xml:space="preserve">show adjustments made to </w:t>
      </w:r>
      <w:r w:rsidRPr="00317F04">
        <w:rPr>
          <w:szCs w:val="20"/>
          <w:lang w:eastAsia="ja-JP"/>
        </w:rPr>
        <w:t>correct inaccuracy in volume when blending ethanol and gasoline</w:t>
      </w:r>
      <w:r w:rsidR="00317F04" w:rsidRPr="00317F04">
        <w:rPr>
          <w:szCs w:val="20"/>
          <w:lang w:eastAsia="ja-JP"/>
        </w:rPr>
        <w:t xml:space="preserve"> and that he believes the item is fully developed.  He recommended </w:t>
      </w:r>
      <w:r w:rsidR="006A553F">
        <w:rPr>
          <w:szCs w:val="20"/>
          <w:lang w:eastAsia="ja-JP"/>
        </w:rPr>
        <w:t xml:space="preserve">putting the item forward as </w:t>
      </w:r>
      <w:r w:rsidR="00317F04" w:rsidRPr="00317F04">
        <w:rPr>
          <w:szCs w:val="20"/>
          <w:lang w:eastAsia="ja-JP"/>
        </w:rPr>
        <w:t xml:space="preserve">Voting </w:t>
      </w:r>
      <w:r w:rsidR="006A553F">
        <w:rPr>
          <w:szCs w:val="20"/>
          <w:lang w:eastAsia="ja-JP"/>
        </w:rPr>
        <w:t>and others</w:t>
      </w:r>
      <w:r w:rsidR="00B830B2">
        <w:rPr>
          <w:szCs w:val="20"/>
          <w:lang w:eastAsia="ja-JP"/>
        </w:rPr>
        <w:t xml:space="preserve"> from industry agreed with the submitter and </w:t>
      </w:r>
      <w:r w:rsidR="00DA71C3">
        <w:rPr>
          <w:szCs w:val="20"/>
          <w:lang w:eastAsia="ja-JP"/>
        </w:rPr>
        <w:t>recommended</w:t>
      </w:r>
      <w:r w:rsidR="00A97E8E">
        <w:rPr>
          <w:szCs w:val="20"/>
          <w:lang w:eastAsia="ja-JP"/>
        </w:rPr>
        <w:t xml:space="preserve"> a voting status.</w:t>
      </w:r>
    </w:p>
    <w:p w14:paraId="68D73427" w14:textId="5BA49FE6" w:rsidR="00C016C5" w:rsidRPr="002A7C3B" w:rsidRDefault="00C016C5" w:rsidP="00C016C5">
      <w:pPr>
        <w:spacing w:before="240" w:after="0"/>
        <w:ind w:left="720"/>
        <w:rPr>
          <w:b/>
        </w:rPr>
      </w:pPr>
      <w:r w:rsidRPr="002A7C3B">
        <w:rPr>
          <w:b/>
        </w:rPr>
        <w:t>Advisory:</w:t>
      </w:r>
      <w:r w:rsidR="00A97E8E">
        <w:rPr>
          <w:b/>
        </w:rPr>
        <w:t xml:space="preserve"> </w:t>
      </w:r>
    </w:p>
    <w:p w14:paraId="22F8B87A" w14:textId="7485BA90" w:rsidR="00C016C5" w:rsidRDefault="008C1A09" w:rsidP="00C016C5">
      <w:pPr>
        <w:pStyle w:val="ListParagraph"/>
        <w:numPr>
          <w:ilvl w:val="0"/>
          <w:numId w:val="26"/>
        </w:numPr>
        <w:spacing w:after="0" w:line="259" w:lineRule="auto"/>
        <w:contextualSpacing/>
        <w:jc w:val="left"/>
      </w:pPr>
      <w:r>
        <w:t>None</w:t>
      </w:r>
    </w:p>
    <w:p w14:paraId="570C3391" w14:textId="77777777" w:rsidR="00B84A7F" w:rsidRPr="002A7C3B" w:rsidRDefault="00B84A7F" w:rsidP="00B84A7F">
      <w:pPr>
        <w:pStyle w:val="ListParagraph"/>
        <w:spacing w:after="0" w:line="259" w:lineRule="auto"/>
        <w:ind w:left="1080"/>
        <w:contextualSpacing/>
        <w:jc w:val="left"/>
      </w:pPr>
    </w:p>
    <w:p w14:paraId="3AC9E0E9" w14:textId="71EEC0E7" w:rsidR="00C016C5" w:rsidRPr="002A7C3B" w:rsidRDefault="00C016C5" w:rsidP="00C016C5">
      <w:pPr>
        <w:spacing w:before="240"/>
        <w:rPr>
          <w:b/>
        </w:rPr>
      </w:pPr>
      <w:r>
        <w:rPr>
          <w:b/>
        </w:rPr>
        <w:t>Comments</w:t>
      </w:r>
      <w:r w:rsidRPr="002A7C3B">
        <w:rPr>
          <w:b/>
        </w:rPr>
        <w:t xml:space="preserve"> Against:</w:t>
      </w:r>
    </w:p>
    <w:p w14:paraId="6DC61426" w14:textId="37EC9BF7" w:rsidR="00C016C5" w:rsidRPr="002A7C3B" w:rsidRDefault="0042639E" w:rsidP="00C016C5">
      <w:pPr>
        <w:spacing w:after="0"/>
        <w:ind w:left="720"/>
        <w:rPr>
          <w:b/>
        </w:rPr>
      </w:pPr>
      <w:r>
        <w:rPr>
          <w:b/>
        </w:rPr>
        <w:t>Weights and Measures Officials</w:t>
      </w:r>
      <w:r w:rsidR="00C016C5" w:rsidRPr="002A7C3B">
        <w:rPr>
          <w:b/>
        </w:rPr>
        <w:t>:</w:t>
      </w:r>
    </w:p>
    <w:p w14:paraId="62FFD6E9" w14:textId="2CE44C3B" w:rsidR="00C016C5" w:rsidRPr="002A7C3B" w:rsidRDefault="006A78FD" w:rsidP="007E486F">
      <w:pPr>
        <w:pStyle w:val="ListParagraph"/>
        <w:numPr>
          <w:ilvl w:val="0"/>
          <w:numId w:val="26"/>
        </w:numPr>
        <w:spacing w:after="0" w:line="259" w:lineRule="auto"/>
        <w:contextualSpacing/>
        <w:jc w:val="left"/>
      </w:pPr>
      <w:r>
        <w:t xml:space="preserve">A </w:t>
      </w:r>
      <w:r w:rsidR="001B29F9">
        <w:t>w</w:t>
      </w:r>
      <w:r w:rsidR="00FA24BE" w:rsidRPr="001B29F9">
        <w:t xml:space="preserve">eights and </w:t>
      </w:r>
      <w:r w:rsidR="001B29F9">
        <w:t>m</w:t>
      </w:r>
      <w:r w:rsidR="00FA24BE" w:rsidRPr="001B29F9">
        <w:t>easures official</w:t>
      </w:r>
      <w:r>
        <w:t xml:space="preserve"> from </w:t>
      </w:r>
      <w:proofErr w:type="gramStart"/>
      <w:r w:rsidR="001A5900">
        <w:t>Illinois</w:t>
      </w:r>
      <w:r>
        <w:t xml:space="preserve">  presented</w:t>
      </w:r>
      <w:proofErr w:type="gramEnd"/>
      <w:r>
        <w:t xml:space="preserve"> a handout </w:t>
      </w:r>
      <w:proofErr w:type="gramStart"/>
      <w:r w:rsidR="00742653">
        <w:t xml:space="preserve">opposing </w:t>
      </w:r>
      <w:r w:rsidR="003F47DD">
        <w:t xml:space="preserve"> this</w:t>
      </w:r>
      <w:proofErr w:type="gramEnd"/>
      <w:r w:rsidR="003F47DD">
        <w:t xml:space="preserve"> item </w:t>
      </w:r>
      <w:r>
        <w:t>which is available on the NCWM site under supporting documents.</w:t>
      </w:r>
    </w:p>
    <w:p w14:paraId="0BE49212" w14:textId="6B1DEC3C" w:rsidR="00C016C5" w:rsidRPr="002A7C3B" w:rsidRDefault="00C016C5" w:rsidP="00C016C5">
      <w:pPr>
        <w:spacing w:before="240" w:after="0"/>
        <w:ind w:left="720"/>
        <w:rPr>
          <w:b/>
        </w:rPr>
      </w:pPr>
      <w:r w:rsidRPr="002A7C3B">
        <w:rPr>
          <w:b/>
        </w:rPr>
        <w:t>Industry:</w:t>
      </w:r>
      <w:r w:rsidR="006A78FD">
        <w:rPr>
          <w:b/>
        </w:rPr>
        <w:t xml:space="preserve"> </w:t>
      </w:r>
    </w:p>
    <w:p w14:paraId="5AC485D1" w14:textId="41D47351" w:rsidR="00C016C5" w:rsidRPr="002A7C3B" w:rsidRDefault="008C1A09" w:rsidP="00C016C5">
      <w:pPr>
        <w:pStyle w:val="ListParagraph"/>
        <w:numPr>
          <w:ilvl w:val="0"/>
          <w:numId w:val="27"/>
        </w:numPr>
        <w:spacing w:after="0" w:line="259" w:lineRule="auto"/>
        <w:contextualSpacing/>
        <w:jc w:val="left"/>
      </w:pPr>
      <w:r>
        <w:t>None</w:t>
      </w:r>
    </w:p>
    <w:p w14:paraId="6EFEF300" w14:textId="77777777" w:rsidR="007C0AC0" w:rsidRDefault="00C016C5" w:rsidP="007C0AC0">
      <w:pPr>
        <w:spacing w:before="240"/>
        <w:ind w:left="720"/>
        <w:rPr>
          <w:b/>
        </w:rPr>
      </w:pPr>
      <w:r w:rsidRPr="002A7C3B">
        <w:rPr>
          <w:b/>
        </w:rPr>
        <w:t>Advisory:</w:t>
      </w:r>
      <w:r w:rsidR="004E095D">
        <w:rPr>
          <w:b/>
        </w:rPr>
        <w:t xml:space="preserve"> </w:t>
      </w:r>
    </w:p>
    <w:p w14:paraId="21C9D233" w14:textId="5D2EFF24" w:rsidR="00C016C5" w:rsidRPr="007C0AC0" w:rsidRDefault="004E095D" w:rsidP="007C0AC0">
      <w:pPr>
        <w:spacing w:before="240" w:after="0"/>
        <w:ind w:left="720"/>
        <w:rPr>
          <w:b/>
        </w:rPr>
      </w:pPr>
      <w:r w:rsidRPr="007C0AC0">
        <w:rPr>
          <w:bCs/>
        </w:rPr>
        <w:t xml:space="preserve">The Chair </w:t>
      </w:r>
      <w:r w:rsidR="000074F7" w:rsidRPr="007C0AC0">
        <w:rPr>
          <w:bCs/>
        </w:rPr>
        <w:t>of</w:t>
      </w:r>
      <w:r w:rsidRPr="007C0AC0">
        <w:rPr>
          <w:bCs/>
        </w:rPr>
        <w:t xml:space="preserve"> FALS shared that there was </w:t>
      </w:r>
      <w:r w:rsidR="0043728B" w:rsidRPr="007C0AC0">
        <w:rPr>
          <w:bCs/>
        </w:rPr>
        <w:t xml:space="preserve">both support and </w:t>
      </w:r>
      <w:r w:rsidRPr="007C0AC0">
        <w:rPr>
          <w:bCs/>
        </w:rPr>
        <w:t xml:space="preserve">opposition to this item in </w:t>
      </w:r>
      <w:r w:rsidR="000074F7" w:rsidRPr="007C0AC0">
        <w:rPr>
          <w:bCs/>
        </w:rPr>
        <w:t xml:space="preserve">the </w:t>
      </w:r>
      <w:r w:rsidRPr="007C0AC0">
        <w:rPr>
          <w:bCs/>
        </w:rPr>
        <w:t>FALS</w:t>
      </w:r>
      <w:r w:rsidR="000074F7" w:rsidRPr="007C0AC0">
        <w:rPr>
          <w:bCs/>
        </w:rPr>
        <w:t xml:space="preserve"> meeting. For this reason, FALS</w:t>
      </w:r>
      <w:r w:rsidR="000E5CC5" w:rsidRPr="007C0AC0">
        <w:rPr>
          <w:bCs/>
        </w:rPr>
        <w:t xml:space="preserve"> took no position</w:t>
      </w:r>
      <w:r w:rsidRPr="007C0AC0">
        <w:rPr>
          <w:bCs/>
        </w:rPr>
        <w:t>.</w:t>
      </w:r>
    </w:p>
    <w:p w14:paraId="5691B6AF" w14:textId="77777777" w:rsidR="00C016C5" w:rsidRPr="002A7C3B" w:rsidRDefault="00C016C5" w:rsidP="00C016C5">
      <w:pPr>
        <w:spacing w:before="240"/>
        <w:rPr>
          <w:b/>
        </w:rPr>
      </w:pPr>
      <w:r>
        <w:rPr>
          <w:b/>
        </w:rPr>
        <w:t>Neutral Comments</w:t>
      </w:r>
      <w:r w:rsidRPr="002A7C3B">
        <w:rPr>
          <w:b/>
        </w:rPr>
        <w:t>:</w:t>
      </w:r>
    </w:p>
    <w:p w14:paraId="2F1A2E58" w14:textId="77CEB741" w:rsidR="00C016C5" w:rsidRPr="002A7C3B" w:rsidRDefault="0042639E" w:rsidP="00C016C5">
      <w:pPr>
        <w:spacing w:after="0"/>
        <w:ind w:left="720"/>
        <w:rPr>
          <w:b/>
        </w:rPr>
      </w:pPr>
      <w:r>
        <w:rPr>
          <w:b/>
        </w:rPr>
        <w:t>Weights and Measures Officials</w:t>
      </w:r>
      <w:r w:rsidR="00C016C5" w:rsidRPr="002A7C3B">
        <w:rPr>
          <w:b/>
        </w:rPr>
        <w:t>:</w:t>
      </w:r>
    </w:p>
    <w:p w14:paraId="1A70A67C" w14:textId="2780C04A" w:rsidR="00C016C5" w:rsidRPr="002A7C3B" w:rsidRDefault="00B226AE" w:rsidP="0014320B">
      <w:pPr>
        <w:pStyle w:val="ListParagraph"/>
        <w:numPr>
          <w:ilvl w:val="0"/>
          <w:numId w:val="26"/>
        </w:numPr>
        <w:spacing w:after="0" w:line="259" w:lineRule="auto"/>
        <w:contextualSpacing/>
        <w:jc w:val="left"/>
      </w:pPr>
      <w:r>
        <w:t>Numerous</w:t>
      </w:r>
      <w:r w:rsidR="006A78FD">
        <w:t xml:space="preserve"> </w:t>
      </w:r>
      <w:r w:rsidR="001B29F9">
        <w:t>w</w:t>
      </w:r>
      <w:r w:rsidR="00FA24BE" w:rsidRPr="001B29F9">
        <w:t xml:space="preserve">eights and </w:t>
      </w:r>
      <w:r w:rsidR="001B29F9">
        <w:t>m</w:t>
      </w:r>
      <w:r w:rsidR="00FA24BE" w:rsidRPr="001B29F9">
        <w:t xml:space="preserve">easures officials </w:t>
      </w:r>
      <w:r w:rsidR="006A78FD" w:rsidRPr="001B29F9">
        <w:t>spoke</w:t>
      </w:r>
      <w:r w:rsidR="006A78FD">
        <w:t xml:space="preserve"> on the proposed item and agree this should have a</w:t>
      </w:r>
      <w:r w:rsidR="0014320B">
        <w:t>n</w:t>
      </w:r>
      <w:r w:rsidR="006A78FD">
        <w:t xml:space="preserve"> </w:t>
      </w:r>
      <w:r w:rsidR="0014320B">
        <w:t>A</w:t>
      </w:r>
      <w:r w:rsidR="006A78FD">
        <w:t>ssigned</w:t>
      </w:r>
      <w:r w:rsidR="00AB23FF">
        <w:t xml:space="preserve"> or Developing</w:t>
      </w:r>
      <w:r w:rsidR="006A78FD">
        <w:t xml:space="preserve"> status.</w:t>
      </w:r>
    </w:p>
    <w:p w14:paraId="6EAFA595" w14:textId="1AB0B3C1" w:rsidR="00C016C5" w:rsidRPr="002A7C3B" w:rsidRDefault="00C016C5" w:rsidP="00C016C5">
      <w:pPr>
        <w:spacing w:before="240" w:after="0"/>
        <w:ind w:left="720"/>
        <w:rPr>
          <w:b/>
        </w:rPr>
      </w:pPr>
      <w:r w:rsidRPr="002A7C3B">
        <w:rPr>
          <w:b/>
        </w:rPr>
        <w:t>Industry:</w:t>
      </w:r>
    </w:p>
    <w:p w14:paraId="63702A5B" w14:textId="16233A4C" w:rsidR="00C016C5" w:rsidRPr="002A7C3B" w:rsidRDefault="00620086" w:rsidP="0014320B">
      <w:pPr>
        <w:pStyle w:val="ListParagraph"/>
        <w:numPr>
          <w:ilvl w:val="0"/>
          <w:numId w:val="26"/>
        </w:numPr>
        <w:spacing w:after="0" w:line="259" w:lineRule="auto"/>
        <w:contextualSpacing/>
        <w:jc w:val="left"/>
      </w:pPr>
      <w:r>
        <w:t>The submitter after hearing comments from the floor agree</w:t>
      </w:r>
      <w:r w:rsidR="004955AA">
        <w:t>d that this item should align between L&amp;R and S&amp;T.</w:t>
      </w:r>
    </w:p>
    <w:p w14:paraId="6115CE2E" w14:textId="77777777" w:rsidR="00C016C5" w:rsidRPr="002A7C3B" w:rsidRDefault="00C016C5" w:rsidP="00C016C5">
      <w:pPr>
        <w:spacing w:before="240" w:after="0"/>
        <w:ind w:left="720"/>
        <w:rPr>
          <w:b/>
        </w:rPr>
      </w:pPr>
      <w:r w:rsidRPr="002A7C3B">
        <w:rPr>
          <w:b/>
        </w:rPr>
        <w:t>Advisory:</w:t>
      </w:r>
    </w:p>
    <w:p w14:paraId="1C93B4D9" w14:textId="5073AA8A" w:rsidR="00C016C5" w:rsidRPr="00B530E4" w:rsidRDefault="00627F95" w:rsidP="007169B6">
      <w:pPr>
        <w:pStyle w:val="ListParagraph"/>
        <w:numPr>
          <w:ilvl w:val="0"/>
          <w:numId w:val="64"/>
        </w:numPr>
        <w:spacing w:after="160" w:line="278" w:lineRule="auto"/>
        <w:contextualSpacing/>
        <w:jc w:val="left"/>
        <w:rPr>
          <w:szCs w:val="20"/>
          <w:lang w:eastAsia="ja-JP"/>
        </w:rPr>
      </w:pPr>
      <w:r>
        <w:t xml:space="preserve">The representative of NIST OWM stated that there </w:t>
      </w:r>
      <w:r>
        <w:rPr>
          <w:szCs w:val="20"/>
          <w:lang w:eastAsia="ja-JP"/>
        </w:rPr>
        <w:t xml:space="preserve">should </w:t>
      </w:r>
      <w:r w:rsidR="000B0823">
        <w:rPr>
          <w:szCs w:val="20"/>
          <w:lang w:eastAsia="ja-JP"/>
        </w:rPr>
        <w:t xml:space="preserve">be </w:t>
      </w:r>
      <w:r>
        <w:rPr>
          <w:szCs w:val="20"/>
          <w:lang w:eastAsia="ja-JP"/>
        </w:rPr>
        <w:t xml:space="preserve">harmonization between MOS and FLR </w:t>
      </w:r>
      <w:r w:rsidR="000B0823">
        <w:rPr>
          <w:szCs w:val="20"/>
          <w:lang w:eastAsia="ja-JP"/>
        </w:rPr>
        <w:t xml:space="preserve">and </w:t>
      </w:r>
      <w:r>
        <w:rPr>
          <w:szCs w:val="20"/>
          <w:lang w:eastAsia="ja-JP"/>
        </w:rPr>
        <w:t xml:space="preserve">need to move </w:t>
      </w:r>
      <w:proofErr w:type="gramStart"/>
      <w:r>
        <w:rPr>
          <w:szCs w:val="20"/>
          <w:lang w:eastAsia="ja-JP"/>
        </w:rPr>
        <w:t xml:space="preserve">the </w:t>
      </w:r>
      <w:r w:rsidR="000B0823">
        <w:rPr>
          <w:szCs w:val="20"/>
          <w:lang w:eastAsia="ja-JP"/>
        </w:rPr>
        <w:t xml:space="preserve"> </w:t>
      </w:r>
      <w:r>
        <w:rPr>
          <w:szCs w:val="20"/>
          <w:lang w:eastAsia="ja-JP"/>
        </w:rPr>
        <w:t>items</w:t>
      </w:r>
      <w:proofErr w:type="gramEnd"/>
      <w:r>
        <w:rPr>
          <w:szCs w:val="20"/>
          <w:lang w:eastAsia="ja-JP"/>
        </w:rPr>
        <w:t xml:space="preserve"> </w:t>
      </w:r>
      <w:r w:rsidR="000B0823">
        <w:rPr>
          <w:szCs w:val="20"/>
          <w:lang w:eastAsia="ja-JP"/>
        </w:rPr>
        <w:t xml:space="preserve">before </w:t>
      </w:r>
      <w:r>
        <w:rPr>
          <w:szCs w:val="20"/>
          <w:lang w:eastAsia="ja-JP"/>
        </w:rPr>
        <w:t>S&amp;T and L&amp;R together</w:t>
      </w:r>
      <w:r w:rsidR="000B0823">
        <w:rPr>
          <w:szCs w:val="20"/>
          <w:lang w:eastAsia="ja-JP"/>
        </w:rPr>
        <w:t xml:space="preserve">.  They recommended assigning this </w:t>
      </w:r>
      <w:r w:rsidR="00424E14">
        <w:rPr>
          <w:szCs w:val="20"/>
          <w:lang w:eastAsia="ja-JP"/>
        </w:rPr>
        <w:t>item and the S&amp;T item to a Work Group.</w:t>
      </w:r>
    </w:p>
    <w:p w14:paraId="698D9F27" w14:textId="77777777" w:rsidR="00C016C5" w:rsidRPr="00E025F9" w:rsidRDefault="00C016C5" w:rsidP="00C016C5">
      <w:pPr>
        <w:spacing w:before="240" w:after="0"/>
        <w:rPr>
          <w:b/>
        </w:rPr>
      </w:pPr>
      <w:r w:rsidRPr="002A7C3B">
        <w:rPr>
          <w:b/>
        </w:rPr>
        <w:t>Item Develop</w:t>
      </w:r>
      <w:r w:rsidRPr="00E025F9">
        <w:rPr>
          <w:b/>
        </w:rPr>
        <w:t>ment:</w:t>
      </w:r>
    </w:p>
    <w:p w14:paraId="791F8F74" w14:textId="2DEF90BF" w:rsidR="00C016C5" w:rsidRDefault="0076491B" w:rsidP="00C016C5">
      <w:r>
        <w:t>New Proposal</w:t>
      </w:r>
      <w:r w:rsidR="00EC3CDB">
        <w:t xml:space="preserve"> 2026</w:t>
      </w:r>
    </w:p>
    <w:p w14:paraId="1D0B7BBF" w14:textId="3ABF6A66" w:rsidR="00EC3CDB" w:rsidRDefault="00EC3CDB" w:rsidP="00347DDC">
      <w:pPr>
        <w:widowControl w:val="0"/>
        <w:spacing w:after="0"/>
        <w:rPr>
          <w:szCs w:val="20"/>
        </w:rPr>
      </w:pPr>
      <w:r w:rsidRPr="001B29F9">
        <w:rPr>
          <w:szCs w:val="20"/>
          <w:u w:val="single"/>
        </w:rPr>
        <w:t>NCWM 2026 Interim:</w:t>
      </w:r>
      <w:r w:rsidR="008C1A09" w:rsidRPr="001B29F9">
        <w:rPr>
          <w:szCs w:val="20"/>
        </w:rPr>
        <w:t xml:space="preserve">  </w:t>
      </w:r>
      <w:r w:rsidR="00724F6E" w:rsidRPr="001B29F9">
        <w:rPr>
          <w:szCs w:val="20"/>
        </w:rPr>
        <w:t xml:space="preserve"> The Committee </w:t>
      </w:r>
      <w:r w:rsidR="009E437F" w:rsidRPr="001B29F9">
        <w:rPr>
          <w:szCs w:val="20"/>
        </w:rPr>
        <w:t>re</w:t>
      </w:r>
      <w:r w:rsidR="004F5662" w:rsidRPr="001B29F9">
        <w:rPr>
          <w:szCs w:val="20"/>
        </w:rPr>
        <w:t>ceived comments</w:t>
      </w:r>
      <w:r w:rsidR="00724F6E" w:rsidRPr="001B29F9">
        <w:rPr>
          <w:szCs w:val="20"/>
        </w:rPr>
        <w:t xml:space="preserve"> in favor of this item from several industry representatives</w:t>
      </w:r>
      <w:r w:rsidR="008E7488" w:rsidRPr="001B29F9">
        <w:rPr>
          <w:szCs w:val="20"/>
        </w:rPr>
        <w:t>; t</w:t>
      </w:r>
      <w:r w:rsidR="00C814FA" w:rsidRPr="001B29F9">
        <w:rPr>
          <w:szCs w:val="20"/>
        </w:rPr>
        <w:t>he</w:t>
      </w:r>
      <w:r w:rsidR="00532066" w:rsidRPr="001B29F9">
        <w:rPr>
          <w:szCs w:val="20"/>
        </w:rPr>
        <w:t>y</w:t>
      </w:r>
      <w:r w:rsidR="00C814FA" w:rsidRPr="001B29F9">
        <w:rPr>
          <w:szCs w:val="20"/>
        </w:rPr>
        <w:t xml:space="preserve"> expressed the item was fully developed and recommended voting status.</w:t>
      </w:r>
      <w:r w:rsidR="00724F6E" w:rsidRPr="001B29F9">
        <w:rPr>
          <w:szCs w:val="20"/>
        </w:rPr>
        <w:t xml:space="preserve"> On the other hand, </w:t>
      </w:r>
      <w:r w:rsidR="00C814FA" w:rsidRPr="001B29F9">
        <w:rPr>
          <w:szCs w:val="20"/>
        </w:rPr>
        <w:t>no</w:t>
      </w:r>
      <w:r w:rsidR="00724F6E" w:rsidRPr="001B29F9">
        <w:rPr>
          <w:szCs w:val="20"/>
        </w:rPr>
        <w:t xml:space="preserve"> </w:t>
      </w:r>
      <w:r w:rsidR="001B29F9">
        <w:rPr>
          <w:szCs w:val="20"/>
        </w:rPr>
        <w:t>w</w:t>
      </w:r>
      <w:r w:rsidR="00724F6E" w:rsidRPr="001B29F9">
        <w:rPr>
          <w:szCs w:val="20"/>
        </w:rPr>
        <w:t>eigh</w:t>
      </w:r>
      <w:r w:rsidR="00C814FA" w:rsidRPr="001B29F9">
        <w:rPr>
          <w:szCs w:val="20"/>
        </w:rPr>
        <w:t>ts</w:t>
      </w:r>
      <w:r w:rsidR="00724F6E" w:rsidRPr="001B29F9">
        <w:rPr>
          <w:szCs w:val="20"/>
        </w:rPr>
        <w:t xml:space="preserve"> and </w:t>
      </w:r>
      <w:r w:rsidR="001B29F9">
        <w:rPr>
          <w:szCs w:val="20"/>
        </w:rPr>
        <w:t>m</w:t>
      </w:r>
      <w:r w:rsidR="00724F6E" w:rsidRPr="001B29F9">
        <w:rPr>
          <w:szCs w:val="20"/>
        </w:rPr>
        <w:t xml:space="preserve">easures </w:t>
      </w:r>
      <w:r w:rsidR="001B29F9">
        <w:rPr>
          <w:szCs w:val="20"/>
        </w:rPr>
        <w:t>o</w:t>
      </w:r>
      <w:r w:rsidR="00724F6E" w:rsidRPr="001B29F9">
        <w:rPr>
          <w:szCs w:val="20"/>
        </w:rPr>
        <w:t xml:space="preserve">fficials </w:t>
      </w:r>
      <w:r w:rsidR="00C814FA" w:rsidRPr="001B29F9">
        <w:rPr>
          <w:szCs w:val="20"/>
        </w:rPr>
        <w:t>supported</w:t>
      </w:r>
      <w:r w:rsidR="00C814FA">
        <w:rPr>
          <w:szCs w:val="20"/>
        </w:rPr>
        <w:t xml:space="preserve"> the item</w:t>
      </w:r>
      <w:r w:rsidR="00807956">
        <w:rPr>
          <w:szCs w:val="20"/>
        </w:rPr>
        <w:t xml:space="preserve"> as written</w:t>
      </w:r>
      <w:r w:rsidR="00C814FA">
        <w:rPr>
          <w:szCs w:val="20"/>
        </w:rPr>
        <w:t>. A representative f</w:t>
      </w:r>
      <w:r w:rsidR="002E2E86">
        <w:rPr>
          <w:szCs w:val="20"/>
        </w:rPr>
        <w:t>rom</w:t>
      </w:r>
      <w:r w:rsidR="00C814FA">
        <w:rPr>
          <w:szCs w:val="20"/>
        </w:rPr>
        <w:t xml:space="preserve"> </w:t>
      </w:r>
      <w:r w:rsidR="00532066">
        <w:rPr>
          <w:szCs w:val="20"/>
        </w:rPr>
        <w:t>Illinois</w:t>
      </w:r>
      <w:r w:rsidR="00C814FA">
        <w:rPr>
          <w:szCs w:val="20"/>
        </w:rPr>
        <w:t xml:space="preserve"> recommended </w:t>
      </w:r>
      <w:proofErr w:type="gramStart"/>
      <w:r w:rsidR="00C814FA">
        <w:rPr>
          <w:szCs w:val="20"/>
        </w:rPr>
        <w:t>withdrawn</w:t>
      </w:r>
      <w:proofErr w:type="gramEnd"/>
      <w:r w:rsidR="00C814FA">
        <w:rPr>
          <w:szCs w:val="20"/>
        </w:rPr>
        <w:t xml:space="preserve">, </w:t>
      </w:r>
      <w:r w:rsidR="00532066">
        <w:rPr>
          <w:szCs w:val="20"/>
        </w:rPr>
        <w:t>some</w:t>
      </w:r>
      <w:r w:rsidR="00C814FA">
        <w:rPr>
          <w:szCs w:val="20"/>
        </w:rPr>
        <w:t xml:space="preserve"> others </w:t>
      </w:r>
      <w:r w:rsidR="00C814FA" w:rsidRPr="001B29F9">
        <w:rPr>
          <w:szCs w:val="20"/>
        </w:rPr>
        <w:t xml:space="preserve">recommended further </w:t>
      </w:r>
      <w:r w:rsidR="00F7514F" w:rsidRPr="001B29F9">
        <w:rPr>
          <w:szCs w:val="20"/>
        </w:rPr>
        <w:t>development,</w:t>
      </w:r>
      <w:r w:rsidR="00C814FA" w:rsidRPr="001B29F9">
        <w:rPr>
          <w:szCs w:val="20"/>
        </w:rPr>
        <w:t xml:space="preserve"> and many recommended it to be assigned to a </w:t>
      </w:r>
      <w:r w:rsidR="000E250C" w:rsidRPr="001B29F9">
        <w:rPr>
          <w:szCs w:val="20"/>
        </w:rPr>
        <w:t>W</w:t>
      </w:r>
      <w:r w:rsidR="00C814FA" w:rsidRPr="001B29F9">
        <w:rPr>
          <w:szCs w:val="20"/>
        </w:rPr>
        <w:t xml:space="preserve">ork </w:t>
      </w:r>
      <w:r w:rsidR="000E250C" w:rsidRPr="001B29F9">
        <w:rPr>
          <w:szCs w:val="20"/>
        </w:rPr>
        <w:t>G</w:t>
      </w:r>
      <w:r w:rsidR="00C814FA" w:rsidRPr="001B29F9">
        <w:rPr>
          <w:szCs w:val="20"/>
        </w:rPr>
        <w:t xml:space="preserve">roup </w:t>
      </w:r>
      <w:r w:rsidR="00532066" w:rsidRPr="001B29F9">
        <w:rPr>
          <w:szCs w:val="20"/>
        </w:rPr>
        <w:t xml:space="preserve">for further review and development. </w:t>
      </w:r>
      <w:r w:rsidR="001B29F9" w:rsidRPr="00FD3A16">
        <w:rPr>
          <w:szCs w:val="20"/>
        </w:rPr>
        <w:t>w</w:t>
      </w:r>
      <w:r w:rsidR="00532066" w:rsidRPr="001B29F9">
        <w:rPr>
          <w:szCs w:val="20"/>
        </w:rPr>
        <w:t xml:space="preserve">eights and </w:t>
      </w:r>
      <w:r w:rsidR="001B29F9" w:rsidRPr="00FD3A16">
        <w:rPr>
          <w:szCs w:val="20"/>
        </w:rPr>
        <w:t>m</w:t>
      </w:r>
      <w:r w:rsidR="00532066" w:rsidRPr="001B29F9">
        <w:rPr>
          <w:szCs w:val="20"/>
        </w:rPr>
        <w:t xml:space="preserve">easures </w:t>
      </w:r>
      <w:r w:rsidR="001B29F9" w:rsidRPr="00FD3A16">
        <w:rPr>
          <w:szCs w:val="20"/>
        </w:rPr>
        <w:t>o</w:t>
      </w:r>
      <w:r w:rsidR="00532066" w:rsidRPr="001B29F9">
        <w:rPr>
          <w:szCs w:val="20"/>
        </w:rPr>
        <w:t xml:space="preserve">fficials, Advisors </w:t>
      </w:r>
      <w:proofErr w:type="gramStart"/>
      <w:r w:rsidR="00532066" w:rsidRPr="001B29F9">
        <w:rPr>
          <w:szCs w:val="20"/>
        </w:rPr>
        <w:t xml:space="preserve">from </w:t>
      </w:r>
      <w:r w:rsidR="00116A15" w:rsidRPr="001B29F9">
        <w:rPr>
          <w:szCs w:val="20"/>
        </w:rPr>
        <w:t xml:space="preserve"> NIST</w:t>
      </w:r>
      <w:proofErr w:type="gramEnd"/>
      <w:r w:rsidR="00116A15" w:rsidRPr="001B29F9">
        <w:rPr>
          <w:szCs w:val="20"/>
        </w:rPr>
        <w:t xml:space="preserve"> </w:t>
      </w:r>
      <w:r w:rsidR="00532066" w:rsidRPr="001B29F9">
        <w:rPr>
          <w:szCs w:val="20"/>
        </w:rPr>
        <w:t xml:space="preserve">OWM, </w:t>
      </w:r>
      <w:r w:rsidR="00F7514F" w:rsidRPr="001B29F9">
        <w:rPr>
          <w:szCs w:val="20"/>
        </w:rPr>
        <w:t xml:space="preserve">FALS, </w:t>
      </w:r>
      <w:r w:rsidR="00532066" w:rsidRPr="001B29F9">
        <w:rPr>
          <w:szCs w:val="20"/>
        </w:rPr>
        <w:t xml:space="preserve">and even the submitter concurred the </w:t>
      </w:r>
      <w:r w:rsidR="003759DB" w:rsidRPr="001B29F9">
        <w:rPr>
          <w:szCs w:val="20"/>
        </w:rPr>
        <w:t xml:space="preserve">proposed </w:t>
      </w:r>
      <w:r w:rsidR="00532066" w:rsidRPr="001B29F9">
        <w:rPr>
          <w:szCs w:val="20"/>
        </w:rPr>
        <w:t>language in this item shall al</w:t>
      </w:r>
      <w:r w:rsidR="00320F53" w:rsidRPr="001B29F9">
        <w:rPr>
          <w:szCs w:val="20"/>
        </w:rPr>
        <w:t xml:space="preserve">so be included in </w:t>
      </w:r>
      <w:r w:rsidR="00532066" w:rsidRPr="001B29F9">
        <w:rPr>
          <w:szCs w:val="20"/>
        </w:rPr>
        <w:t>FLR</w:t>
      </w:r>
      <w:r w:rsidR="008F13EE" w:rsidRPr="001B29F9">
        <w:rPr>
          <w:szCs w:val="20"/>
        </w:rPr>
        <w:t xml:space="preserve"> 3.2.5</w:t>
      </w:r>
      <w:r w:rsidR="00532066" w:rsidRPr="001B29F9">
        <w:rPr>
          <w:szCs w:val="20"/>
        </w:rPr>
        <w:t xml:space="preserve">. In addition, </w:t>
      </w:r>
      <w:r w:rsidR="00A275B7" w:rsidRPr="001B29F9">
        <w:rPr>
          <w:szCs w:val="20"/>
        </w:rPr>
        <w:t xml:space="preserve">several </w:t>
      </w:r>
      <w:r w:rsidR="001B29F9" w:rsidRPr="00FD3A16">
        <w:rPr>
          <w:szCs w:val="20"/>
        </w:rPr>
        <w:t>w</w:t>
      </w:r>
      <w:r w:rsidR="00532066" w:rsidRPr="001B29F9">
        <w:rPr>
          <w:szCs w:val="20"/>
        </w:rPr>
        <w:t xml:space="preserve">eights and </w:t>
      </w:r>
      <w:r w:rsidR="001B29F9" w:rsidRPr="00FD3A16">
        <w:rPr>
          <w:szCs w:val="20"/>
        </w:rPr>
        <w:t>m</w:t>
      </w:r>
      <w:r w:rsidR="00532066" w:rsidRPr="001B29F9">
        <w:rPr>
          <w:szCs w:val="20"/>
        </w:rPr>
        <w:t xml:space="preserve">easures </w:t>
      </w:r>
      <w:r w:rsidR="001B29F9" w:rsidRPr="00FD3A16">
        <w:rPr>
          <w:szCs w:val="20"/>
        </w:rPr>
        <w:t>o</w:t>
      </w:r>
      <w:r w:rsidR="00532066" w:rsidRPr="001B29F9">
        <w:rPr>
          <w:szCs w:val="20"/>
        </w:rPr>
        <w:t>fficials</w:t>
      </w:r>
      <w:r w:rsidR="00532066">
        <w:rPr>
          <w:szCs w:val="20"/>
        </w:rPr>
        <w:t xml:space="preserve"> and NIST Advisors recommended this item to move forward contingent to Item LMD-26.1 from the L&amp;R agenda</w:t>
      </w:r>
      <w:r w:rsidR="00F7514F">
        <w:rPr>
          <w:szCs w:val="20"/>
        </w:rPr>
        <w:t xml:space="preserve"> moving forward as voting</w:t>
      </w:r>
      <w:r w:rsidR="00532066">
        <w:rPr>
          <w:szCs w:val="20"/>
        </w:rPr>
        <w:t xml:space="preserve">. </w:t>
      </w:r>
      <w:r w:rsidR="00724F6E">
        <w:rPr>
          <w:szCs w:val="20"/>
        </w:rPr>
        <w:t xml:space="preserve">  </w:t>
      </w:r>
    </w:p>
    <w:p w14:paraId="06CC4517" w14:textId="6BD1D597" w:rsidR="00EC3CDB" w:rsidRDefault="009B1AC8" w:rsidP="00347DDC">
      <w:pPr>
        <w:keepNext/>
        <w:keepLines/>
      </w:pPr>
      <w:r>
        <w:lastRenderedPageBreak/>
        <w:t xml:space="preserve">The Committee recommends this item be assigned to a Work Group for further vetting and </w:t>
      </w:r>
      <w:proofErr w:type="gramStart"/>
      <w:r>
        <w:t>developing</w:t>
      </w:r>
      <w:proofErr w:type="gramEnd"/>
      <w:r>
        <w:t xml:space="preserve">. </w:t>
      </w:r>
      <w:r w:rsidR="001A7C53">
        <w:t xml:space="preserve">The Task Group will be charged </w:t>
      </w:r>
      <w:r w:rsidR="004D1B00">
        <w:t xml:space="preserve">with determining if </w:t>
      </w:r>
      <w:r w:rsidR="0049434B">
        <w:t xml:space="preserve">the </w:t>
      </w:r>
      <w:r w:rsidR="002629A5">
        <w:t>item</w:t>
      </w:r>
      <w:r w:rsidR="0049434B">
        <w:t xml:space="preserve"> is needed or not</w:t>
      </w:r>
      <w:r w:rsidR="00C91CAF">
        <w:t xml:space="preserve">, </w:t>
      </w:r>
      <w:r w:rsidR="00B46909">
        <w:t xml:space="preserve">and if yes, </w:t>
      </w:r>
      <w:r w:rsidR="001F3CC5">
        <w:t>developing the final language and including it in FLR</w:t>
      </w:r>
      <w:r w:rsidR="00785948">
        <w:t xml:space="preserve"> 3.2.5</w:t>
      </w:r>
      <w:r w:rsidR="001F3CC5">
        <w:t xml:space="preserve"> to alig</w:t>
      </w:r>
      <w:r w:rsidR="002C1A05">
        <w:t>n</w:t>
      </w:r>
      <w:r w:rsidR="001F3CC5">
        <w:t xml:space="preserve"> both sections. In addition, </w:t>
      </w:r>
      <w:r w:rsidR="005414AF">
        <w:t xml:space="preserve">the group will recommend </w:t>
      </w:r>
      <w:proofErr w:type="gramStart"/>
      <w:r w:rsidR="005414AF">
        <w:t>if</w:t>
      </w:r>
      <w:proofErr w:type="gramEnd"/>
      <w:r w:rsidR="005414AF">
        <w:t xml:space="preserve"> the items </w:t>
      </w:r>
      <w:proofErr w:type="gramStart"/>
      <w:r w:rsidR="005414AF">
        <w:t>shall</w:t>
      </w:r>
      <w:proofErr w:type="gramEnd"/>
      <w:r w:rsidR="005414AF">
        <w:t xml:space="preserve"> move forward </w:t>
      </w:r>
      <w:r w:rsidR="00A678E5">
        <w:t xml:space="preserve">as voting </w:t>
      </w:r>
      <w:proofErr w:type="gramStart"/>
      <w:r w:rsidR="005414AF">
        <w:t xml:space="preserve">contingent </w:t>
      </w:r>
      <w:r w:rsidR="00283DA6">
        <w:t xml:space="preserve"> </w:t>
      </w:r>
      <w:r w:rsidR="00A678E5">
        <w:t>to</w:t>
      </w:r>
      <w:proofErr w:type="gramEnd"/>
      <w:r w:rsidR="00A678E5">
        <w:t xml:space="preserve"> one another </w:t>
      </w:r>
      <w:r w:rsidR="002629A5">
        <w:t>or not</w:t>
      </w:r>
      <w:r w:rsidR="009E3962">
        <w:t>.</w:t>
      </w:r>
    </w:p>
    <w:p w14:paraId="3F358C5E" w14:textId="149B8D76" w:rsidR="0076491B" w:rsidRDefault="00C016C5" w:rsidP="0076491B">
      <w:pPr>
        <w:rPr>
          <w:b/>
        </w:rPr>
      </w:pPr>
      <w:r w:rsidRPr="00E025F9">
        <w:rPr>
          <w:b/>
        </w:rPr>
        <w:t>Regional Associations’ Comments:</w:t>
      </w:r>
    </w:p>
    <w:p w14:paraId="020237FB" w14:textId="792B2133" w:rsidR="00B55C17" w:rsidRDefault="00C8190C" w:rsidP="001A03F1">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37338ABE" w14:textId="79776729" w:rsidR="00FF211F" w:rsidRDefault="00FF211F" w:rsidP="001A03F1">
      <w:pPr>
        <w:rPr>
          <w:rFonts w:eastAsia="Times New Roman"/>
          <w:szCs w:val="24"/>
        </w:rPr>
      </w:pPr>
      <w:r>
        <w:rPr>
          <w:rFonts w:eastAsia="Times New Roman"/>
          <w:szCs w:val="24"/>
        </w:rPr>
        <w:t>Mr. Matt Sheehan (Chevron) gave a presentation, which is available on the WWMA website, and recommended a voting status</w:t>
      </w:r>
      <w:r w:rsidR="001A03F1">
        <w:rPr>
          <w:rFonts w:eastAsia="Times New Roman"/>
          <w:szCs w:val="24"/>
        </w:rPr>
        <w:t>.</w:t>
      </w:r>
    </w:p>
    <w:p w14:paraId="73465005" w14:textId="7F5F7764" w:rsidR="00FF211F" w:rsidRDefault="00FF211F" w:rsidP="001A03F1">
      <w:pPr>
        <w:rPr>
          <w:rFonts w:eastAsia="Times New Roman"/>
          <w:szCs w:val="24"/>
        </w:rPr>
      </w:pPr>
      <w:r>
        <w:rPr>
          <w:rFonts w:eastAsia="Times New Roman"/>
          <w:szCs w:val="24"/>
        </w:rPr>
        <w:t xml:space="preserve">Russ Lewis (Marathon Petroleum) supported a voting status. </w:t>
      </w:r>
    </w:p>
    <w:p w14:paraId="10C92FEB" w14:textId="5698BD1A" w:rsidR="00FF211F" w:rsidRDefault="00FF211F" w:rsidP="001A03F1">
      <w:pPr>
        <w:rPr>
          <w:rFonts w:eastAsia="Times New Roman"/>
          <w:szCs w:val="24"/>
        </w:rPr>
      </w:pPr>
      <w:r>
        <w:rPr>
          <w:rFonts w:eastAsia="Times New Roman"/>
          <w:szCs w:val="24"/>
        </w:rPr>
        <w:t>Mr. Kevin Schnepp (</w:t>
      </w:r>
      <w:r w:rsidRPr="00DD1C0A">
        <w:rPr>
          <w:rFonts w:eastAsia="Times New Roman"/>
          <w:szCs w:val="24"/>
        </w:rPr>
        <w:t>California</w:t>
      </w:r>
      <w:r>
        <w:rPr>
          <w:rFonts w:eastAsia="Times New Roman"/>
          <w:szCs w:val="24"/>
        </w:rPr>
        <w:t xml:space="preserve"> Division of</w:t>
      </w:r>
      <w:r w:rsidRPr="00DD1C0A">
        <w:rPr>
          <w:rFonts w:eastAsia="Times New Roman"/>
          <w:szCs w:val="24"/>
        </w:rPr>
        <w:t xml:space="preserve"> Measurement Standards</w:t>
      </w:r>
      <w:r>
        <w:rPr>
          <w:rFonts w:eastAsia="Times New Roman"/>
          <w:szCs w:val="24"/>
        </w:rPr>
        <w:t xml:space="preserve">) made the comment that there have been efforts to harmonize the </w:t>
      </w:r>
      <w:r w:rsidRPr="002A5859">
        <w:rPr>
          <w:rFonts w:eastAsia="Times New Roman"/>
          <w:szCs w:val="24"/>
        </w:rPr>
        <w:t>Uniform Fuels and Automotive Lubricants Regulation</w:t>
      </w:r>
      <w:r>
        <w:rPr>
          <w:rFonts w:eastAsia="Times New Roman"/>
          <w:szCs w:val="24"/>
        </w:rPr>
        <w:t xml:space="preserve"> with the </w:t>
      </w:r>
      <w:r w:rsidRPr="00310F85">
        <w:rPr>
          <w:rFonts w:eastAsia="Times New Roman"/>
          <w:szCs w:val="24"/>
        </w:rPr>
        <w:t>Uniform Regulation for the Method of Sale of Commodities</w:t>
      </w:r>
      <w:r>
        <w:rPr>
          <w:rFonts w:eastAsia="Times New Roman"/>
          <w:szCs w:val="24"/>
        </w:rPr>
        <w:t xml:space="preserve"> and that FLR 3.2.5 would need to be harmonized with this MOS language. </w:t>
      </w:r>
    </w:p>
    <w:p w14:paraId="622A9AC6" w14:textId="7AA4DFF4" w:rsidR="00FF211F" w:rsidRDefault="00FF211F" w:rsidP="001A03F1">
      <w:pPr>
        <w:rPr>
          <w:rFonts w:eastAsia="Times New Roman"/>
          <w:szCs w:val="24"/>
        </w:rPr>
      </w:pPr>
      <w:r>
        <w:rPr>
          <w:rFonts w:eastAsia="Times New Roman"/>
          <w:szCs w:val="24"/>
        </w:rPr>
        <w:t>The submitter acknowledged that this item is a companion to LMD-26.1, on the Specifications and Tolerances Committee agenda, and provided a roster of the industry-led Density Correction Work Group that contributed to the development of this item. This roster of participants is posted on the WWMA website.</w:t>
      </w:r>
    </w:p>
    <w:p w14:paraId="7961205D" w14:textId="154E81D1" w:rsidR="00FF211F" w:rsidRPr="00A43BF4" w:rsidRDefault="00FF211F" w:rsidP="001A03F1">
      <w:pPr>
        <w:rPr>
          <w:rFonts w:eastAsia="Times New Roman"/>
          <w:szCs w:val="24"/>
        </w:rPr>
      </w:pPr>
      <w:r>
        <w:rPr>
          <w:rFonts w:eastAsia="Times New Roman"/>
          <w:szCs w:val="24"/>
        </w:rPr>
        <w:t xml:space="preserve">The WWMA L&amp;R Committee recommends </w:t>
      </w:r>
      <w:proofErr w:type="gramStart"/>
      <w:r>
        <w:rPr>
          <w:rFonts w:eastAsia="Times New Roman"/>
          <w:szCs w:val="24"/>
        </w:rPr>
        <w:t>a voting</w:t>
      </w:r>
      <w:proofErr w:type="gramEnd"/>
      <w:r>
        <w:rPr>
          <w:rFonts w:eastAsia="Times New Roman"/>
          <w:szCs w:val="24"/>
        </w:rPr>
        <w:t xml:space="preserve"> status.</w:t>
      </w:r>
    </w:p>
    <w:p w14:paraId="657CC091" w14:textId="1E4F40BA" w:rsidR="00C8190C" w:rsidRDefault="00C8190C" w:rsidP="00C8190C">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A60E61">
        <w:rPr>
          <w:rFonts w:eastAsia="Times New Roman"/>
          <w:szCs w:val="24"/>
          <w:u w:val="single"/>
        </w:rPr>
        <w:t>Interim</w:t>
      </w:r>
      <w:r w:rsidRPr="0051426D">
        <w:rPr>
          <w:rFonts w:eastAsia="Times New Roman"/>
          <w:szCs w:val="24"/>
          <w:u w:val="single"/>
        </w:rPr>
        <w:t xml:space="preserve"> Meeting:</w:t>
      </w:r>
    </w:p>
    <w:p w14:paraId="732DDBFA" w14:textId="6702B3C0" w:rsidR="00231C3E" w:rsidRPr="001A03F1" w:rsidRDefault="00B615EC" w:rsidP="001A03F1">
      <w:pPr>
        <w:rPr>
          <w:rFonts w:eastAsia="Times New Roman"/>
          <w:szCs w:val="24"/>
        </w:rPr>
      </w:pPr>
      <w:r>
        <w:rPr>
          <w:rFonts w:eastAsia="Times New Roman"/>
          <w:szCs w:val="24"/>
        </w:rPr>
        <w:t xml:space="preserve">Individuals were concerned </w:t>
      </w:r>
      <w:proofErr w:type="gramStart"/>
      <w:r>
        <w:rPr>
          <w:rFonts w:eastAsia="Times New Roman"/>
          <w:szCs w:val="24"/>
        </w:rPr>
        <w:t>on</w:t>
      </w:r>
      <w:proofErr w:type="gramEnd"/>
      <w:r>
        <w:rPr>
          <w:rFonts w:eastAsia="Times New Roman"/>
          <w:szCs w:val="24"/>
        </w:rPr>
        <w:t xml:space="preserve"> the number of regulators not being involved in API’s work.  Several regulators and individuals recommended withdrawal or an assigned </w:t>
      </w:r>
      <w:proofErr w:type="gramStart"/>
      <w:r>
        <w:rPr>
          <w:rFonts w:eastAsia="Times New Roman"/>
          <w:szCs w:val="24"/>
        </w:rPr>
        <w:t>status</w:t>
      </w:r>
      <w:proofErr w:type="gramEnd"/>
      <w:r>
        <w:rPr>
          <w:rFonts w:eastAsia="Times New Roman"/>
          <w:szCs w:val="24"/>
        </w:rPr>
        <w:t xml:space="preserve"> and one individual was in support of voting status.</w:t>
      </w:r>
    </w:p>
    <w:p w14:paraId="0E111434" w14:textId="1AC8B1E6" w:rsidR="00B615EC" w:rsidRPr="00DA6708" w:rsidRDefault="00B615EC" w:rsidP="00C8190C">
      <w:pPr>
        <w:rPr>
          <w:rFonts w:eastAsia="Times New Roman"/>
          <w:szCs w:val="24"/>
        </w:rPr>
      </w:pPr>
      <w:r w:rsidRPr="00DA6708">
        <w:rPr>
          <w:rFonts w:eastAsia="Times New Roman"/>
          <w:szCs w:val="24"/>
        </w:rPr>
        <w:t xml:space="preserve">The CWMA L&amp;R Committee recommends </w:t>
      </w:r>
      <w:r w:rsidR="00DA6708">
        <w:rPr>
          <w:rFonts w:eastAsia="Times New Roman"/>
          <w:szCs w:val="24"/>
        </w:rPr>
        <w:t xml:space="preserve">an informational status for this item. </w:t>
      </w:r>
    </w:p>
    <w:p w14:paraId="17366300" w14:textId="77777777" w:rsidR="00A87C98" w:rsidRDefault="00C8190C" w:rsidP="00C8190C">
      <w:pPr>
        <w:jc w:val="left"/>
        <w:rPr>
          <w:u w:val="single"/>
        </w:rPr>
      </w:pPr>
      <w:r w:rsidRPr="006C7BFB">
        <w:rPr>
          <w:u w:val="single"/>
        </w:rPr>
        <w:t>NEWMA 202</w:t>
      </w:r>
      <w:r>
        <w:rPr>
          <w:u w:val="single"/>
        </w:rPr>
        <w:t>5</w:t>
      </w:r>
      <w:r w:rsidRPr="006C7BFB">
        <w:rPr>
          <w:u w:val="single"/>
        </w:rPr>
        <w:t xml:space="preserve"> Interim Meeting:</w:t>
      </w:r>
    </w:p>
    <w:p w14:paraId="641B72FE" w14:textId="77777777" w:rsidR="00712C69" w:rsidRDefault="00D70306" w:rsidP="001A03F1">
      <w:pPr>
        <w:rPr>
          <w:rFonts w:eastAsia="Times New Roman"/>
          <w:szCs w:val="24"/>
        </w:rPr>
      </w:pPr>
      <w:r w:rsidRPr="00863763">
        <w:rPr>
          <w:rFonts w:eastAsia="Times New Roman"/>
          <w:szCs w:val="24"/>
        </w:rPr>
        <w:t xml:space="preserve">A </w:t>
      </w:r>
      <w:r>
        <w:rPr>
          <w:rFonts w:eastAsia="Times New Roman"/>
          <w:szCs w:val="24"/>
        </w:rPr>
        <w:t xml:space="preserve">presentation was given by a representative of American Petroleum Institute (API), which explained the growth in a final product when ethanol and gasoline are </w:t>
      </w:r>
      <w:proofErr w:type="gramStart"/>
      <w:r>
        <w:rPr>
          <w:rFonts w:eastAsia="Times New Roman"/>
          <w:szCs w:val="24"/>
        </w:rPr>
        <w:t>blended together</w:t>
      </w:r>
      <w:proofErr w:type="gramEnd"/>
      <w:r>
        <w:rPr>
          <w:rFonts w:eastAsia="Times New Roman"/>
          <w:szCs w:val="24"/>
        </w:rPr>
        <w:t xml:space="preserve">.  He commented that for those terminals that do not have a side-stream meter, rather relying on ratio blending meters, a density correction system would allow an accurate calculation of the growth of the product, and this item would require the results of that calculation to be on product transfer documents.  The representative from API recommended a voting status.  A representative from Marathon Petroleum commented that their older terminals were designed to deliver “neat” hydrocarbons and when ethanol blending was required, they had to retrofit the terminals.  She pointed out that a flow meter needs a specific length of unobstructed pipe to get the symmetrical velocity profile for an accurate measurement.  If a side stream configuration is not possible or practical, then a density correction system would need to be used.  She indicated that these systems allow accurate delivery to the customers.  Marathon Petroleum supports the proposal and requests a voting status.  A representative from Growth Energy commented that the company implements ethanol into the fuel stream in the US in various ways and is curious how this would apply to retailers.  There was discussion between API and Growth Energy on this topic, and the committee indicated that this proposal was specific to wholesale meters and if there were further questions about possible retail implementation, the two representatives should contact each other.  A regulator from New Jersey commented that this item is interdependent on the passage of LMD-26.1, and if the practice of density correction systems is allowed, then the corrections should absolutely be recorded on the invoice.  New Jersey recommended a Withdrawn </w:t>
      </w:r>
      <w:proofErr w:type="gramStart"/>
      <w:r>
        <w:rPr>
          <w:rFonts w:eastAsia="Times New Roman"/>
          <w:szCs w:val="24"/>
        </w:rPr>
        <w:t>status, but</w:t>
      </w:r>
      <w:proofErr w:type="gramEnd"/>
      <w:r>
        <w:rPr>
          <w:rFonts w:eastAsia="Times New Roman"/>
          <w:szCs w:val="24"/>
        </w:rPr>
        <w:t xml:space="preserve"> also recommended that if both LMD-26.1 and MOS-26.1 move forward, then NCWM should find a way to have both items heard in tandem through the process.  A representative from TSL Consulting commented that there is language in the Uniform Engine Fuels and Automotive Lubricants Regulation that is almost identical to the original language in the Uniform Method of </w:t>
      </w:r>
      <w:proofErr w:type="gramStart"/>
      <w:r>
        <w:rPr>
          <w:rFonts w:eastAsia="Times New Roman"/>
          <w:szCs w:val="24"/>
        </w:rPr>
        <w:t>Sale, and</w:t>
      </w:r>
      <w:proofErr w:type="gramEnd"/>
      <w:r>
        <w:rPr>
          <w:rFonts w:eastAsia="Times New Roman"/>
          <w:szCs w:val="24"/>
        </w:rPr>
        <w:t xml:space="preserve"> asked this committee to make a recommendation to harmonize the languages, especially for States that adopt both.  </w:t>
      </w:r>
    </w:p>
    <w:p w14:paraId="5BA154DA" w14:textId="45017612" w:rsidR="00D70306" w:rsidRPr="001A03F1" w:rsidRDefault="00D70306" w:rsidP="001A03F1">
      <w:pPr>
        <w:rPr>
          <w:rFonts w:eastAsia="Times New Roman"/>
          <w:szCs w:val="24"/>
        </w:rPr>
      </w:pPr>
      <w:r>
        <w:rPr>
          <w:rFonts w:eastAsia="Times New Roman"/>
          <w:szCs w:val="24"/>
        </w:rPr>
        <w:lastRenderedPageBreak/>
        <w:t>He also commented that this item is not interdependent on LMD-26.1, rather it is complimentary, as the handbook does not currently prohibit density correction.  The regulator from New Jersey agreed with this comment.  The representative from TSL Consulting recommended Voting status.</w:t>
      </w:r>
    </w:p>
    <w:p w14:paraId="63A7AAD8" w14:textId="4E78AC64" w:rsidR="001A03F1" w:rsidRDefault="00D70306" w:rsidP="001A03F1">
      <w:pPr>
        <w:rPr>
          <w:u w:val="single"/>
        </w:rPr>
      </w:pPr>
      <w:r>
        <w:rPr>
          <w:rFonts w:eastAsia="Times New Roman"/>
          <w:szCs w:val="24"/>
        </w:rPr>
        <w:t>After hearing comments from the floor and reviewing the presentations provided by API, the committee recommended a Developing status, and the body concurred.  The committee also recommends that the submitter work with the NCWM L&amp;R Committee to identify the language in the Uniform Fuels and Automotive Lubricants Regulation Section 3.2.5 Product Transfer Document (PTD) Requirements that need to be modified so they align with this proposal.</w:t>
      </w:r>
    </w:p>
    <w:p w14:paraId="6D50B543" w14:textId="347E6FD7" w:rsidR="00FE3383" w:rsidRDefault="00C8190C" w:rsidP="001A03F1">
      <w:pPr>
        <w:rPr>
          <w:u w:val="single"/>
        </w:rPr>
      </w:pPr>
      <w:r>
        <w:rPr>
          <w:u w:val="single"/>
        </w:rPr>
        <w:t>S</w:t>
      </w:r>
      <w:r w:rsidRPr="00EF1ACC">
        <w:rPr>
          <w:u w:val="single"/>
        </w:rPr>
        <w:t>WMA 202</w:t>
      </w:r>
      <w:r>
        <w:rPr>
          <w:u w:val="single"/>
        </w:rPr>
        <w:t>5</w:t>
      </w:r>
      <w:r w:rsidR="00A60E61">
        <w:rPr>
          <w:u w:val="single"/>
        </w:rPr>
        <w:t xml:space="preserve"> Annual</w:t>
      </w:r>
      <w:r w:rsidRPr="00EF1ACC">
        <w:rPr>
          <w:u w:val="single"/>
        </w:rPr>
        <w:t xml:space="preserve"> Meeting</w:t>
      </w:r>
      <w:r>
        <w:rPr>
          <w:u w:val="single"/>
        </w:rPr>
        <w:t>:</w:t>
      </w:r>
    </w:p>
    <w:p w14:paraId="7CD1EAD4" w14:textId="77DAB3CF" w:rsidR="00FE3383" w:rsidRDefault="00FE3383" w:rsidP="001A03F1">
      <w:pPr>
        <w:rPr>
          <w:rFonts w:eastAsia="Times New Roman"/>
          <w:szCs w:val="24"/>
        </w:rPr>
      </w:pPr>
      <w:r>
        <w:rPr>
          <w:rFonts w:eastAsia="Times New Roman"/>
          <w:szCs w:val="24"/>
        </w:rPr>
        <w:t xml:space="preserve">Mr. Prentiss Searles with API presented the item. </w:t>
      </w:r>
    </w:p>
    <w:p w14:paraId="2D74C056" w14:textId="4247EFDD" w:rsidR="00FE3383" w:rsidRDefault="00FE3383" w:rsidP="001A03F1">
      <w:pPr>
        <w:rPr>
          <w:rFonts w:eastAsia="Times New Roman"/>
          <w:szCs w:val="24"/>
        </w:rPr>
      </w:pPr>
      <w:r>
        <w:rPr>
          <w:rFonts w:eastAsia="Times New Roman"/>
          <w:szCs w:val="24"/>
        </w:rPr>
        <w:t>Mr. Randy Jennings as the Vice Chair with FALS commented that the conforming amendment to the proposal to include F.3.2.5. not be added to this proposal. That Handbook 130 engine fuel regulation focuses on quality.</w:t>
      </w:r>
    </w:p>
    <w:p w14:paraId="6384329B" w14:textId="2162E398" w:rsidR="00FE3383" w:rsidRDefault="00FE3383" w:rsidP="001A03F1">
      <w:pPr>
        <w:rPr>
          <w:rFonts w:eastAsia="Times New Roman"/>
          <w:szCs w:val="24"/>
        </w:rPr>
      </w:pPr>
      <w:r>
        <w:rPr>
          <w:rFonts w:eastAsia="Times New Roman"/>
          <w:szCs w:val="24"/>
        </w:rPr>
        <w:t>Mr. Matt Shein with Chevron supports this item and recommends Voting status.</w:t>
      </w:r>
    </w:p>
    <w:p w14:paraId="60531601" w14:textId="568EF133" w:rsidR="00FE3383" w:rsidRDefault="00FE3383" w:rsidP="001A03F1">
      <w:pPr>
        <w:rPr>
          <w:rFonts w:eastAsia="Times New Roman"/>
          <w:szCs w:val="24"/>
        </w:rPr>
      </w:pPr>
      <w:r>
        <w:rPr>
          <w:rFonts w:eastAsia="Times New Roman"/>
          <w:szCs w:val="24"/>
        </w:rPr>
        <w:t>Mr. Russ Lewis with Marathon Petroleum echoes Chevrons’ statement and recommends a Voting status.</w:t>
      </w:r>
    </w:p>
    <w:p w14:paraId="40A0D30B" w14:textId="4BD0995D" w:rsidR="00FE3383" w:rsidRDefault="00FE3383" w:rsidP="001A03F1">
      <w:pPr>
        <w:rPr>
          <w:rFonts w:eastAsia="Times New Roman"/>
          <w:szCs w:val="24"/>
        </w:rPr>
      </w:pPr>
      <w:r>
        <w:rPr>
          <w:rFonts w:eastAsia="Times New Roman"/>
          <w:szCs w:val="24"/>
        </w:rPr>
        <w:t xml:space="preserve">Mr. Jared Scott with Exxon Mobile echoes Chevrons’ statements and recommends a Voting status. </w:t>
      </w:r>
    </w:p>
    <w:p w14:paraId="7DED2AB0" w14:textId="4055C0B7" w:rsidR="00FE3383" w:rsidRDefault="00FE3383" w:rsidP="001A03F1">
      <w:pPr>
        <w:rPr>
          <w:rFonts w:eastAsia="Times New Roman"/>
          <w:szCs w:val="24"/>
        </w:rPr>
      </w:pPr>
      <w:r>
        <w:rPr>
          <w:rFonts w:eastAsia="Times New Roman"/>
          <w:szCs w:val="24"/>
        </w:rPr>
        <w:t xml:space="preserve">Ms. Alison Wilkinson, with the state of Maryland, believes this is not ready to be moved forward and is not fully developed and suggests additional oversite review from regulators. </w:t>
      </w:r>
    </w:p>
    <w:p w14:paraId="3F5B2661" w14:textId="2F881137" w:rsidR="00FE3383" w:rsidRPr="00D70306" w:rsidRDefault="00FE3383" w:rsidP="001A03F1">
      <w:pPr>
        <w:rPr>
          <w:rFonts w:eastAsia="Times New Roman"/>
          <w:szCs w:val="24"/>
        </w:rPr>
      </w:pPr>
      <w:r>
        <w:rPr>
          <w:rFonts w:eastAsia="Times New Roman"/>
          <w:szCs w:val="24"/>
        </w:rPr>
        <w:t>The Committee has accepted the request that was made from the floor to not make a recommendation to NCWM to include the conforming amendment F.3.2.5. to this item. Based on other comments made from the floor, the Committee finds this item has merit, is fully developed, and recommends a Voting status.</w:t>
      </w:r>
    </w:p>
    <w:p w14:paraId="204E546C" w14:textId="5C178C16" w:rsidR="00C016C5" w:rsidRDefault="00C016C5" w:rsidP="00C016C5">
      <w:r>
        <w:t xml:space="preserve">Additional letters, </w:t>
      </w:r>
      <w:proofErr w:type="gramStart"/>
      <w:r>
        <w:t>presentation</w:t>
      </w:r>
      <w:proofErr w:type="gramEnd"/>
      <w:r>
        <w:t xml:space="preserve"> and data may have been submitted for consideration with this item.  Please refer to </w:t>
      </w:r>
      <w:hyperlink r:id="rId26" w:history="1">
        <w:r w:rsidRPr="002A1164">
          <w:rPr>
            <w:rStyle w:val="Hyperlink"/>
          </w:rPr>
          <w:t>https://www.ncwm.com/publication-15</w:t>
        </w:r>
      </w:hyperlink>
      <w:r>
        <w:t xml:space="preserve"> to </w:t>
      </w:r>
      <w:proofErr w:type="gramStart"/>
      <w:r>
        <w:t>review these documents.</w:t>
      </w:r>
      <w:proofErr w:type="gramEnd"/>
    </w:p>
    <w:p w14:paraId="181ADDAD" w14:textId="52329DA6" w:rsidR="00E34C39" w:rsidRDefault="00E34C39" w:rsidP="00E34C39">
      <w:pPr>
        <w:pStyle w:val="Heading1"/>
      </w:pPr>
      <w:bookmarkStart w:id="76" w:name="_Toc224019618"/>
      <w:r>
        <w:t>UPR – Uniform Unit Pricing Regulation</w:t>
      </w:r>
      <w:bookmarkEnd w:id="76"/>
    </w:p>
    <w:p w14:paraId="551285A3" w14:textId="66219238" w:rsidR="00E34C39" w:rsidRDefault="00E34C39" w:rsidP="00E34C39">
      <w:pPr>
        <w:pStyle w:val="ItemHeading"/>
        <w:rPr>
          <w:szCs w:val="26"/>
        </w:rPr>
      </w:pPr>
      <w:bookmarkStart w:id="77" w:name="_Toc224019619"/>
      <w:r>
        <w:t>UPR-26.1</w:t>
      </w:r>
      <w:r>
        <w:tab/>
      </w:r>
      <w:r w:rsidR="00546AC3">
        <w:t>V</w:t>
      </w:r>
      <w:r>
        <w:tab/>
        <w:t>Uniform Unit Pricing Regulation: Multiple Sections</w:t>
      </w:r>
      <w:bookmarkEnd w:id="77"/>
    </w:p>
    <w:p w14:paraId="429DAF29" w14:textId="77777777" w:rsidR="00E34C39" w:rsidRDefault="00E34C39" w:rsidP="00E34C39">
      <w:pPr>
        <w:spacing w:after="0"/>
      </w:pPr>
    </w:p>
    <w:p w14:paraId="36558EE3" w14:textId="77777777" w:rsidR="00E34C39" w:rsidRDefault="00E34C39" w:rsidP="00E34C39">
      <w:pPr>
        <w:spacing w:after="0"/>
        <w:rPr>
          <w:b/>
        </w:rPr>
      </w:pPr>
      <w:r>
        <w:rPr>
          <w:b/>
        </w:rPr>
        <w:t>Source:</w:t>
      </w:r>
    </w:p>
    <w:p w14:paraId="0B576FE3" w14:textId="77777777" w:rsidR="00E34C39" w:rsidRDefault="00E34C39" w:rsidP="00E34C39">
      <w:r>
        <w:t>NIST office of Weights and Measures</w:t>
      </w:r>
    </w:p>
    <w:p w14:paraId="346C0DA4" w14:textId="77777777" w:rsidR="00E34C39" w:rsidRDefault="00E34C39" w:rsidP="00E34C39">
      <w:pPr>
        <w:spacing w:after="0"/>
        <w:rPr>
          <w:b/>
        </w:rPr>
      </w:pPr>
      <w:r>
        <w:rPr>
          <w:b/>
        </w:rPr>
        <w:t>Purpose:</w:t>
      </w:r>
    </w:p>
    <w:p w14:paraId="2372F52A" w14:textId="44C6D759" w:rsidR="00E34C39" w:rsidRPr="00FF211F" w:rsidRDefault="00E34C39" w:rsidP="00FF211F">
      <w:r w:rsidRPr="00FF211F">
        <w:t>The purpose of this proposal reflects necessary changes to align unit pricing practices with modern consumer needs, evolving retail environments, and technological advancements. These revisions aim to enhance the clarity, consistency, and accessibility of unit pricing across various retail formats, including digital marketplaces and brick-and-mortar retail establishments. By standardizing best practices, the updates improve consumers' ability to compare prices accurately, regardless of product type, packaging, or sales channel.</w:t>
      </w:r>
    </w:p>
    <w:p w14:paraId="422E7DBC" w14:textId="04FBD59A" w:rsidR="00E34C39" w:rsidRPr="001A03F1" w:rsidRDefault="00E34C39" w:rsidP="001A03F1">
      <w:r w:rsidRPr="00FF211F">
        <w:t xml:space="preserve">States should adopt the revised regulation to promote uniformity, protect consumer rights, and support informed purchasing decisions. Uniform adoption reduces confusion and compliance burdens on interstate retailers while strengthening enforcement of fair pricing practices. It ensures that all consumers, regardless of their location or abilities, benefit from accurate, legible, and meaningful unit price information. Adopting this regulation also signals a commitment to economic equity and consumer protection, </w:t>
      </w:r>
      <w:proofErr w:type="gramStart"/>
      <w:r w:rsidRPr="00FF211F">
        <w:t>helping states</w:t>
      </w:r>
      <w:proofErr w:type="gramEnd"/>
      <w:r w:rsidRPr="00FF211F">
        <w:t xml:space="preserve"> foster competitive markets that prioritize trust, fairness, and efficiency in both brick-and-mortar and digital retail environments.</w:t>
      </w:r>
    </w:p>
    <w:p w14:paraId="0C9A7AC1" w14:textId="77777777" w:rsidR="00E34C39" w:rsidRDefault="00E34C39" w:rsidP="00E34C39">
      <w:pPr>
        <w:spacing w:after="0"/>
        <w:rPr>
          <w:b/>
        </w:rPr>
      </w:pPr>
      <w:r>
        <w:rPr>
          <w:b/>
        </w:rPr>
        <w:lastRenderedPageBreak/>
        <w:t>Item under Consideration:</w:t>
      </w:r>
    </w:p>
    <w:p w14:paraId="1D63EF58" w14:textId="77777777" w:rsidR="00E34C39" w:rsidRDefault="00E34C39" w:rsidP="00E34C39">
      <w:r>
        <w:t>Amend the NIST Handbook 130 Uniform Unit Pricing Regulation as follows:</w:t>
      </w:r>
    </w:p>
    <w:p w14:paraId="1DE1C369" w14:textId="77777777" w:rsidR="00E34C39" w:rsidRDefault="00E34C39" w:rsidP="00E34C39">
      <w:pPr>
        <w:pStyle w:val="NormalWeb"/>
        <w:jc w:val="center"/>
        <w:rPr>
          <w:rFonts w:eastAsia="Calibri"/>
          <w:b/>
          <w:bCs/>
          <w:szCs w:val="22"/>
        </w:rPr>
      </w:pPr>
      <w:r>
        <w:rPr>
          <w:rFonts w:eastAsia="Calibri"/>
          <w:b/>
          <w:bCs/>
          <w:szCs w:val="22"/>
        </w:rPr>
        <w:t>Uniform Unit Pricing Regulation</w:t>
      </w:r>
    </w:p>
    <w:p w14:paraId="79124EB6" w14:textId="77777777" w:rsidR="00E34C39" w:rsidRDefault="00E34C39" w:rsidP="00E34C39">
      <w:pPr>
        <w:tabs>
          <w:tab w:val="left" w:pos="360"/>
        </w:tabs>
        <w:spacing w:after="0"/>
        <w:jc w:val="center"/>
        <w:rPr>
          <w:iCs/>
          <w:color w:val="000000"/>
          <w:szCs w:val="24"/>
        </w:rPr>
      </w:pPr>
      <w:r>
        <w:rPr>
          <w:iCs/>
          <w:color w:val="000000"/>
          <w:szCs w:val="24"/>
        </w:rPr>
        <w:t>as adopted by</w:t>
      </w:r>
    </w:p>
    <w:p w14:paraId="4E628577" w14:textId="77777777" w:rsidR="00E34C39" w:rsidRDefault="00E34C39" w:rsidP="00E34C39">
      <w:pPr>
        <w:pStyle w:val="NormalWeb"/>
        <w:jc w:val="center"/>
        <w:rPr>
          <w:b/>
          <w:sz w:val="20"/>
          <w:szCs w:val="20"/>
        </w:rPr>
      </w:pPr>
      <w:r>
        <w:rPr>
          <w:rFonts w:eastAsia="Calibri"/>
          <w:iCs/>
          <w:color w:val="000000"/>
          <w:sz w:val="20"/>
        </w:rPr>
        <w:t xml:space="preserve">The National </w:t>
      </w:r>
      <w:proofErr w:type="spellStart"/>
      <w:r>
        <w:rPr>
          <w:rFonts w:eastAsia="Calibri"/>
          <w:iCs/>
          <w:strike/>
          <w:color w:val="000000"/>
          <w:sz w:val="20"/>
        </w:rPr>
        <w:t>Conference</w:t>
      </w:r>
      <w:r>
        <w:rPr>
          <w:rFonts w:eastAsia="Calibri"/>
          <w:b/>
          <w:bCs/>
          <w:iCs/>
          <w:color w:val="000000"/>
          <w:sz w:val="20"/>
          <w:u w:val="single"/>
        </w:rPr>
        <w:t>Council</w:t>
      </w:r>
      <w:proofErr w:type="spellEnd"/>
      <w:r>
        <w:rPr>
          <w:rFonts w:eastAsia="Calibri"/>
          <w:iCs/>
          <w:color w:val="000000"/>
          <w:sz w:val="20"/>
        </w:rPr>
        <w:t xml:space="preserve"> on Weights and Measures</w:t>
      </w:r>
    </w:p>
    <w:p w14:paraId="34A70F0E" w14:textId="77777777" w:rsidR="00E34C39" w:rsidRDefault="00E34C39" w:rsidP="00E34C39">
      <w:pPr>
        <w:tabs>
          <w:tab w:val="left" w:pos="360"/>
        </w:tabs>
        <w:jc w:val="left"/>
        <w:rPr>
          <w:b/>
          <w:bCs/>
          <w:color w:val="000000"/>
        </w:rPr>
      </w:pPr>
      <w:bookmarkStart w:id="78" w:name="_Toc173470310"/>
      <w:bookmarkStart w:id="79" w:name="_Toc173470682"/>
      <w:bookmarkStart w:id="80" w:name="_Toc173471544"/>
      <w:bookmarkStart w:id="81" w:name="_Toc173474192"/>
      <w:bookmarkStart w:id="82" w:name="_Toc173771788"/>
      <w:r>
        <w:rPr>
          <w:b/>
          <w:bCs/>
          <w:color w:val="000000"/>
        </w:rPr>
        <w:t>1</w:t>
      </w:r>
      <w:proofErr w:type="gramStart"/>
      <w:r>
        <w:rPr>
          <w:b/>
          <w:bCs/>
          <w:color w:val="000000"/>
        </w:rPr>
        <w:t>.  Background</w:t>
      </w:r>
      <w:bookmarkEnd w:id="78"/>
      <w:bookmarkEnd w:id="79"/>
      <w:bookmarkEnd w:id="80"/>
      <w:bookmarkEnd w:id="81"/>
      <w:bookmarkEnd w:id="82"/>
      <w:proofErr w:type="gramEnd"/>
    </w:p>
    <w:p w14:paraId="07F96A59" w14:textId="77777777" w:rsidR="00E34C39" w:rsidRDefault="00E34C39" w:rsidP="00E34C39">
      <w:pPr>
        <w:tabs>
          <w:tab w:val="left" w:pos="360"/>
        </w:tabs>
        <w:jc w:val="left"/>
        <w:rPr>
          <w:bCs/>
          <w:iCs/>
          <w:color w:val="000000"/>
          <w:szCs w:val="20"/>
        </w:rPr>
      </w:pPr>
      <w:r>
        <w:rPr>
          <w:bCs/>
          <w:iCs/>
          <w:color w:val="000000"/>
          <w:szCs w:val="20"/>
        </w:rPr>
        <w:t>The Uniform Unit Pricing Regulation</w:t>
      </w:r>
      <w:r>
        <w:fldChar w:fldCharType="begin"/>
      </w:r>
      <w:r>
        <w:rPr>
          <w:iCs/>
          <w:color w:val="000000"/>
          <w:szCs w:val="20"/>
        </w:rPr>
        <w:instrText>xe "Uniform Unit Pricing Regulation"</w:instrText>
      </w:r>
      <w:r>
        <w:fldChar w:fldCharType="end"/>
      </w:r>
      <w:r>
        <w:rPr>
          <w:bCs/>
          <w:iCs/>
          <w:color w:val="000000"/>
          <w:szCs w:val="20"/>
        </w:rPr>
        <w:t xml:space="preserve"> (</w:t>
      </w:r>
      <w:r>
        <w:rPr>
          <w:b/>
          <w:iCs/>
          <w:color w:val="000000"/>
          <w:szCs w:val="20"/>
          <w:u w:val="single"/>
        </w:rPr>
        <w:t>U</w:t>
      </w:r>
      <w:r>
        <w:rPr>
          <w:bCs/>
          <w:iCs/>
          <w:color w:val="000000"/>
          <w:szCs w:val="20"/>
        </w:rPr>
        <w:t xml:space="preserve">UPR) (renamed in 1983) provides a national approach to the subject for those jurisdictions choosing to adopt such a regulation.  The traditional approach of the </w:t>
      </w:r>
      <w:proofErr w:type="spellStart"/>
      <w:r>
        <w:rPr>
          <w:bCs/>
          <w:iCs/>
          <w:strike/>
          <w:color w:val="000000"/>
          <w:szCs w:val="20"/>
        </w:rPr>
        <w:t>Conference</w:t>
      </w:r>
      <w:r>
        <w:rPr>
          <w:b/>
          <w:iCs/>
          <w:color w:val="000000"/>
          <w:szCs w:val="20"/>
          <w:u w:val="single"/>
        </w:rPr>
        <w:t>Council</w:t>
      </w:r>
      <w:proofErr w:type="spellEnd"/>
      <w:r>
        <w:rPr>
          <w:bCs/>
          <w:iCs/>
          <w:color w:val="000000"/>
          <w:szCs w:val="20"/>
        </w:rPr>
        <w:t xml:space="preserve"> in drafting Uniform Regulations has been to design specific implementing Regulations for the enforcement of the broader requirements of the Uniform Weights and Measures Law.  Given the authority of Sections </w:t>
      </w:r>
      <w:proofErr w:type="gramStart"/>
      <w:r>
        <w:rPr>
          <w:bCs/>
          <w:iCs/>
          <w:color w:val="000000"/>
          <w:szCs w:val="20"/>
        </w:rPr>
        <w:t>12</w:t>
      </w:r>
      <w:r>
        <w:rPr>
          <w:b/>
          <w:iCs/>
          <w:color w:val="000000"/>
          <w:szCs w:val="20"/>
          <w:u w:val="single"/>
        </w:rPr>
        <w:t>11</w:t>
      </w:r>
      <w:r>
        <w:rPr>
          <w:bCs/>
          <w:iCs/>
          <w:color w:val="000000"/>
          <w:szCs w:val="20"/>
        </w:rPr>
        <w:t>.(</w:t>
      </w:r>
      <w:proofErr w:type="gramEnd"/>
      <w:r>
        <w:rPr>
          <w:bCs/>
          <w:iCs/>
          <w:color w:val="000000"/>
          <w:szCs w:val="20"/>
        </w:rPr>
        <w:t>c) and (d), and the mandate of Section </w:t>
      </w:r>
      <w:r>
        <w:rPr>
          <w:bCs/>
          <w:iCs/>
          <w:strike/>
          <w:color w:val="000000"/>
          <w:szCs w:val="20"/>
        </w:rPr>
        <w:t>16</w:t>
      </w:r>
      <w:r>
        <w:rPr>
          <w:b/>
          <w:iCs/>
          <w:color w:val="000000"/>
          <w:szCs w:val="20"/>
          <w:u w:val="single"/>
        </w:rPr>
        <w:t>15</w:t>
      </w:r>
      <w:r>
        <w:rPr>
          <w:bCs/>
          <w:iCs/>
          <w:color w:val="000000"/>
          <w:szCs w:val="20"/>
        </w:rPr>
        <w:t>. of this Law, as well as the trend in unit pricing</w:t>
      </w:r>
      <w:r>
        <w:fldChar w:fldCharType="begin"/>
      </w:r>
      <w:r>
        <w:rPr>
          <w:iCs/>
          <w:color w:val="000000"/>
          <w:szCs w:val="20"/>
        </w:rPr>
        <w:instrText>xe "Unit pricing"</w:instrText>
      </w:r>
      <w:r>
        <w:fldChar w:fldCharType="end"/>
      </w:r>
      <w:r>
        <w:rPr>
          <w:bCs/>
          <w:iCs/>
          <w:color w:val="000000"/>
          <w:szCs w:val="20"/>
        </w:rPr>
        <w:t xml:space="preserve">, both voluntary and mandatory, the </w:t>
      </w:r>
      <w:r>
        <w:rPr>
          <w:b/>
          <w:iCs/>
          <w:color w:val="000000"/>
          <w:szCs w:val="20"/>
          <w:u w:val="single"/>
        </w:rPr>
        <w:t>U</w:t>
      </w:r>
      <w:r>
        <w:rPr>
          <w:bCs/>
          <w:iCs/>
          <w:color w:val="000000"/>
          <w:szCs w:val="20"/>
        </w:rPr>
        <w:t>UPR is considered appropriate.  Unit pricing</w:t>
      </w:r>
      <w:r>
        <w:fldChar w:fldCharType="begin"/>
      </w:r>
      <w:r>
        <w:rPr>
          <w:iCs/>
          <w:color w:val="000000"/>
          <w:szCs w:val="20"/>
        </w:rPr>
        <w:instrText>xe "Unit pricing"</w:instrText>
      </w:r>
      <w:r>
        <w:fldChar w:fldCharType="end"/>
      </w:r>
      <w:r>
        <w:rPr>
          <w:bCs/>
          <w:iCs/>
          <w:color w:val="000000"/>
          <w:szCs w:val="20"/>
        </w:rPr>
        <w:t xml:space="preserve"> has been a concern of the weights and measures official and has been required for random weight packages for a long time.</w:t>
      </w:r>
    </w:p>
    <w:p w14:paraId="06719F25" w14:textId="77777777" w:rsidR="00E34C39" w:rsidRDefault="00E34C39" w:rsidP="00E34C39">
      <w:pPr>
        <w:tabs>
          <w:tab w:val="left" w:pos="360"/>
        </w:tabs>
        <w:jc w:val="left"/>
        <w:rPr>
          <w:bCs/>
          <w:iCs/>
          <w:color w:val="000000"/>
        </w:rPr>
      </w:pPr>
      <w:r>
        <w:rPr>
          <w:bCs/>
          <w:iCs/>
          <w:color w:val="000000"/>
          <w:szCs w:val="20"/>
        </w:rPr>
        <w:t xml:space="preserve">In 1993, the NCWM was contacted by several weights and measures jurisdictions and retail trade associations who requested that the </w:t>
      </w:r>
      <w:r>
        <w:rPr>
          <w:b/>
          <w:iCs/>
          <w:color w:val="000000"/>
          <w:szCs w:val="20"/>
          <w:u w:val="single"/>
        </w:rPr>
        <w:t>U</w:t>
      </w:r>
      <w:r>
        <w:rPr>
          <w:bCs/>
          <w:iCs/>
          <w:color w:val="000000"/>
          <w:szCs w:val="20"/>
        </w:rPr>
        <w:t xml:space="preserve">UPR be updated to add new commodity groups and pricing requirements.  The comments indicated that many commodity groups for non-food products were not included in the table and that some of the required units may not be appropriate for many of the new products being sold in stores.  Another concern was that the UPR specified pricing only </w:t>
      </w:r>
      <w:proofErr w:type="gramStart"/>
      <w:r>
        <w:rPr>
          <w:bCs/>
          <w:iCs/>
          <w:color w:val="000000"/>
          <w:szCs w:val="20"/>
        </w:rPr>
        <w:t>on the basis of</w:t>
      </w:r>
      <w:proofErr w:type="gramEnd"/>
      <w:r>
        <w:rPr>
          <w:bCs/>
          <w:iCs/>
          <w:color w:val="000000"/>
          <w:szCs w:val="20"/>
        </w:rPr>
        <w:t xml:space="preserve"> price per pound on most products sold by weight.  This has resulted in some jurisdictions not enforcing the requirements on stores that voluntarily </w:t>
      </w:r>
      <w:r>
        <w:rPr>
          <w:b/>
          <w:iCs/>
          <w:color w:val="000000"/>
          <w:szCs w:val="20"/>
          <w:u w:val="single"/>
        </w:rPr>
        <w:t>use</w:t>
      </w:r>
      <w:r>
        <w:rPr>
          <w:bCs/>
          <w:iCs/>
          <w:color w:val="000000"/>
          <w:szCs w:val="20"/>
        </w:rPr>
        <w:t xml:space="preserve"> unit price </w:t>
      </w:r>
      <w:proofErr w:type="gramStart"/>
      <w:r>
        <w:rPr>
          <w:bCs/>
          <w:iCs/>
          <w:color w:val="000000"/>
          <w:szCs w:val="20"/>
        </w:rPr>
        <w:t>on the basis of</w:t>
      </w:r>
      <w:proofErr w:type="gramEnd"/>
      <w:r>
        <w:rPr>
          <w:bCs/>
          <w:iCs/>
          <w:color w:val="000000"/>
          <w:szCs w:val="20"/>
        </w:rPr>
        <w:t xml:space="preserve"> price per ounce instead of price</w:t>
      </w:r>
      <w:r>
        <w:rPr>
          <w:bCs/>
          <w:iCs/>
          <w:color w:val="000000"/>
        </w:rPr>
        <w:t xml:space="preserve"> per pound.  The NCWM agreed that the </w:t>
      </w:r>
      <w:r>
        <w:rPr>
          <w:b/>
          <w:iCs/>
          <w:color w:val="000000"/>
          <w:u w:val="single"/>
        </w:rPr>
        <w:t>U</w:t>
      </w:r>
      <w:r>
        <w:rPr>
          <w:bCs/>
          <w:iCs/>
          <w:color w:val="000000"/>
        </w:rPr>
        <w:t>UPR should be revised to encourage wider adoption and use of the uniform regulation and that provisions for unit pricing</w:t>
      </w:r>
      <w:r>
        <w:fldChar w:fldCharType="begin"/>
      </w:r>
      <w:r>
        <w:rPr>
          <w:iCs/>
          <w:color w:val="000000"/>
        </w:rPr>
        <w:instrText>xe "Unit pricing"</w:instrText>
      </w:r>
      <w:r>
        <w:fldChar w:fldCharType="end"/>
      </w:r>
      <w:r>
        <w:rPr>
          <w:bCs/>
          <w:iCs/>
          <w:color w:val="000000"/>
        </w:rPr>
        <w:t xml:space="preserve"> in metric units should be included.</w:t>
      </w:r>
    </w:p>
    <w:p w14:paraId="4FF2F481" w14:textId="77777777" w:rsidR="00E34C39" w:rsidRDefault="00E34C39" w:rsidP="00E34C39">
      <w:pPr>
        <w:tabs>
          <w:tab w:val="left" w:pos="360"/>
        </w:tabs>
        <w:jc w:val="left"/>
        <w:rPr>
          <w:bCs/>
          <w:iCs/>
          <w:color w:val="000000"/>
          <w:szCs w:val="20"/>
        </w:rPr>
      </w:pPr>
      <w:r>
        <w:rPr>
          <w:bCs/>
          <w:iCs/>
          <w:color w:val="000000"/>
          <w:szCs w:val="20"/>
        </w:rPr>
        <w:t>At the 1997 Annual Meeting, the NCWM adopted revisions to the regulation to permit retail stores that voluntarily provide unit pricing</w:t>
      </w:r>
      <w:r>
        <w:fldChar w:fldCharType="begin"/>
      </w:r>
      <w:r>
        <w:rPr>
          <w:iCs/>
          <w:color w:val="000000"/>
          <w:szCs w:val="20"/>
        </w:rPr>
        <w:instrText>xe "Unit pricing"</w:instrText>
      </w:r>
      <w:r>
        <w:fldChar w:fldCharType="end"/>
      </w:r>
      <w:r>
        <w:rPr>
          <w:bCs/>
          <w:iCs/>
          <w:color w:val="000000"/>
          <w:szCs w:val="20"/>
        </w:rPr>
        <w:t xml:space="preserve"> to present prices using various units of measure.</w:t>
      </w:r>
    </w:p>
    <w:p w14:paraId="369ADD31" w14:textId="49451755" w:rsidR="00E34C39" w:rsidRDefault="00E34C39" w:rsidP="00E34C39">
      <w:pPr>
        <w:tabs>
          <w:tab w:val="left" w:pos="360"/>
        </w:tabs>
        <w:jc w:val="left"/>
        <w:rPr>
          <w:iCs/>
          <w:color w:val="000000"/>
          <w:szCs w:val="20"/>
        </w:rPr>
      </w:pPr>
      <w:r>
        <w:rPr>
          <w:iCs/>
          <w:color w:val="000000"/>
          <w:szCs w:val="20"/>
        </w:rPr>
        <w:t>The NCWM eliminated the table of product groupings because it is difficult to keep it current and inclusive, so some newer products were not included under the uniform requirements.  The table was replaced with requirements that specify that the unit price is to be based on price per ounce or pound, or price per 100 grams or kilogram, if the packaged commodity is labeled by weight.  For example, the proposed revisions would require the unit price for soft drinks</w:t>
      </w:r>
      <w:r>
        <w:fldChar w:fldCharType="begin"/>
      </w:r>
      <w:r>
        <w:rPr>
          <w:iCs/>
          <w:color w:val="000000"/>
          <w:szCs w:val="20"/>
        </w:rPr>
        <w:instrText xml:space="preserve"> XE "</w:instrText>
      </w:r>
      <w:r>
        <w:rPr>
          <w:b/>
          <w:iCs/>
          <w:color w:val="000000"/>
          <w:szCs w:val="20"/>
        </w:rPr>
        <w:instrText>Soft drink</w:instrText>
      </w:r>
      <w:r>
        <w:rPr>
          <w:iCs/>
          <w:color w:val="000000"/>
          <w:szCs w:val="20"/>
        </w:rPr>
        <w:instrText xml:space="preserve">" </w:instrText>
      </w:r>
      <w:r>
        <w:fldChar w:fldCharType="end"/>
      </w:r>
      <w:r>
        <w:rPr>
          <w:iCs/>
          <w:color w:val="000000"/>
          <w:szCs w:val="20"/>
        </w:rPr>
        <w:t xml:space="preserve"> sold in various package sizes (e.g., 12 fl</w:t>
      </w:r>
      <w:r w:rsidR="005A46D6">
        <w:rPr>
          <w:iCs/>
          <w:color w:val="000000"/>
          <w:szCs w:val="20"/>
        </w:rPr>
        <w:t>.</w:t>
      </w:r>
      <w:r>
        <w:rPr>
          <w:iCs/>
          <w:color w:val="000000"/>
          <w:szCs w:val="20"/>
        </w:rPr>
        <w:t> oz cans through 2 L bottles) to be uniformly and consistently displayed in terms of either price per fluid ounce, price per quart, or price per liter.  The NCWM also increased the price of commodities exempted from unit pricing</w:t>
      </w:r>
      <w:r>
        <w:fldChar w:fldCharType="begin"/>
      </w:r>
      <w:r>
        <w:rPr>
          <w:iCs/>
          <w:color w:val="000000"/>
          <w:szCs w:val="20"/>
        </w:rPr>
        <w:instrText>xe "Unit pricing"</w:instrText>
      </w:r>
      <w:r>
        <w:fldChar w:fldCharType="end"/>
      </w:r>
      <w:r>
        <w:rPr>
          <w:iCs/>
          <w:color w:val="000000"/>
          <w:szCs w:val="20"/>
        </w:rPr>
        <w:t xml:space="preserve"> from 10 cents to 50 cents.  The NCWM believed these revisions would ensure that unit pricing</w:t>
      </w:r>
      <w:r>
        <w:fldChar w:fldCharType="begin"/>
      </w:r>
      <w:r>
        <w:rPr>
          <w:iCs/>
          <w:color w:val="000000"/>
          <w:szCs w:val="20"/>
        </w:rPr>
        <w:instrText>xe "Unit pricing"</w:instrText>
      </w:r>
      <w:r>
        <w:fldChar w:fldCharType="end"/>
      </w:r>
      <w:r>
        <w:rPr>
          <w:iCs/>
          <w:color w:val="000000"/>
          <w:szCs w:val="20"/>
        </w:rPr>
        <w:t xml:space="preserve"> information facilitates value comparison between different package sizes and/or brands offered for sale in a store.</w:t>
      </w:r>
    </w:p>
    <w:p w14:paraId="6E2482F4" w14:textId="77777777" w:rsidR="00E34C39" w:rsidRDefault="00E34C39" w:rsidP="00E34C39">
      <w:pPr>
        <w:tabs>
          <w:tab w:val="left" w:pos="360"/>
        </w:tabs>
        <w:spacing w:after="60" w:line="256" w:lineRule="auto"/>
        <w:jc w:val="left"/>
        <w:rPr>
          <w:iCs/>
          <w:color w:val="000000"/>
          <w:szCs w:val="20"/>
        </w:rPr>
      </w:pPr>
      <w:r>
        <w:rPr>
          <w:szCs w:val="20"/>
        </w:rPr>
        <w:t xml:space="preserve">The NCWM also considered several comments on this item from members of the U.S. Metric Association (USMA).  Most of these comments suggested that the </w:t>
      </w:r>
      <w:r>
        <w:rPr>
          <w:b/>
          <w:bCs/>
          <w:szCs w:val="20"/>
          <w:u w:val="single"/>
        </w:rPr>
        <w:t>U</w:t>
      </w:r>
      <w:r>
        <w:rPr>
          <w:szCs w:val="20"/>
        </w:rPr>
        <w:t>UPR be amended to require unit pricing</w:t>
      </w:r>
      <w:r>
        <w:fldChar w:fldCharType="begin"/>
      </w:r>
      <w:r>
        <w:rPr>
          <w:szCs w:val="20"/>
        </w:rPr>
        <w:instrText>xe "Unit pricing"</w:instrText>
      </w:r>
      <w:r>
        <w:fldChar w:fldCharType="end"/>
      </w:r>
      <w:r>
        <w:rPr>
          <w:szCs w:val="20"/>
        </w:rPr>
        <w:t xml:space="preserve"> in metric units and permit U.S. customary unit pricing</w:t>
      </w:r>
      <w:r>
        <w:fldChar w:fldCharType="begin"/>
      </w:r>
      <w:r>
        <w:rPr>
          <w:szCs w:val="20"/>
        </w:rPr>
        <w:instrText>xe "Unit pricing"</w:instrText>
      </w:r>
      <w:r>
        <w:fldChar w:fldCharType="end"/>
      </w:r>
      <w:r>
        <w:rPr>
          <w:szCs w:val="20"/>
        </w:rPr>
        <w:t xml:space="preserve"> to be provided voluntarily.  When it developed the proposed revisions, the NCWM included guidelines for both U.S. customary and metric unit pricing</w:t>
      </w:r>
      <w:r>
        <w:fldChar w:fldCharType="begin"/>
      </w:r>
      <w:r>
        <w:rPr>
          <w:szCs w:val="20"/>
        </w:rPr>
        <w:instrText>xe "Unit pricing"</w:instrText>
      </w:r>
      <w:r>
        <w:fldChar w:fldCharType="end"/>
      </w:r>
      <w:r>
        <w:rPr>
          <w:szCs w:val="20"/>
        </w:rPr>
        <w:t xml:space="preserve"> and believes this is the correct approach to implementing metric revisions in the regulation.  The NCWM would like to make it clear that </w:t>
      </w:r>
      <w:proofErr w:type="gramStart"/>
      <w:r>
        <w:rPr>
          <w:szCs w:val="20"/>
        </w:rPr>
        <w:t xml:space="preserve">the </w:t>
      </w:r>
      <w:r>
        <w:rPr>
          <w:b/>
          <w:bCs/>
          <w:szCs w:val="20"/>
          <w:u w:val="single"/>
        </w:rPr>
        <w:t>U</w:t>
      </w:r>
      <w:r>
        <w:rPr>
          <w:szCs w:val="20"/>
        </w:rPr>
        <w:t>UPR</w:t>
      </w:r>
      <w:proofErr w:type="gramEnd"/>
      <w:r>
        <w:rPr>
          <w:szCs w:val="20"/>
        </w:rPr>
        <w:t xml:space="preserve"> applies only when stores voluntarily provide unit pricing</w:t>
      </w:r>
      <w:r>
        <w:fldChar w:fldCharType="begin"/>
      </w:r>
      <w:r>
        <w:rPr>
          <w:szCs w:val="20"/>
        </w:rPr>
        <w:instrText>xe "Unit pricing"</w:instrText>
      </w:r>
      <w:r>
        <w:fldChar w:fldCharType="end"/>
      </w:r>
      <w:r>
        <w:rPr>
          <w:szCs w:val="20"/>
        </w:rPr>
        <w:t xml:space="preserve"> information.  Its purpose is to provide a standard that retailers must follow to ensure that consumers will have pricing information that helps them make value comparisons.  The decision to provide unit price information in metric or U.S. customary units rests with retailers who will respond to consumer preference.  The NCWM believes that consumer preference will be the deciding factor as to when and how quickly metric unit pricing</w:t>
      </w:r>
      <w:r>
        <w:fldChar w:fldCharType="begin"/>
      </w:r>
      <w:r>
        <w:rPr>
          <w:szCs w:val="20"/>
        </w:rPr>
        <w:instrText>xe "Unit pricing"</w:instrText>
      </w:r>
      <w:r>
        <w:fldChar w:fldCharType="end"/>
      </w:r>
      <w:r>
        <w:rPr>
          <w:szCs w:val="20"/>
        </w:rPr>
        <w:t xml:space="preserve"> is used in the marketplace.  Therefore, the NCWM does not support amendments to include mandatory provisions in the </w:t>
      </w:r>
      <w:r>
        <w:rPr>
          <w:b/>
          <w:bCs/>
          <w:szCs w:val="20"/>
          <w:u w:val="single"/>
        </w:rPr>
        <w:t>U</w:t>
      </w:r>
      <w:r>
        <w:rPr>
          <w:szCs w:val="20"/>
        </w:rPr>
        <w:t>UPR</w:t>
      </w:r>
      <w:r>
        <w:rPr>
          <w:b/>
          <w:bCs/>
          <w:szCs w:val="20"/>
          <w:u w:val="single"/>
        </w:rPr>
        <w:t>,</w:t>
      </w:r>
      <w:r>
        <w:rPr>
          <w:szCs w:val="20"/>
        </w:rPr>
        <w:t xml:space="preserve"> as these provisions would take the decision to go to metric unit pricing</w:t>
      </w:r>
      <w:r>
        <w:fldChar w:fldCharType="begin"/>
      </w:r>
      <w:r>
        <w:rPr>
          <w:szCs w:val="20"/>
        </w:rPr>
        <w:instrText>xe "Unit pricing"</w:instrText>
      </w:r>
      <w:r>
        <w:fldChar w:fldCharType="end"/>
      </w:r>
      <w:r>
        <w:rPr>
          <w:szCs w:val="20"/>
        </w:rPr>
        <w:t xml:space="preserve"> out of the hands of </w:t>
      </w:r>
      <w:r>
        <w:rPr>
          <w:iCs/>
          <w:color w:val="000000"/>
          <w:szCs w:val="20"/>
        </w:rPr>
        <w:t xml:space="preserve">consumers and </w:t>
      </w:r>
      <w:r>
        <w:rPr>
          <w:iCs/>
          <w:color w:val="000000"/>
          <w:szCs w:val="20"/>
        </w:rPr>
        <w:lastRenderedPageBreak/>
        <w:t xml:space="preserve">retailers.  Finally, </w:t>
      </w:r>
      <w:proofErr w:type="gramStart"/>
      <w:r>
        <w:rPr>
          <w:iCs/>
          <w:color w:val="000000"/>
          <w:szCs w:val="20"/>
        </w:rPr>
        <w:t>the NCWM</w:t>
      </w:r>
      <w:proofErr w:type="gramEnd"/>
      <w:r>
        <w:rPr>
          <w:iCs/>
          <w:color w:val="000000"/>
          <w:szCs w:val="20"/>
        </w:rPr>
        <w:t xml:space="preserve"> does not want to include any requirement that may discourage retailers from voluntarily providing unit price information.</w:t>
      </w:r>
    </w:p>
    <w:p w14:paraId="09C0C8E6" w14:textId="77777777" w:rsidR="00E34C39" w:rsidRDefault="00E34C39" w:rsidP="00E34C39">
      <w:pPr>
        <w:tabs>
          <w:tab w:val="left" w:pos="360"/>
        </w:tabs>
        <w:jc w:val="left"/>
        <w:rPr>
          <w:iCs/>
          <w:color w:val="000000"/>
          <w:szCs w:val="20"/>
        </w:rPr>
      </w:pPr>
      <w:r>
        <w:rPr>
          <w:iCs/>
          <w:color w:val="000000"/>
          <w:szCs w:val="20"/>
        </w:rPr>
        <w:t xml:space="preserve">(Amended 1997 </w:t>
      </w:r>
      <w:r>
        <w:rPr>
          <w:b/>
          <w:bCs/>
          <w:iCs/>
          <w:color w:val="000000"/>
          <w:szCs w:val="20"/>
          <w:u w:val="single"/>
        </w:rPr>
        <w:t>&amp; 202X</w:t>
      </w:r>
      <w:r>
        <w:rPr>
          <w:iCs/>
          <w:color w:val="000000"/>
          <w:szCs w:val="20"/>
        </w:rPr>
        <w:t>)</w:t>
      </w:r>
    </w:p>
    <w:p w14:paraId="43E7D594" w14:textId="77777777" w:rsidR="00E34C39" w:rsidRDefault="00E34C39" w:rsidP="00E34C39">
      <w:pPr>
        <w:tabs>
          <w:tab w:val="left" w:pos="360"/>
        </w:tabs>
        <w:jc w:val="left"/>
        <w:rPr>
          <w:iCs/>
          <w:color w:val="000000"/>
          <w:szCs w:val="20"/>
        </w:rPr>
      </w:pPr>
      <w:r>
        <w:rPr>
          <w:iCs/>
          <w:strike/>
          <w:color w:val="000000"/>
          <w:szCs w:val="20"/>
        </w:rPr>
        <w:t>In December 2014, NIST published a unit pricing best practice guide,</w:t>
      </w:r>
      <w:r>
        <w:rPr>
          <w:iCs/>
          <w:color w:val="000000"/>
          <w:szCs w:val="20"/>
        </w:rPr>
        <w:t xml:space="preserve"> NIST </w:t>
      </w:r>
      <w:r>
        <w:rPr>
          <w:b/>
          <w:bCs/>
          <w:iCs/>
          <w:color w:val="000000"/>
          <w:szCs w:val="20"/>
          <w:u w:val="single"/>
        </w:rPr>
        <w:t>OWM published the original Special Publication</w:t>
      </w:r>
      <w:r>
        <w:rPr>
          <w:iCs/>
          <w:color w:val="000000"/>
          <w:szCs w:val="20"/>
        </w:rPr>
        <w:t xml:space="preserve"> SP 1181, “Unit Pricing Guide, A Best Practice Approach to Unit Pricing,” </w:t>
      </w:r>
      <w:r>
        <w:rPr>
          <w:b/>
          <w:bCs/>
          <w:iCs/>
          <w:color w:val="000000"/>
          <w:szCs w:val="20"/>
          <w:u w:val="single"/>
        </w:rPr>
        <w:t>in 2015,</w:t>
      </w:r>
      <w:r>
        <w:rPr>
          <w:iCs/>
          <w:color w:val="000000"/>
          <w:szCs w:val="20"/>
        </w:rPr>
        <w:t xml:space="preserve"> which can be found at</w:t>
      </w:r>
      <w:r>
        <w:rPr>
          <w:b/>
          <w:iCs/>
          <w:color w:val="000000"/>
          <w:szCs w:val="20"/>
        </w:rPr>
        <w:t xml:space="preserve"> </w:t>
      </w:r>
      <w:hyperlink r:id="rId27" w:history="1">
        <w:r>
          <w:rPr>
            <w:rStyle w:val="Hyperlink"/>
            <w:b/>
            <w:iCs/>
            <w:szCs w:val="20"/>
          </w:rPr>
          <w:t>https://doi.org/10.6028/NIST.SP.1181</w:t>
        </w:r>
      </w:hyperlink>
      <w:r>
        <w:rPr>
          <w:bCs/>
          <w:iCs/>
          <w:color w:val="000000"/>
          <w:szCs w:val="20"/>
        </w:rPr>
        <w:t>.</w:t>
      </w:r>
      <w:r>
        <w:rPr>
          <w:b/>
          <w:bCs/>
          <w:iCs/>
          <w:color w:val="000000"/>
          <w:szCs w:val="20"/>
        </w:rPr>
        <w:t xml:space="preserve"> </w:t>
      </w:r>
      <w:r>
        <w:rPr>
          <w:iCs/>
          <w:color w:val="000000"/>
          <w:szCs w:val="20"/>
        </w:rPr>
        <w:t xml:space="preserve"> The guide was developed to provide retailers with information about the best practice requirements for the unit pricing of pre-packaged commodities, which will improve the accuracy, usability, and uniformity of unit pricing information offered in retail stores.  </w:t>
      </w:r>
      <w:r>
        <w:rPr>
          <w:b/>
          <w:bCs/>
          <w:iCs/>
          <w:color w:val="000000"/>
          <w:szCs w:val="20"/>
          <w:u w:val="single"/>
        </w:rPr>
        <w:t>In 2024, the Unit Price workgroup was reconvened to review and update the guide, including making recommendations for unit pricing best practices in the online environment and addressing electronic shelf labels in conventional retail stores.</w:t>
      </w:r>
      <w:r>
        <w:rPr>
          <w:iCs/>
          <w:color w:val="000000"/>
          <w:szCs w:val="20"/>
        </w:rPr>
        <w:t xml:space="preserve"> The guide is not intended to conflict with the </w:t>
      </w:r>
      <w:r>
        <w:rPr>
          <w:b/>
          <w:bCs/>
          <w:iCs/>
          <w:color w:val="000000"/>
          <w:szCs w:val="20"/>
          <w:u w:val="single"/>
        </w:rPr>
        <w:t>U</w:t>
      </w:r>
      <w:r>
        <w:rPr>
          <w:iCs/>
          <w:color w:val="000000"/>
          <w:szCs w:val="20"/>
        </w:rPr>
        <w:t xml:space="preserve">UPR.  Mandatory regulations should be consulted to ensure those requirements are met before the recommended best practice requirements in this guide are implemented.  </w:t>
      </w:r>
    </w:p>
    <w:p w14:paraId="2FF9672F" w14:textId="77777777" w:rsidR="00E34C39" w:rsidRDefault="00E34C39" w:rsidP="00E34C39">
      <w:pPr>
        <w:tabs>
          <w:tab w:val="left" w:pos="360"/>
        </w:tabs>
        <w:jc w:val="left"/>
        <w:rPr>
          <w:i/>
          <w:iCs/>
          <w:color w:val="000000"/>
          <w:szCs w:val="20"/>
        </w:rPr>
      </w:pPr>
      <w:r>
        <w:rPr>
          <w:i/>
          <w:iCs/>
          <w:color w:val="000000"/>
          <w:szCs w:val="20"/>
        </w:rPr>
        <w:t xml:space="preserve">*The National </w:t>
      </w:r>
      <w:proofErr w:type="spellStart"/>
      <w:r>
        <w:rPr>
          <w:i/>
          <w:iCs/>
          <w:strike/>
          <w:color w:val="000000"/>
          <w:szCs w:val="20"/>
        </w:rPr>
        <w:t>Conference</w:t>
      </w:r>
      <w:r>
        <w:rPr>
          <w:b/>
          <w:bCs/>
          <w:i/>
          <w:iCs/>
          <w:color w:val="000000"/>
          <w:szCs w:val="20"/>
          <w:u w:val="single"/>
        </w:rPr>
        <w:t>Council</w:t>
      </w:r>
      <w:proofErr w:type="spellEnd"/>
      <w:r>
        <w:rPr>
          <w:i/>
          <w:iCs/>
          <w:color w:val="000000"/>
          <w:szCs w:val="20"/>
        </w:rPr>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p w14:paraId="0DF83671" w14:textId="77777777" w:rsidR="00E34C39" w:rsidRDefault="00E34C39" w:rsidP="00E34C39">
      <w:pPr>
        <w:tabs>
          <w:tab w:val="left" w:pos="360"/>
        </w:tabs>
        <w:jc w:val="left"/>
        <w:rPr>
          <w:b/>
          <w:bCs/>
          <w:color w:val="000000"/>
        </w:rPr>
      </w:pPr>
      <w:bookmarkStart w:id="83" w:name="_Toc173470311"/>
      <w:bookmarkStart w:id="84" w:name="_Toc173470683"/>
      <w:bookmarkStart w:id="85" w:name="_Toc173471545"/>
      <w:bookmarkStart w:id="86" w:name="_Toc173474193"/>
      <w:bookmarkStart w:id="87" w:name="_Toc173771789"/>
      <w:r>
        <w:rPr>
          <w:b/>
          <w:bCs/>
          <w:color w:val="000000"/>
        </w:rPr>
        <w:t>2</w:t>
      </w:r>
      <w:proofErr w:type="gramStart"/>
      <w:r>
        <w:rPr>
          <w:b/>
          <w:bCs/>
          <w:color w:val="000000"/>
        </w:rPr>
        <w:t>.  Status</w:t>
      </w:r>
      <w:proofErr w:type="gramEnd"/>
      <w:r>
        <w:rPr>
          <w:b/>
          <w:bCs/>
          <w:color w:val="000000"/>
        </w:rPr>
        <w:t xml:space="preserve"> of Promulgation</w:t>
      </w:r>
      <w:bookmarkEnd w:id="83"/>
      <w:bookmarkEnd w:id="84"/>
      <w:bookmarkEnd w:id="85"/>
      <w:bookmarkEnd w:id="86"/>
      <w:bookmarkEnd w:id="87"/>
    </w:p>
    <w:p w14:paraId="064D41A7" w14:textId="77777777" w:rsidR="00E34C39" w:rsidRDefault="00E34C39" w:rsidP="00E34C39">
      <w:pPr>
        <w:tabs>
          <w:tab w:val="left" w:pos="360"/>
        </w:tabs>
        <w:jc w:val="left"/>
        <w:rPr>
          <w:iCs/>
          <w:strike/>
          <w:color w:val="000000"/>
          <w:szCs w:val="24"/>
        </w:rPr>
      </w:pPr>
      <w:r>
        <w:rPr>
          <w:iCs/>
          <w:strike/>
          <w:color w:val="000000"/>
          <w:szCs w:val="24"/>
        </w:rPr>
        <w:t xml:space="preserve">The table beginning on page </w:t>
      </w:r>
      <w:proofErr w:type="gramStart"/>
      <w:r>
        <w:rPr>
          <w:iCs/>
          <w:strike/>
          <w:color w:val="000000"/>
          <w:szCs w:val="24"/>
        </w:rPr>
        <w:t>6</w:t>
      </w:r>
      <w:r>
        <w:rPr>
          <w:iCs/>
          <w:color w:val="000000"/>
          <w:szCs w:val="24"/>
        </w:rPr>
        <w:t xml:space="preserve">  </w:t>
      </w:r>
      <w:r w:rsidRPr="00434B04">
        <w:rPr>
          <w:iCs/>
          <w:strike/>
          <w:color w:val="000000"/>
          <w:szCs w:val="24"/>
        </w:rPr>
        <w:t>Figure</w:t>
      </w:r>
      <w:proofErr w:type="gramEnd"/>
      <w:r w:rsidRPr="00434B04">
        <w:rPr>
          <w:iCs/>
          <w:strike/>
          <w:color w:val="000000"/>
          <w:szCs w:val="24"/>
        </w:rPr>
        <w:t xml:space="preserve"> 1, illustrates the status of adoption of the Uniform Unit Pricing Regulation</w:t>
      </w:r>
      <w:r w:rsidRPr="00434B04">
        <w:rPr>
          <w:strike/>
        </w:rPr>
        <w:fldChar w:fldCharType="begin"/>
      </w:r>
      <w:r w:rsidRPr="00434B04">
        <w:rPr>
          <w:iCs/>
          <w:strike/>
          <w:color w:val="000000"/>
          <w:szCs w:val="24"/>
        </w:rPr>
        <w:instrText>xe "</w:instrText>
      </w:r>
      <w:proofErr w:type="gramStart"/>
      <w:r w:rsidRPr="00434B04">
        <w:rPr>
          <w:iCs/>
          <w:strike/>
          <w:color w:val="000000"/>
          <w:szCs w:val="24"/>
        </w:rPr>
        <w:instrText>Uniform”Unit</w:instrText>
      </w:r>
      <w:proofErr w:type="gramEnd"/>
      <w:r w:rsidRPr="00434B04">
        <w:rPr>
          <w:iCs/>
          <w:strike/>
          <w:color w:val="000000"/>
          <w:szCs w:val="24"/>
        </w:rPr>
        <w:instrText xml:space="preserve"> Pricing Regulation"</w:instrText>
      </w:r>
      <w:r w:rsidRPr="00434B04">
        <w:rPr>
          <w:strike/>
        </w:rPr>
        <w:fldChar w:fldCharType="end"/>
      </w:r>
      <w:r w:rsidRPr="00434B04">
        <w:rPr>
          <w:iCs/>
          <w:strike/>
          <w:color w:val="000000"/>
          <w:szCs w:val="24"/>
        </w:rPr>
        <w:t>.</w:t>
      </w:r>
    </w:p>
    <w:p w14:paraId="5CDC6AC6" w14:textId="0AD1D87E" w:rsidR="00E34C39" w:rsidRPr="007C0AC0" w:rsidRDefault="00BF40B2" w:rsidP="008277B9">
      <w:pPr>
        <w:tabs>
          <w:tab w:val="left" w:pos="360"/>
        </w:tabs>
        <w:jc w:val="left"/>
        <w:rPr>
          <w:b/>
          <w:bCs/>
          <w:iCs/>
          <w:color w:val="000000"/>
          <w:u w:val="single"/>
        </w:rPr>
      </w:pPr>
      <w:r>
        <w:rPr>
          <w:b/>
          <w:bCs/>
          <w:iCs/>
          <w:color w:val="000000"/>
          <w:szCs w:val="24"/>
          <w:u w:val="single"/>
        </w:rPr>
        <w:t xml:space="preserve">For a table detailing which states have adopted the </w:t>
      </w:r>
      <w:r w:rsidR="00325E81" w:rsidRPr="00325E81">
        <w:rPr>
          <w:b/>
          <w:bCs/>
          <w:iCs/>
          <w:color w:val="000000"/>
          <w:u w:val="single"/>
        </w:rPr>
        <w:t>Uniform Unit Pricing Regulation</w:t>
      </w:r>
      <w:r w:rsidR="00DA27D4">
        <w:rPr>
          <w:b/>
          <w:bCs/>
          <w:iCs/>
          <w:color w:val="000000"/>
          <w:u w:val="single"/>
        </w:rPr>
        <w:t xml:space="preserve"> </w:t>
      </w:r>
      <w:proofErr w:type="gramStart"/>
      <w:r w:rsidR="00DA27D4">
        <w:rPr>
          <w:b/>
          <w:bCs/>
          <w:iCs/>
          <w:color w:val="000000"/>
          <w:u w:val="single"/>
        </w:rPr>
        <w:t>refer</w:t>
      </w:r>
      <w:proofErr w:type="gramEnd"/>
      <w:r w:rsidR="00DA27D4">
        <w:rPr>
          <w:b/>
          <w:bCs/>
          <w:iCs/>
          <w:color w:val="000000"/>
          <w:u w:val="single"/>
        </w:rPr>
        <w:t xml:space="preserve"> to NIST Handbook 130 </w:t>
      </w:r>
      <w:r w:rsidR="0017509D">
        <w:rPr>
          <w:b/>
          <w:bCs/>
          <w:iCs/>
          <w:color w:val="000000"/>
          <w:u w:val="single"/>
        </w:rPr>
        <w:t xml:space="preserve">Section </w:t>
      </w:r>
      <w:r w:rsidR="00DA27D4" w:rsidRPr="007C0AC0">
        <w:rPr>
          <w:b/>
          <w:bCs/>
          <w:u w:val="single"/>
        </w:rPr>
        <w:t>II. Uniformity of Laws and Regulations</w:t>
      </w:r>
      <w:r w:rsidR="0017509D" w:rsidRPr="007C0AC0">
        <w:rPr>
          <w:b/>
          <w:bCs/>
          <w:u w:val="single"/>
        </w:rPr>
        <w:t>, Subsection</w:t>
      </w:r>
      <w:r w:rsidR="00DA27D4" w:rsidRPr="007C0AC0">
        <w:rPr>
          <w:u w:val="single"/>
        </w:rPr>
        <w:t xml:space="preserve"> </w:t>
      </w:r>
      <w:r w:rsidR="007C0AC0">
        <w:rPr>
          <w:b/>
          <w:bCs/>
          <w:u w:val="single"/>
        </w:rPr>
        <w:t>C</w:t>
      </w:r>
      <w:r w:rsidR="00DA27D4" w:rsidRPr="007C0AC0">
        <w:rPr>
          <w:b/>
          <w:bCs/>
          <w:u w:val="single"/>
        </w:rPr>
        <w:t>. Summary of State Laws and Regulations in Weights and Measures</w:t>
      </w:r>
    </w:p>
    <w:p w14:paraId="0EF9163C" w14:textId="77777777" w:rsidR="00E34C39" w:rsidRDefault="00E34C39" w:rsidP="00E34C39">
      <w:pPr>
        <w:tabs>
          <w:tab w:val="left" w:pos="360"/>
        </w:tabs>
        <w:spacing w:before="400" w:after="180"/>
        <w:jc w:val="center"/>
        <w:rPr>
          <w:b/>
          <w:iCs/>
          <w:sz w:val="24"/>
          <w:szCs w:val="24"/>
        </w:rPr>
      </w:pPr>
      <w:r>
        <w:rPr>
          <w:b/>
          <w:iCs/>
          <w:sz w:val="24"/>
          <w:szCs w:val="24"/>
        </w:rPr>
        <w:t>Table of Contents</w:t>
      </w:r>
    </w:p>
    <w:p w14:paraId="04D6A948" w14:textId="77777777" w:rsidR="00E34C39" w:rsidRDefault="00E34C39" w:rsidP="00FB1E49">
      <w:pPr>
        <w:pStyle w:val="TOC1"/>
        <w:rPr>
          <w:rFonts w:eastAsiaTheme="minorEastAsia" w:hint="eastAsia"/>
          <w:noProof/>
          <w:color w:val="auto"/>
          <w:kern w:val="2"/>
          <w14:ligatures w14:val="standardContextual"/>
        </w:rPr>
      </w:pPr>
      <w:r>
        <w:rPr>
          <w:noProof/>
        </w:rPr>
        <w:t>C.  Uniform Unit Pricing Regulation</w:t>
      </w:r>
      <w:r>
        <w:rPr>
          <w:noProof/>
          <w:webHidden/>
        </w:rPr>
        <w:tab/>
      </w:r>
      <w:r>
        <w:fldChar w:fldCharType="begin"/>
      </w:r>
      <w:r>
        <w:rPr>
          <w:noProof/>
          <w:webHidden/>
        </w:rPr>
        <w:instrText xml:space="preserve"> PAGEREF _Toc178172382 \h </w:instrText>
      </w:r>
      <w:r>
        <w:fldChar w:fldCharType="separate"/>
      </w:r>
      <w:r>
        <w:rPr>
          <w:noProof/>
          <w:webHidden/>
        </w:rPr>
        <w:t>153</w:t>
      </w:r>
      <w:r>
        <w:fldChar w:fldCharType="end"/>
      </w:r>
    </w:p>
    <w:p w14:paraId="3A28EC73" w14:textId="77777777" w:rsidR="00E34C39" w:rsidRDefault="00E34C39" w:rsidP="00FB1E49">
      <w:pPr>
        <w:pStyle w:val="TOC1"/>
        <w:rPr>
          <w:rFonts w:eastAsiaTheme="minorEastAsia" w:hint="eastAsia"/>
          <w:noProof/>
          <w:color w:val="auto"/>
          <w:kern w:val="2"/>
          <w14:ligatures w14:val="standardContextual"/>
        </w:rPr>
      </w:pPr>
      <w:r>
        <w:rPr>
          <w:noProof/>
        </w:rPr>
        <w:t>1.  Background</w:t>
      </w:r>
      <w:r>
        <w:rPr>
          <w:noProof/>
          <w:webHidden/>
        </w:rPr>
        <w:tab/>
      </w:r>
      <w:r>
        <w:fldChar w:fldCharType="begin"/>
      </w:r>
      <w:r>
        <w:rPr>
          <w:noProof/>
          <w:webHidden/>
        </w:rPr>
        <w:instrText xml:space="preserve"> PAGEREF _Toc178172383 \h </w:instrText>
      </w:r>
      <w:r>
        <w:fldChar w:fldCharType="separate"/>
      </w:r>
      <w:r>
        <w:rPr>
          <w:noProof/>
          <w:webHidden/>
        </w:rPr>
        <w:t>153</w:t>
      </w:r>
      <w:r>
        <w:fldChar w:fldCharType="end"/>
      </w:r>
    </w:p>
    <w:p w14:paraId="4F03C195" w14:textId="77777777" w:rsidR="00E34C39" w:rsidRDefault="00E34C39" w:rsidP="00FB1E49">
      <w:pPr>
        <w:pStyle w:val="TOC1"/>
        <w:rPr>
          <w:rFonts w:eastAsiaTheme="minorHAnsi"/>
          <w:noProof/>
          <w:color w:val="000000" w:themeColor="text1"/>
        </w:rPr>
      </w:pPr>
      <w:r>
        <w:rPr>
          <w:noProof/>
        </w:rPr>
        <w:t>2.  Status of Promulgation</w:t>
      </w:r>
      <w:r>
        <w:rPr>
          <w:noProof/>
          <w:webHidden/>
        </w:rPr>
        <w:tab/>
      </w:r>
      <w:r>
        <w:fldChar w:fldCharType="begin"/>
      </w:r>
      <w:r>
        <w:rPr>
          <w:noProof/>
          <w:webHidden/>
        </w:rPr>
        <w:instrText xml:space="preserve"> PAGEREF _Toc178172384 \h </w:instrText>
      </w:r>
      <w:r>
        <w:fldChar w:fldCharType="separate"/>
      </w:r>
      <w:r>
        <w:rPr>
          <w:noProof/>
          <w:webHidden/>
        </w:rPr>
        <w:t>154</w:t>
      </w:r>
      <w:r>
        <w:fldChar w:fldCharType="end"/>
      </w:r>
    </w:p>
    <w:p w14:paraId="5E2647BF" w14:textId="77777777" w:rsidR="00E34C39" w:rsidRDefault="00E34C39" w:rsidP="00FB1E49">
      <w:pPr>
        <w:pStyle w:val="TOC1"/>
        <w:rPr>
          <w:rFonts w:eastAsiaTheme="minorEastAsia" w:hint="eastAsia"/>
          <w:noProof/>
          <w:webHidden/>
          <w:color w:val="auto"/>
          <w:kern w:val="2"/>
          <w14:ligatures w14:val="standardContextual"/>
        </w:rPr>
      </w:pPr>
      <w:r>
        <w:fldChar w:fldCharType="begin"/>
      </w:r>
      <w:r>
        <w:instrText xml:space="preserve"> TOC \h \z \t "UnitPriceLevel1,1" </w:instrText>
      </w:r>
      <w:r>
        <w:fldChar w:fldCharType="separate"/>
      </w:r>
    </w:p>
    <w:bookmarkStart w:id="88" w:name="_Hlk202898831"/>
    <w:p w14:paraId="7D9B4353" w14:textId="77777777" w:rsidR="00E34C39" w:rsidRDefault="00E34C39" w:rsidP="00E34C39">
      <w:pPr>
        <w:tabs>
          <w:tab w:val="right" w:leader="dot" w:pos="9346"/>
        </w:tabs>
        <w:spacing w:after="100"/>
        <w:ind w:left="360" w:hanging="360"/>
        <w:jc w:val="left"/>
        <w:rPr>
          <w:noProof/>
          <w:color w:val="000000"/>
          <w:sz w:val="24"/>
          <w:szCs w:val="24"/>
        </w:rPr>
      </w:pPr>
      <w:r>
        <w:fldChar w:fldCharType="begin"/>
      </w:r>
      <w:r>
        <w:instrText xml:space="preserve"> HYPERLINK "file:///C:\\Users\\DonOnwiler\\Downloads\\3-LR-UPR-26.1.docx" \l "_Toc157693411" </w:instrText>
      </w:r>
      <w:r>
        <w:fldChar w:fldCharType="separate"/>
      </w:r>
      <w:r>
        <w:rPr>
          <w:rStyle w:val="Hyperlink"/>
          <w:szCs w:val="24"/>
        </w:rPr>
        <w:t>Section 1.  Application</w:t>
      </w:r>
      <w:r>
        <w:rPr>
          <w:rStyle w:val="Hyperlink"/>
          <w:webHidden/>
          <w:szCs w:val="24"/>
        </w:rPr>
        <w:tab/>
      </w:r>
      <w:r>
        <w:rPr>
          <w:rStyle w:val="Hyperlink"/>
        </w:rPr>
        <w:fldChar w:fldCharType="begin"/>
      </w:r>
      <w:r>
        <w:rPr>
          <w:rStyle w:val="Hyperlink"/>
          <w:webHidden/>
          <w:szCs w:val="24"/>
        </w:rPr>
        <w:instrText xml:space="preserve"> PAGEREF _Toc157693411 \h </w:instrText>
      </w:r>
      <w:r>
        <w:rPr>
          <w:rStyle w:val="Hyperlink"/>
        </w:rPr>
      </w:r>
      <w:r>
        <w:rPr>
          <w:rStyle w:val="Hyperlink"/>
        </w:rPr>
        <w:fldChar w:fldCharType="separate"/>
      </w:r>
      <w:r>
        <w:rPr>
          <w:rStyle w:val="Hyperlink"/>
          <w:webHidden/>
          <w:szCs w:val="24"/>
        </w:rPr>
        <w:t>159</w:t>
      </w:r>
      <w:r>
        <w:rPr>
          <w:rStyle w:val="Hyperlink"/>
        </w:rPr>
        <w:fldChar w:fldCharType="end"/>
      </w:r>
      <w:r>
        <w:fldChar w:fldCharType="end"/>
      </w:r>
    </w:p>
    <w:bookmarkEnd w:id="88"/>
    <w:p w14:paraId="4872B84B" w14:textId="77777777" w:rsidR="00E34C39" w:rsidRDefault="00E34C39" w:rsidP="00E34C39">
      <w:pPr>
        <w:tabs>
          <w:tab w:val="right" w:leader="dot" w:pos="9346"/>
        </w:tabs>
        <w:spacing w:after="100"/>
        <w:ind w:left="360" w:hanging="360"/>
        <w:jc w:val="left"/>
        <w:rPr>
          <w:color w:val="000000"/>
          <w:szCs w:val="20"/>
          <w:u w:val="single"/>
        </w:rPr>
      </w:pPr>
      <w:r>
        <w:fldChar w:fldCharType="begin"/>
      </w:r>
      <w:r>
        <w:instrText xml:space="preserve"> HYPERLINK "file:///C:\\Users\\DonOnwiler\\Downloads\\3-LR-UPR-26.1.docx" \l "_Toc157693411" </w:instrText>
      </w:r>
      <w:r>
        <w:fldChar w:fldCharType="separate"/>
      </w:r>
      <w:r>
        <w:rPr>
          <w:rStyle w:val="Hyperlink"/>
          <w:szCs w:val="20"/>
        </w:rPr>
        <w:t xml:space="preserve">Section 2.  </w:t>
      </w:r>
      <w:r>
        <w:rPr>
          <w:rStyle w:val="Hyperlink"/>
          <w:b/>
          <w:bCs/>
          <w:szCs w:val="20"/>
        </w:rPr>
        <w:t>Definitions</w:t>
      </w:r>
      <w:r>
        <w:rPr>
          <w:rStyle w:val="Hyperlink"/>
          <w:webHidden/>
          <w:szCs w:val="20"/>
        </w:rPr>
        <w:tab/>
      </w:r>
      <w:r>
        <w:rPr>
          <w:rStyle w:val="Hyperlink"/>
        </w:rPr>
        <w:fldChar w:fldCharType="begin"/>
      </w:r>
      <w:r>
        <w:rPr>
          <w:rStyle w:val="Hyperlink"/>
          <w:strike/>
          <w:webHidden/>
          <w:szCs w:val="20"/>
        </w:rPr>
        <w:instrText xml:space="preserve"> PAGEREF _Toc157693411 \h </w:instrText>
      </w:r>
      <w:r>
        <w:rPr>
          <w:rStyle w:val="Hyperlink"/>
        </w:rPr>
      </w:r>
      <w:r>
        <w:rPr>
          <w:rStyle w:val="Hyperlink"/>
        </w:rPr>
        <w:fldChar w:fldCharType="separate"/>
      </w:r>
      <w:r>
        <w:rPr>
          <w:rStyle w:val="Hyperlink"/>
          <w:strike/>
          <w:webHidden/>
          <w:szCs w:val="20"/>
        </w:rPr>
        <w:t>159</w:t>
      </w:r>
      <w:r>
        <w:rPr>
          <w:rStyle w:val="Hyperlink"/>
        </w:rPr>
        <w:fldChar w:fldCharType="end"/>
      </w:r>
      <w:r>
        <w:fldChar w:fldCharType="end"/>
      </w:r>
    </w:p>
    <w:p w14:paraId="7414F9DF" w14:textId="77777777" w:rsidR="00E34C39" w:rsidRDefault="00E34C39" w:rsidP="00E34C39">
      <w:pPr>
        <w:tabs>
          <w:tab w:val="right" w:leader="dot" w:pos="9346"/>
        </w:tabs>
        <w:spacing w:after="100"/>
        <w:ind w:left="360" w:hanging="360"/>
        <w:jc w:val="left"/>
        <w:rPr>
          <w:rFonts w:eastAsia="MS Mincho"/>
          <w:noProof/>
        </w:rPr>
      </w:pPr>
      <w:hyperlink r:id="rId28" w:anchor="_Toc157693412" w:history="1">
        <w:r>
          <w:rPr>
            <w:rStyle w:val="Hyperlink"/>
            <w:szCs w:val="24"/>
          </w:rPr>
          <w:t xml:space="preserve">Section </w:t>
        </w:r>
        <w:r>
          <w:rPr>
            <w:rStyle w:val="Hyperlink"/>
            <w:strike/>
            <w:szCs w:val="24"/>
          </w:rPr>
          <w:t>2</w:t>
        </w:r>
        <w:r>
          <w:rPr>
            <w:rStyle w:val="Hyperlink"/>
            <w:szCs w:val="24"/>
          </w:rPr>
          <w:t>3.  Terms for Unit  Pricing</w:t>
        </w:r>
        <w:r>
          <w:rPr>
            <w:rStyle w:val="Hyperlink"/>
            <w:webHidden/>
            <w:szCs w:val="24"/>
          </w:rPr>
          <w:tab/>
        </w:r>
        <w:r>
          <w:rPr>
            <w:rStyle w:val="Hyperlink"/>
          </w:rPr>
          <w:fldChar w:fldCharType="begin"/>
        </w:r>
        <w:r>
          <w:rPr>
            <w:rStyle w:val="Hyperlink"/>
            <w:webHidden/>
            <w:szCs w:val="24"/>
          </w:rPr>
          <w:instrText xml:space="preserve"> PAGEREF _Toc157693412 \h </w:instrText>
        </w:r>
        <w:r>
          <w:rPr>
            <w:rStyle w:val="Hyperlink"/>
          </w:rPr>
        </w:r>
        <w:r>
          <w:rPr>
            <w:rStyle w:val="Hyperlink"/>
          </w:rPr>
          <w:fldChar w:fldCharType="separate"/>
        </w:r>
        <w:r>
          <w:rPr>
            <w:rStyle w:val="Hyperlink"/>
            <w:webHidden/>
            <w:szCs w:val="24"/>
          </w:rPr>
          <w:t>159</w:t>
        </w:r>
        <w:r>
          <w:rPr>
            <w:rStyle w:val="Hyperlink"/>
          </w:rPr>
          <w:fldChar w:fldCharType="end"/>
        </w:r>
      </w:hyperlink>
    </w:p>
    <w:p w14:paraId="63C2DE0A" w14:textId="77777777" w:rsidR="00E34C39" w:rsidRDefault="00E34C39" w:rsidP="00E34C39">
      <w:pPr>
        <w:tabs>
          <w:tab w:val="right" w:leader="dot" w:pos="9346"/>
        </w:tabs>
        <w:spacing w:after="100"/>
        <w:ind w:left="360" w:hanging="360"/>
        <w:jc w:val="left"/>
        <w:rPr>
          <w:rFonts w:eastAsia="MS Mincho"/>
          <w:noProof/>
        </w:rPr>
      </w:pPr>
      <w:hyperlink r:id="rId29" w:anchor="_Toc157693413" w:history="1">
        <w:r>
          <w:rPr>
            <w:rStyle w:val="Hyperlink"/>
            <w:szCs w:val="24"/>
          </w:rPr>
          <w:t xml:space="preserve">Section </w:t>
        </w:r>
        <w:r>
          <w:rPr>
            <w:rStyle w:val="Hyperlink"/>
            <w:strike/>
            <w:szCs w:val="24"/>
          </w:rPr>
          <w:t>3</w:t>
        </w:r>
        <w:r>
          <w:rPr>
            <w:rStyle w:val="Hyperlink"/>
            <w:szCs w:val="24"/>
          </w:rPr>
          <w:t>4.  Exemptions</w:t>
        </w:r>
        <w:r>
          <w:rPr>
            <w:rStyle w:val="Hyperlink"/>
            <w:webHidden/>
            <w:szCs w:val="24"/>
          </w:rPr>
          <w:tab/>
        </w:r>
        <w:r>
          <w:rPr>
            <w:rStyle w:val="Hyperlink"/>
          </w:rPr>
          <w:fldChar w:fldCharType="begin"/>
        </w:r>
        <w:r>
          <w:rPr>
            <w:rStyle w:val="Hyperlink"/>
            <w:webHidden/>
            <w:szCs w:val="24"/>
          </w:rPr>
          <w:instrText xml:space="preserve"> PAGEREF _Toc157693413 \h </w:instrText>
        </w:r>
        <w:r>
          <w:rPr>
            <w:rStyle w:val="Hyperlink"/>
          </w:rPr>
        </w:r>
        <w:r>
          <w:rPr>
            <w:rStyle w:val="Hyperlink"/>
          </w:rPr>
          <w:fldChar w:fldCharType="separate"/>
        </w:r>
        <w:r>
          <w:rPr>
            <w:rStyle w:val="Hyperlink"/>
            <w:webHidden/>
            <w:szCs w:val="24"/>
          </w:rPr>
          <w:t>159</w:t>
        </w:r>
        <w:r>
          <w:rPr>
            <w:rStyle w:val="Hyperlink"/>
          </w:rPr>
          <w:fldChar w:fldCharType="end"/>
        </w:r>
      </w:hyperlink>
    </w:p>
    <w:p w14:paraId="45CD138D" w14:textId="77777777" w:rsidR="00E34C39" w:rsidRDefault="00E34C39" w:rsidP="00E34C39">
      <w:pPr>
        <w:tabs>
          <w:tab w:val="right" w:leader="dot" w:pos="9346"/>
        </w:tabs>
        <w:spacing w:after="100"/>
        <w:ind w:left="360" w:hanging="360"/>
        <w:jc w:val="left"/>
        <w:rPr>
          <w:rFonts w:eastAsia="MS Mincho"/>
          <w:noProof/>
        </w:rPr>
      </w:pPr>
      <w:hyperlink r:id="rId30" w:anchor="_Toc157693414" w:history="1">
        <w:r>
          <w:rPr>
            <w:rStyle w:val="Hyperlink"/>
            <w:szCs w:val="24"/>
          </w:rPr>
          <w:t xml:space="preserve">Section </w:t>
        </w:r>
        <w:r>
          <w:rPr>
            <w:rStyle w:val="Hyperlink"/>
            <w:strike/>
            <w:szCs w:val="24"/>
          </w:rPr>
          <w:t>4</w:t>
        </w:r>
        <w:r>
          <w:rPr>
            <w:rStyle w:val="Hyperlink"/>
            <w:szCs w:val="24"/>
          </w:rPr>
          <w:t>5.  Pricing</w:t>
        </w:r>
        <w:r>
          <w:rPr>
            <w:rStyle w:val="Hyperlink"/>
            <w:webHidden/>
            <w:szCs w:val="24"/>
          </w:rPr>
          <w:tab/>
        </w:r>
        <w:r>
          <w:rPr>
            <w:rStyle w:val="Hyperlink"/>
          </w:rPr>
          <w:fldChar w:fldCharType="begin"/>
        </w:r>
        <w:r>
          <w:rPr>
            <w:rStyle w:val="Hyperlink"/>
            <w:webHidden/>
            <w:szCs w:val="24"/>
          </w:rPr>
          <w:instrText xml:space="preserve"> PAGEREF _Toc157693414 \h </w:instrText>
        </w:r>
        <w:r>
          <w:rPr>
            <w:rStyle w:val="Hyperlink"/>
          </w:rPr>
        </w:r>
        <w:r>
          <w:rPr>
            <w:rStyle w:val="Hyperlink"/>
          </w:rPr>
          <w:fldChar w:fldCharType="separate"/>
        </w:r>
        <w:r>
          <w:rPr>
            <w:rStyle w:val="Hyperlink"/>
            <w:webHidden/>
            <w:szCs w:val="24"/>
          </w:rPr>
          <w:t>160</w:t>
        </w:r>
        <w:r>
          <w:rPr>
            <w:rStyle w:val="Hyperlink"/>
          </w:rPr>
          <w:fldChar w:fldCharType="end"/>
        </w:r>
      </w:hyperlink>
    </w:p>
    <w:p w14:paraId="6773F3F8" w14:textId="77777777" w:rsidR="00E34C39" w:rsidRDefault="00E34C39" w:rsidP="00E34C39">
      <w:pPr>
        <w:tabs>
          <w:tab w:val="right" w:leader="dot" w:pos="9346"/>
        </w:tabs>
        <w:spacing w:after="100"/>
        <w:ind w:left="360" w:hanging="360"/>
        <w:jc w:val="left"/>
        <w:rPr>
          <w:rFonts w:eastAsia="MS Mincho"/>
          <w:noProof/>
        </w:rPr>
      </w:pPr>
      <w:hyperlink r:id="rId31" w:anchor="_Toc157693415" w:history="1">
        <w:r>
          <w:rPr>
            <w:rStyle w:val="Hyperlink"/>
            <w:szCs w:val="24"/>
          </w:rPr>
          <w:t xml:space="preserve">Section </w:t>
        </w:r>
        <w:r>
          <w:rPr>
            <w:rStyle w:val="Hyperlink"/>
            <w:strike/>
            <w:szCs w:val="24"/>
          </w:rPr>
          <w:t>56</w:t>
        </w:r>
        <w:r>
          <w:rPr>
            <w:rStyle w:val="Hyperlink"/>
            <w:szCs w:val="24"/>
          </w:rPr>
          <w:t>.  Presentation of Price</w:t>
        </w:r>
        <w:r>
          <w:rPr>
            <w:rStyle w:val="Hyperlink"/>
            <w:webHidden/>
            <w:szCs w:val="24"/>
          </w:rPr>
          <w:tab/>
        </w:r>
        <w:r>
          <w:rPr>
            <w:rStyle w:val="Hyperlink"/>
          </w:rPr>
          <w:fldChar w:fldCharType="begin"/>
        </w:r>
        <w:r>
          <w:rPr>
            <w:rStyle w:val="Hyperlink"/>
            <w:webHidden/>
            <w:szCs w:val="24"/>
          </w:rPr>
          <w:instrText xml:space="preserve"> PAGEREF _Toc157693415 \h </w:instrText>
        </w:r>
        <w:r>
          <w:rPr>
            <w:rStyle w:val="Hyperlink"/>
          </w:rPr>
        </w:r>
        <w:r>
          <w:rPr>
            <w:rStyle w:val="Hyperlink"/>
          </w:rPr>
          <w:fldChar w:fldCharType="separate"/>
        </w:r>
        <w:r>
          <w:rPr>
            <w:rStyle w:val="Hyperlink"/>
            <w:webHidden/>
            <w:szCs w:val="24"/>
          </w:rPr>
          <w:t>160</w:t>
        </w:r>
        <w:r>
          <w:rPr>
            <w:rStyle w:val="Hyperlink"/>
          </w:rPr>
          <w:fldChar w:fldCharType="end"/>
        </w:r>
      </w:hyperlink>
    </w:p>
    <w:p w14:paraId="66635293" w14:textId="77777777" w:rsidR="00E34C39" w:rsidRDefault="00E34C39" w:rsidP="00E34C39">
      <w:pPr>
        <w:tabs>
          <w:tab w:val="right" w:leader="dot" w:pos="9346"/>
        </w:tabs>
        <w:spacing w:after="100"/>
        <w:ind w:left="360" w:hanging="360"/>
        <w:jc w:val="left"/>
        <w:rPr>
          <w:rFonts w:eastAsia="MS Mincho"/>
          <w:noProof/>
        </w:rPr>
      </w:pPr>
      <w:hyperlink r:id="rId32" w:anchor="_Toc157693416" w:history="1">
        <w:r>
          <w:rPr>
            <w:rStyle w:val="Hyperlink"/>
            <w:szCs w:val="24"/>
          </w:rPr>
          <w:t xml:space="preserve">Section </w:t>
        </w:r>
        <w:r>
          <w:rPr>
            <w:rStyle w:val="Hyperlink"/>
            <w:strike/>
            <w:szCs w:val="24"/>
          </w:rPr>
          <w:t>6</w:t>
        </w:r>
        <w:r>
          <w:rPr>
            <w:rStyle w:val="Hyperlink"/>
            <w:szCs w:val="24"/>
          </w:rPr>
          <w:t>7.  Uniformity</w:t>
        </w:r>
        <w:r>
          <w:rPr>
            <w:rStyle w:val="Hyperlink"/>
            <w:webHidden/>
            <w:szCs w:val="24"/>
          </w:rPr>
          <w:tab/>
        </w:r>
        <w:r>
          <w:rPr>
            <w:rStyle w:val="Hyperlink"/>
          </w:rPr>
          <w:fldChar w:fldCharType="begin"/>
        </w:r>
        <w:r>
          <w:rPr>
            <w:rStyle w:val="Hyperlink"/>
            <w:webHidden/>
            <w:szCs w:val="24"/>
          </w:rPr>
          <w:instrText xml:space="preserve"> PAGEREF _Toc157693416 \h </w:instrText>
        </w:r>
        <w:r>
          <w:rPr>
            <w:rStyle w:val="Hyperlink"/>
          </w:rPr>
        </w:r>
        <w:r>
          <w:rPr>
            <w:rStyle w:val="Hyperlink"/>
          </w:rPr>
          <w:fldChar w:fldCharType="separate"/>
        </w:r>
        <w:r>
          <w:rPr>
            <w:rStyle w:val="Hyperlink"/>
            <w:webHidden/>
            <w:szCs w:val="24"/>
          </w:rPr>
          <w:t>160</w:t>
        </w:r>
        <w:r>
          <w:rPr>
            <w:rStyle w:val="Hyperlink"/>
          </w:rPr>
          <w:fldChar w:fldCharType="end"/>
        </w:r>
      </w:hyperlink>
    </w:p>
    <w:p w14:paraId="0B63B74F" w14:textId="77777777" w:rsidR="00E34C39" w:rsidRDefault="00E34C39" w:rsidP="00E34C39">
      <w:pPr>
        <w:tabs>
          <w:tab w:val="right" w:leader="dot" w:pos="9346"/>
        </w:tabs>
        <w:spacing w:after="100"/>
        <w:ind w:left="360" w:hanging="360"/>
        <w:jc w:val="left"/>
        <w:rPr>
          <w:rFonts w:eastAsia="MS Mincho"/>
          <w:noProof/>
        </w:rPr>
      </w:pPr>
      <w:hyperlink r:id="rId33" w:anchor="_Toc157693417" w:history="1">
        <w:r>
          <w:rPr>
            <w:rStyle w:val="Hyperlink"/>
            <w:szCs w:val="24"/>
          </w:rPr>
          <w:t xml:space="preserve">Section </w:t>
        </w:r>
        <w:r>
          <w:rPr>
            <w:rStyle w:val="Hyperlink"/>
            <w:strike/>
            <w:szCs w:val="24"/>
          </w:rPr>
          <w:t>7</w:t>
        </w:r>
        <w:r>
          <w:rPr>
            <w:rStyle w:val="Hyperlink"/>
            <w:szCs w:val="24"/>
          </w:rPr>
          <w:t>8.  Effective Date</w:t>
        </w:r>
        <w:r>
          <w:rPr>
            <w:rStyle w:val="Hyperlink"/>
            <w:webHidden/>
            <w:szCs w:val="24"/>
          </w:rPr>
          <w:tab/>
        </w:r>
        <w:r>
          <w:rPr>
            <w:rStyle w:val="Hyperlink"/>
          </w:rPr>
          <w:fldChar w:fldCharType="begin"/>
        </w:r>
        <w:r>
          <w:rPr>
            <w:rStyle w:val="Hyperlink"/>
            <w:webHidden/>
            <w:szCs w:val="24"/>
          </w:rPr>
          <w:instrText xml:space="preserve"> PAGEREF _Toc157693417 \h </w:instrText>
        </w:r>
        <w:r>
          <w:rPr>
            <w:rStyle w:val="Hyperlink"/>
          </w:rPr>
        </w:r>
        <w:r>
          <w:rPr>
            <w:rStyle w:val="Hyperlink"/>
          </w:rPr>
          <w:fldChar w:fldCharType="separate"/>
        </w:r>
        <w:r>
          <w:rPr>
            <w:rStyle w:val="Hyperlink"/>
            <w:webHidden/>
            <w:szCs w:val="24"/>
          </w:rPr>
          <w:t>161</w:t>
        </w:r>
        <w:r>
          <w:rPr>
            <w:rStyle w:val="Hyperlink"/>
          </w:rPr>
          <w:fldChar w:fldCharType="end"/>
        </w:r>
      </w:hyperlink>
    </w:p>
    <w:p w14:paraId="300D5EF4" w14:textId="4AFB58D8" w:rsidR="00E34C39" w:rsidRPr="000D469A" w:rsidRDefault="00E34C39" w:rsidP="00346B96">
      <w:pPr>
        <w:suppressLineNumbers/>
        <w:ind w:left="720"/>
        <w:rPr>
          <w:color w:val="000000"/>
          <w:sz w:val="24"/>
          <w:szCs w:val="24"/>
        </w:rPr>
      </w:pPr>
      <w:r>
        <w:fldChar w:fldCharType="end"/>
      </w:r>
    </w:p>
    <w:p w14:paraId="0C007476" w14:textId="77777777" w:rsidR="00E34C39" w:rsidRDefault="00E34C39" w:rsidP="00E34C39">
      <w:pPr>
        <w:tabs>
          <w:tab w:val="left" w:pos="360"/>
        </w:tabs>
        <w:spacing w:before="360" w:after="480"/>
        <w:jc w:val="center"/>
        <w:rPr>
          <w:b/>
          <w:bCs/>
          <w:sz w:val="24"/>
          <w:szCs w:val="24"/>
        </w:rPr>
      </w:pPr>
      <w:r>
        <w:rPr>
          <w:b/>
          <w:bCs/>
          <w:sz w:val="24"/>
          <w:szCs w:val="24"/>
        </w:rPr>
        <w:t>C.</w:t>
      </w:r>
      <w:r>
        <w:rPr>
          <w:bCs/>
          <w:sz w:val="24"/>
          <w:szCs w:val="24"/>
        </w:rPr>
        <w:t>  </w:t>
      </w:r>
      <w:r>
        <w:rPr>
          <w:b/>
          <w:bCs/>
          <w:sz w:val="24"/>
          <w:szCs w:val="24"/>
        </w:rPr>
        <w:t>Uniform Unit Pricing Regulation</w:t>
      </w:r>
    </w:p>
    <w:p w14:paraId="088080BA" w14:textId="77777777" w:rsidR="00E34C39" w:rsidRDefault="00E34C39" w:rsidP="00E34C39">
      <w:pPr>
        <w:keepNext/>
        <w:tabs>
          <w:tab w:val="left" w:pos="360"/>
        </w:tabs>
        <w:spacing w:before="400" w:after="180"/>
        <w:jc w:val="left"/>
        <w:outlineLvl w:val="5"/>
        <w:rPr>
          <w:b/>
          <w:bCs/>
          <w:szCs w:val="20"/>
        </w:rPr>
      </w:pPr>
      <w:bookmarkStart w:id="89" w:name="_Toc173470312"/>
      <w:bookmarkStart w:id="90" w:name="_Toc173471546"/>
      <w:bookmarkStart w:id="91" w:name="_Toc173474194"/>
      <w:bookmarkStart w:id="92" w:name="_Toc173771790"/>
      <w:bookmarkStart w:id="93" w:name="_Toc205539073"/>
      <w:bookmarkStart w:id="94" w:name="_Toc157693411"/>
      <w:r>
        <w:rPr>
          <w:b/>
          <w:bCs/>
          <w:szCs w:val="20"/>
        </w:rPr>
        <w:t>Section 1.  Application</w:t>
      </w:r>
      <w:bookmarkEnd w:id="89"/>
      <w:bookmarkEnd w:id="90"/>
      <w:bookmarkEnd w:id="91"/>
      <w:bookmarkEnd w:id="92"/>
      <w:bookmarkEnd w:id="93"/>
      <w:bookmarkEnd w:id="94"/>
    </w:p>
    <w:p w14:paraId="44D71957" w14:textId="77777777" w:rsidR="00E34C39" w:rsidRDefault="00E34C39" w:rsidP="00E34C39">
      <w:pPr>
        <w:jc w:val="left"/>
        <w:rPr>
          <w:iCs/>
          <w:color w:val="000000"/>
          <w:szCs w:val="24"/>
        </w:rPr>
      </w:pPr>
      <w:r>
        <w:rPr>
          <w:b/>
          <w:bCs/>
          <w:iCs/>
          <w:color w:val="000000"/>
          <w:szCs w:val="24"/>
          <w:u w:val="single"/>
        </w:rPr>
        <w:t xml:space="preserve">The purpose of this regulation is to establish uniform requirements for the presentation and display of unit pricing information for consumer commodities offered for retail </w:t>
      </w:r>
      <w:proofErr w:type="gramStart"/>
      <w:r>
        <w:rPr>
          <w:b/>
          <w:bCs/>
          <w:iCs/>
          <w:color w:val="000000"/>
          <w:szCs w:val="24"/>
          <w:u w:val="single"/>
        </w:rPr>
        <w:t>sale</w:t>
      </w:r>
      <w:proofErr w:type="gramEnd"/>
      <w:r>
        <w:rPr>
          <w:b/>
          <w:bCs/>
          <w:iCs/>
          <w:color w:val="000000"/>
          <w:szCs w:val="24"/>
          <w:u w:val="single"/>
        </w:rPr>
        <w:t xml:space="preserve">. Unit pricing enables consumers to make </w:t>
      </w:r>
      <w:r>
        <w:rPr>
          <w:b/>
          <w:bCs/>
          <w:iCs/>
          <w:color w:val="000000"/>
          <w:szCs w:val="24"/>
          <w:u w:val="single"/>
        </w:rPr>
        <w:lastRenderedPageBreak/>
        <w:t>value-based price comparisons by providing cost-per-unit-of-measure information. This regulation supports fair marketing practices, promotes pricing transparency, and enhances consumer choice across all retail channels, including in-store and e-commerce environments.</w:t>
      </w:r>
    </w:p>
    <w:p w14:paraId="0AF3FA2C" w14:textId="77777777" w:rsidR="00E34C39" w:rsidRDefault="00E34C39" w:rsidP="00E34C39">
      <w:pPr>
        <w:tabs>
          <w:tab w:val="left" w:pos="360"/>
        </w:tabs>
        <w:jc w:val="left"/>
        <w:rPr>
          <w:iCs/>
          <w:color w:val="000000"/>
          <w:szCs w:val="24"/>
        </w:rPr>
      </w:pPr>
      <w:r>
        <w:rPr>
          <w:iCs/>
          <w:color w:val="000000"/>
          <w:szCs w:val="24"/>
        </w:rPr>
        <w:t>Except for random and uniform weight packages that clearly state the unit price</w:t>
      </w:r>
      <w:r>
        <w:fldChar w:fldCharType="begin"/>
      </w:r>
      <w:r>
        <w:rPr>
          <w:iCs/>
          <w:color w:val="000000"/>
          <w:szCs w:val="24"/>
        </w:rPr>
        <w:instrText>xe "Unit pricing"</w:instrText>
      </w:r>
      <w:r>
        <w:fldChar w:fldCharType="end"/>
      </w:r>
      <w:r>
        <w:rPr>
          <w:iCs/>
          <w:color w:val="000000"/>
          <w:szCs w:val="24"/>
        </w:rPr>
        <w:t xml:space="preserve"> in accordance with existing regulations, any retail establishment providing unit price information for packaged commodities shall provide the unit price information in the manner prescribed herein.</w:t>
      </w:r>
    </w:p>
    <w:p w14:paraId="4CD11C1C" w14:textId="77777777" w:rsidR="00E34C39" w:rsidRDefault="00E34C39" w:rsidP="00E34C39">
      <w:pPr>
        <w:tabs>
          <w:tab w:val="left" w:pos="360"/>
        </w:tabs>
        <w:jc w:val="left"/>
        <w:rPr>
          <w:b/>
          <w:bCs/>
          <w:iCs/>
          <w:color w:val="000000"/>
          <w:szCs w:val="24"/>
          <w:u w:val="single"/>
        </w:rPr>
      </w:pPr>
      <w:r>
        <w:rPr>
          <w:b/>
          <w:bCs/>
          <w:iCs/>
          <w:color w:val="000000"/>
          <w:szCs w:val="24"/>
          <w:u w:val="single"/>
        </w:rPr>
        <w:t xml:space="preserve">(Amended 202X) </w:t>
      </w:r>
    </w:p>
    <w:p w14:paraId="0D304BDF" w14:textId="77777777" w:rsidR="00E34C39" w:rsidRDefault="00E34C39" w:rsidP="00E34C39">
      <w:pPr>
        <w:tabs>
          <w:tab w:val="left" w:pos="360"/>
        </w:tabs>
        <w:jc w:val="left"/>
        <w:rPr>
          <w:b/>
          <w:bCs/>
          <w:iCs/>
          <w:color w:val="000000"/>
          <w:u w:val="single"/>
        </w:rPr>
      </w:pPr>
      <w:r>
        <w:rPr>
          <w:b/>
          <w:bCs/>
          <w:iCs/>
          <w:color w:val="000000"/>
          <w:u w:val="single"/>
        </w:rPr>
        <w:t>Section 2. Definitions</w:t>
      </w:r>
    </w:p>
    <w:p w14:paraId="10DB5A7E" w14:textId="77777777" w:rsidR="00E34C39" w:rsidRDefault="00E34C39" w:rsidP="00E34C39">
      <w:pPr>
        <w:tabs>
          <w:tab w:val="left" w:pos="360"/>
        </w:tabs>
        <w:jc w:val="left"/>
        <w:rPr>
          <w:rFonts w:eastAsia="Times New Roman"/>
          <w:b/>
          <w:iCs/>
          <w:color w:val="000000"/>
          <w:szCs w:val="20"/>
          <w:u w:val="single"/>
        </w:rPr>
      </w:pPr>
      <w:r>
        <w:rPr>
          <w:rFonts w:eastAsia="Times New Roman"/>
          <w:b/>
          <w:i/>
          <w:color w:val="000000"/>
          <w:szCs w:val="20"/>
          <w:u w:val="single"/>
        </w:rPr>
        <w:t xml:space="preserve">2.1 Unit Price – </w:t>
      </w:r>
      <w:r>
        <w:rPr>
          <w:rFonts w:eastAsia="Times New Roman"/>
          <w:b/>
          <w:iCs/>
          <w:color w:val="000000"/>
          <w:szCs w:val="20"/>
          <w:u w:val="single"/>
        </w:rPr>
        <w:t>A</w:t>
      </w:r>
      <w:r>
        <w:rPr>
          <w:rFonts w:eastAsia="Times New Roman"/>
          <w:b/>
          <w:i/>
          <w:color w:val="000000"/>
          <w:szCs w:val="20"/>
          <w:u w:val="single"/>
        </w:rPr>
        <w:t xml:space="preserve"> </w:t>
      </w:r>
      <w:r>
        <w:rPr>
          <w:rFonts w:eastAsia="Times New Roman"/>
          <w:b/>
          <w:iCs/>
          <w:color w:val="000000"/>
          <w:szCs w:val="20"/>
          <w:u w:val="single"/>
        </w:rPr>
        <w:t>Unit price is the cost per unit of measure of products, such as the cost per milliliter or per ounce.</w:t>
      </w:r>
    </w:p>
    <w:p w14:paraId="4A2B5B41" w14:textId="77777777" w:rsidR="00E34C39" w:rsidRDefault="00E34C39" w:rsidP="00E34C39">
      <w:pPr>
        <w:widowControl w:val="0"/>
        <w:autoSpaceDE w:val="0"/>
        <w:autoSpaceDN w:val="0"/>
        <w:spacing w:before="120" w:after="0"/>
        <w:rPr>
          <w:rFonts w:eastAsia="Times New Roman"/>
          <w:szCs w:val="20"/>
        </w:rPr>
      </w:pPr>
      <w:r>
        <w:rPr>
          <w:rFonts w:eastAsia="Times New Roman"/>
          <w:b/>
          <w:bCs/>
          <w:i/>
          <w:iCs/>
          <w:szCs w:val="20"/>
          <w:u w:val="single"/>
        </w:rPr>
        <w:t>2.2 Retail Price</w:t>
      </w:r>
      <w:r>
        <w:rPr>
          <w:rFonts w:eastAsia="Times New Roman"/>
          <w:b/>
          <w:bCs/>
          <w:szCs w:val="20"/>
          <w:u w:val="single"/>
        </w:rPr>
        <w:t xml:space="preserve"> – Retail price is the total selling price of a consumer commodity</w:t>
      </w:r>
      <w:r>
        <w:rPr>
          <w:rFonts w:eastAsia="Times New Roman"/>
          <w:szCs w:val="20"/>
        </w:rPr>
        <w:t>.</w:t>
      </w:r>
    </w:p>
    <w:p w14:paraId="7C58B163" w14:textId="77777777" w:rsidR="00E34C39" w:rsidRDefault="00E34C39" w:rsidP="00E34C39">
      <w:pPr>
        <w:widowControl w:val="0"/>
        <w:autoSpaceDE w:val="0"/>
        <w:autoSpaceDN w:val="0"/>
        <w:spacing w:before="120" w:after="0"/>
        <w:rPr>
          <w:rFonts w:eastAsia="Times New Roman"/>
          <w:b/>
          <w:i/>
          <w:iCs/>
          <w:szCs w:val="20"/>
          <w:u w:val="single"/>
        </w:rPr>
      </w:pPr>
      <w:r>
        <w:rPr>
          <w:rFonts w:eastAsia="Times New Roman"/>
          <w:b/>
          <w:i/>
          <w:iCs/>
          <w:szCs w:val="20"/>
          <w:u w:val="single"/>
        </w:rPr>
        <w:t xml:space="preserve">2.3 Electronic Shelf Label (ESL)- </w:t>
      </w:r>
      <w:r>
        <w:rPr>
          <w:rFonts w:eastAsia="Times New Roman"/>
          <w:b/>
          <w:szCs w:val="20"/>
          <w:u w:val="single"/>
        </w:rPr>
        <w:t xml:space="preserve">An ESL is an electronic display that retailers can use to present a product's name, price, unit price, and other information on a small wired or wireless panel, usually on the edge of a store shelf. </w:t>
      </w:r>
    </w:p>
    <w:p w14:paraId="719A2EEE" w14:textId="77777777" w:rsidR="00E34C39" w:rsidRDefault="00E34C39" w:rsidP="00E34C39">
      <w:pPr>
        <w:widowControl w:val="0"/>
        <w:autoSpaceDE w:val="0"/>
        <w:autoSpaceDN w:val="0"/>
        <w:spacing w:before="120" w:after="0"/>
        <w:rPr>
          <w:rFonts w:eastAsia="Times New Roman"/>
          <w:b/>
          <w:szCs w:val="20"/>
          <w:u w:val="single"/>
        </w:rPr>
      </w:pPr>
      <w:r>
        <w:rPr>
          <w:rFonts w:eastAsia="Times New Roman"/>
          <w:b/>
          <w:i/>
          <w:iCs/>
          <w:szCs w:val="20"/>
          <w:u w:val="single"/>
        </w:rPr>
        <w:t xml:space="preserve">2.4 E-Commerce - </w:t>
      </w:r>
      <w:r>
        <w:rPr>
          <w:rFonts w:eastAsia="Times New Roman"/>
          <w:b/>
          <w:szCs w:val="20"/>
          <w:u w:val="single"/>
        </w:rPr>
        <w:t xml:space="preserve">E-commerce is the process of using digital platforms to </w:t>
      </w:r>
      <w:proofErr w:type="gramStart"/>
      <w:r>
        <w:rPr>
          <w:rFonts w:eastAsia="Times New Roman"/>
          <w:b/>
          <w:szCs w:val="20"/>
          <w:u w:val="single"/>
        </w:rPr>
        <w:t>offer</w:t>
      </w:r>
      <w:proofErr w:type="gramEnd"/>
      <w:r>
        <w:rPr>
          <w:rFonts w:eastAsia="Times New Roman"/>
          <w:b/>
          <w:szCs w:val="20"/>
          <w:u w:val="single"/>
        </w:rPr>
        <w:t xml:space="preserve"> for sale, transact sales, and deliver consumer product(s) or non-consumer product(s) when the purchaser is not physically present at the point of purchase.</w:t>
      </w:r>
    </w:p>
    <w:p w14:paraId="430745FD" w14:textId="77777777" w:rsidR="00E34C39" w:rsidRDefault="00E34C39" w:rsidP="00E34C39">
      <w:pPr>
        <w:tabs>
          <w:tab w:val="left" w:pos="360"/>
        </w:tabs>
        <w:jc w:val="left"/>
        <w:rPr>
          <w:b/>
          <w:bCs/>
          <w:iCs/>
          <w:color w:val="000000"/>
          <w:szCs w:val="24"/>
          <w:u w:val="single"/>
        </w:rPr>
      </w:pPr>
    </w:p>
    <w:p w14:paraId="0914D98C" w14:textId="77777777" w:rsidR="00E34C39" w:rsidRDefault="00E34C39" w:rsidP="00E34C39">
      <w:pPr>
        <w:tabs>
          <w:tab w:val="left" w:pos="360"/>
        </w:tabs>
        <w:jc w:val="left"/>
        <w:rPr>
          <w:b/>
          <w:bCs/>
          <w:iCs/>
          <w:color w:val="000000"/>
          <w:szCs w:val="24"/>
          <w:u w:val="single"/>
        </w:rPr>
      </w:pPr>
      <w:r>
        <w:rPr>
          <w:b/>
          <w:bCs/>
          <w:iCs/>
          <w:color w:val="000000"/>
          <w:szCs w:val="24"/>
          <w:u w:val="single"/>
        </w:rPr>
        <w:t xml:space="preserve">(Amended 202X) </w:t>
      </w:r>
    </w:p>
    <w:p w14:paraId="7FEA9324" w14:textId="77777777" w:rsidR="00E34C39" w:rsidRDefault="00E34C39" w:rsidP="00E34C39">
      <w:pPr>
        <w:keepNext/>
        <w:tabs>
          <w:tab w:val="left" w:pos="360"/>
        </w:tabs>
        <w:spacing w:before="400" w:after="180"/>
        <w:jc w:val="left"/>
        <w:outlineLvl w:val="5"/>
        <w:rPr>
          <w:b/>
          <w:bCs/>
          <w:szCs w:val="20"/>
        </w:rPr>
      </w:pPr>
      <w:bookmarkStart w:id="95" w:name="_Toc173470313"/>
      <w:bookmarkStart w:id="96" w:name="_Toc173471547"/>
      <w:bookmarkStart w:id="97" w:name="_Toc173474195"/>
      <w:bookmarkStart w:id="98" w:name="_Toc173771791"/>
      <w:bookmarkStart w:id="99" w:name="_Toc205539074"/>
      <w:bookmarkStart w:id="100" w:name="_Toc157693412"/>
      <w:r>
        <w:rPr>
          <w:b/>
          <w:bCs/>
          <w:szCs w:val="20"/>
        </w:rPr>
        <w:t xml:space="preserve">Section </w:t>
      </w:r>
      <w:r>
        <w:rPr>
          <w:b/>
          <w:bCs/>
          <w:strike/>
          <w:szCs w:val="20"/>
        </w:rPr>
        <w:t>2</w:t>
      </w:r>
      <w:r>
        <w:rPr>
          <w:b/>
          <w:bCs/>
          <w:szCs w:val="20"/>
          <w:u w:val="single"/>
        </w:rPr>
        <w:t>3</w:t>
      </w:r>
      <w:r>
        <w:rPr>
          <w:b/>
          <w:bCs/>
          <w:szCs w:val="20"/>
        </w:rPr>
        <w:t>.  Terms for Unit Pricing</w:t>
      </w:r>
      <w:bookmarkEnd w:id="95"/>
      <w:bookmarkEnd w:id="96"/>
      <w:bookmarkEnd w:id="97"/>
      <w:bookmarkEnd w:id="98"/>
      <w:bookmarkEnd w:id="99"/>
      <w:bookmarkEnd w:id="100"/>
      <w:r>
        <w:fldChar w:fldCharType="begin"/>
      </w:r>
      <w:r>
        <w:rPr>
          <w:b/>
          <w:bCs/>
          <w:szCs w:val="20"/>
        </w:rPr>
        <w:instrText>xe "Unit pricing"</w:instrText>
      </w:r>
      <w:r>
        <w:fldChar w:fldCharType="end"/>
      </w:r>
    </w:p>
    <w:p w14:paraId="651BD0A0" w14:textId="77777777" w:rsidR="00E34C39" w:rsidRDefault="00E34C39" w:rsidP="00E34C39">
      <w:pPr>
        <w:tabs>
          <w:tab w:val="left" w:pos="360"/>
        </w:tabs>
        <w:jc w:val="left"/>
        <w:rPr>
          <w:iCs/>
          <w:strike/>
          <w:color w:val="000000"/>
          <w:szCs w:val="24"/>
        </w:rPr>
      </w:pPr>
      <w:r>
        <w:rPr>
          <w:iCs/>
          <w:strike/>
          <w:color w:val="000000"/>
          <w:szCs w:val="24"/>
        </w:rPr>
        <w:t>The declaration of the unit price of a particular commodity in all package sizes offered for sale in a retail establishment shall be uniformly and consistently expressed in terms of:</w:t>
      </w:r>
    </w:p>
    <w:p w14:paraId="771F7066" w14:textId="77777777" w:rsidR="00E34C39" w:rsidRDefault="00E34C39" w:rsidP="00E34C39">
      <w:pPr>
        <w:tabs>
          <w:tab w:val="left" w:pos="360"/>
        </w:tabs>
        <w:jc w:val="left"/>
        <w:rPr>
          <w:b/>
          <w:bCs/>
          <w:iCs/>
          <w:color w:val="000000"/>
          <w:szCs w:val="24"/>
          <w:u w:val="single"/>
        </w:rPr>
      </w:pPr>
      <w:r>
        <w:rPr>
          <w:rFonts w:eastAsia="Times New Roman"/>
          <w:b/>
          <w:bCs/>
          <w:iCs/>
          <w:color w:val="000000"/>
          <w:szCs w:val="20"/>
          <w:u w:val="single"/>
        </w:rPr>
        <w:t>The declaration of the unit price of a particular product category in all package sizes offered for sale in a retail establishment or e-commerce site shall be uniformly and consistently expressed in the terms below. The same unit of measure should be used whether sold in a standard pre-pack, random weight pre-pack, loose from bulk, and regardless of multiple locations within the store or e-commerce sites</w:t>
      </w:r>
    </w:p>
    <w:p w14:paraId="0C27F6F0" w14:textId="77777777" w:rsidR="00E34C39" w:rsidRDefault="00E34C39" w:rsidP="00E34C39">
      <w:pPr>
        <w:tabs>
          <w:tab w:val="left" w:pos="360"/>
        </w:tabs>
        <w:ind w:left="720" w:hanging="360"/>
        <w:jc w:val="left"/>
        <w:rPr>
          <w:iCs/>
          <w:color w:val="000000"/>
          <w:szCs w:val="24"/>
        </w:rPr>
      </w:pPr>
      <w:r>
        <w:rPr>
          <w:iCs/>
          <w:color w:val="000000"/>
          <w:szCs w:val="24"/>
        </w:rPr>
        <w:t>(a)</w:t>
      </w:r>
      <w:r>
        <w:rPr>
          <w:iCs/>
          <w:color w:val="000000"/>
          <w:szCs w:val="24"/>
        </w:rPr>
        <w:tab/>
        <w:t>Price per kilogram or 100 g, or price per pound or ounce, if the net quantity of contents of the commodity is in terms of weight.</w:t>
      </w:r>
    </w:p>
    <w:p w14:paraId="74390EA8" w14:textId="77777777" w:rsidR="00E34C39" w:rsidRDefault="00E34C39" w:rsidP="00E34C39">
      <w:pPr>
        <w:tabs>
          <w:tab w:val="left" w:pos="360"/>
        </w:tabs>
        <w:ind w:left="720" w:hanging="360"/>
        <w:jc w:val="left"/>
        <w:rPr>
          <w:iCs/>
          <w:color w:val="000000"/>
          <w:szCs w:val="24"/>
        </w:rPr>
      </w:pPr>
      <w:r>
        <w:rPr>
          <w:iCs/>
          <w:color w:val="000000"/>
          <w:szCs w:val="24"/>
        </w:rPr>
        <w:t>(b)</w:t>
      </w:r>
      <w:r>
        <w:rPr>
          <w:iCs/>
          <w:color w:val="000000"/>
          <w:szCs w:val="24"/>
        </w:rPr>
        <w:tab/>
        <w:t>Price per liter</w:t>
      </w:r>
      <w:r>
        <w:rPr>
          <w:b/>
          <w:bCs/>
          <w:iCs/>
          <w:color w:val="000000"/>
          <w:szCs w:val="24"/>
          <w:u w:val="single"/>
        </w:rPr>
        <w:t>,</w:t>
      </w:r>
      <w:r>
        <w:rPr>
          <w:iCs/>
          <w:color w:val="000000"/>
          <w:szCs w:val="24"/>
        </w:rPr>
        <w:t xml:space="preserve"> </w:t>
      </w:r>
      <w:r>
        <w:rPr>
          <w:iCs/>
          <w:strike/>
          <w:color w:val="000000"/>
          <w:szCs w:val="24"/>
        </w:rPr>
        <w:t>or</w:t>
      </w:r>
      <w:r>
        <w:rPr>
          <w:iCs/>
          <w:color w:val="000000"/>
          <w:szCs w:val="24"/>
        </w:rPr>
        <w:t xml:space="preserve"> 100 mL, </w:t>
      </w:r>
      <w:r>
        <w:rPr>
          <w:b/>
          <w:bCs/>
          <w:iCs/>
          <w:color w:val="000000"/>
          <w:szCs w:val="24"/>
          <w:u w:val="single"/>
        </w:rPr>
        <w:t>cubic meter, cubic decimeter, or cubic centimeter,</w:t>
      </w:r>
      <w:r>
        <w:rPr>
          <w:iCs/>
          <w:color w:val="000000"/>
          <w:szCs w:val="24"/>
        </w:rPr>
        <w:t xml:space="preserve"> or price per dry quart</w:t>
      </w:r>
      <w:r>
        <w:rPr>
          <w:b/>
          <w:bCs/>
          <w:iCs/>
          <w:color w:val="000000"/>
          <w:szCs w:val="24"/>
          <w:u w:val="single"/>
        </w:rPr>
        <w:t>,</w:t>
      </w:r>
      <w:r>
        <w:rPr>
          <w:iCs/>
          <w:color w:val="000000"/>
          <w:szCs w:val="24"/>
        </w:rPr>
        <w:t xml:space="preserve"> </w:t>
      </w:r>
      <w:r>
        <w:rPr>
          <w:iCs/>
          <w:strike/>
          <w:color w:val="000000"/>
          <w:szCs w:val="24"/>
        </w:rPr>
        <w:t>or</w:t>
      </w:r>
      <w:r>
        <w:rPr>
          <w:iCs/>
          <w:color w:val="000000"/>
          <w:szCs w:val="24"/>
        </w:rPr>
        <w:t xml:space="preserve"> dry pint</w:t>
      </w:r>
      <w:r>
        <w:rPr>
          <w:b/>
          <w:bCs/>
          <w:iCs/>
          <w:color w:val="000000"/>
          <w:szCs w:val="24"/>
          <w:u w:val="single"/>
        </w:rPr>
        <w:t>, cubic yard, cubic foot, or cubic inch</w:t>
      </w:r>
      <w:r>
        <w:rPr>
          <w:iCs/>
          <w:color w:val="000000"/>
          <w:szCs w:val="24"/>
        </w:rPr>
        <w:t xml:space="preserve"> if the net quantity of contents of the commodity is in terms of dry measure or volume.</w:t>
      </w:r>
    </w:p>
    <w:p w14:paraId="4BF42915" w14:textId="77777777" w:rsidR="00E34C39" w:rsidRDefault="00E34C39" w:rsidP="00E34C39">
      <w:pPr>
        <w:tabs>
          <w:tab w:val="left" w:pos="360"/>
        </w:tabs>
        <w:ind w:left="720" w:hanging="360"/>
        <w:jc w:val="left"/>
        <w:rPr>
          <w:iCs/>
          <w:color w:val="000000"/>
          <w:szCs w:val="24"/>
        </w:rPr>
      </w:pPr>
      <w:r>
        <w:rPr>
          <w:iCs/>
          <w:color w:val="000000"/>
          <w:szCs w:val="24"/>
        </w:rPr>
        <w:t>(c)</w:t>
      </w:r>
      <w:r>
        <w:rPr>
          <w:iCs/>
          <w:color w:val="000000"/>
          <w:szCs w:val="24"/>
        </w:rPr>
        <w:tab/>
        <w:t>Price per liter or 100 mL, or price per gallon, quart, pint, or fluid ounce, if the net quantity of contents of the commodity is in terms of liquid volume.</w:t>
      </w:r>
    </w:p>
    <w:p w14:paraId="70D8F3C0" w14:textId="77777777" w:rsidR="00E34C39" w:rsidRDefault="00E34C39" w:rsidP="00E34C39">
      <w:pPr>
        <w:tabs>
          <w:tab w:val="left" w:pos="360"/>
        </w:tabs>
        <w:ind w:left="720" w:hanging="360"/>
        <w:jc w:val="left"/>
        <w:rPr>
          <w:iCs/>
          <w:color w:val="000000"/>
          <w:szCs w:val="24"/>
        </w:rPr>
      </w:pPr>
      <w:r>
        <w:rPr>
          <w:iCs/>
          <w:color w:val="000000"/>
          <w:szCs w:val="24"/>
        </w:rPr>
        <w:t>(d)</w:t>
      </w:r>
      <w:r>
        <w:rPr>
          <w:iCs/>
          <w:color w:val="000000"/>
          <w:szCs w:val="24"/>
        </w:rPr>
        <w:tab/>
        <w:t>Price per individual unit or multiple units if the net quantity of contents of the commodity is in terms of count.</w:t>
      </w:r>
    </w:p>
    <w:p w14:paraId="4E0C06E2" w14:textId="77777777" w:rsidR="00E34C39" w:rsidRDefault="00E34C39" w:rsidP="00E34C39">
      <w:pPr>
        <w:tabs>
          <w:tab w:val="left" w:pos="360"/>
        </w:tabs>
        <w:ind w:left="720" w:hanging="360"/>
        <w:jc w:val="left"/>
        <w:rPr>
          <w:iCs/>
          <w:color w:val="000000"/>
          <w:szCs w:val="24"/>
        </w:rPr>
      </w:pPr>
      <w:r>
        <w:rPr>
          <w:iCs/>
          <w:color w:val="000000"/>
          <w:szCs w:val="24"/>
        </w:rPr>
        <w:t>(e)</w:t>
      </w:r>
      <w:r>
        <w:rPr>
          <w:iCs/>
          <w:color w:val="000000"/>
          <w:szCs w:val="24"/>
        </w:rPr>
        <w:tab/>
        <w:t xml:space="preserve">Price per square meter, square decimeter, or square centimeter, or price per </w:t>
      </w:r>
      <w:r>
        <w:rPr>
          <w:b/>
          <w:bCs/>
          <w:iCs/>
          <w:color w:val="000000"/>
          <w:szCs w:val="24"/>
          <w:u w:val="single"/>
        </w:rPr>
        <w:t xml:space="preserve">100 square feet, </w:t>
      </w:r>
      <w:r>
        <w:rPr>
          <w:iCs/>
          <w:color w:val="000000"/>
          <w:szCs w:val="24"/>
        </w:rPr>
        <w:t>square yard, square foot, or square inch, if the net quantity of contents of the commodity is in terms of area.</w:t>
      </w:r>
    </w:p>
    <w:p w14:paraId="3E70E8F0" w14:textId="77777777" w:rsidR="00E34C39" w:rsidRDefault="00E34C39" w:rsidP="00E34C39">
      <w:pPr>
        <w:tabs>
          <w:tab w:val="left" w:pos="360"/>
        </w:tabs>
        <w:spacing w:after="60"/>
        <w:ind w:left="720" w:hanging="360"/>
        <w:jc w:val="left"/>
        <w:rPr>
          <w:iCs/>
          <w:color w:val="000000"/>
          <w:szCs w:val="20"/>
        </w:rPr>
      </w:pPr>
      <w:r>
        <w:rPr>
          <w:iCs/>
          <w:color w:val="000000"/>
          <w:szCs w:val="24"/>
        </w:rPr>
        <w:lastRenderedPageBreak/>
        <w:t>(f)</w:t>
      </w:r>
      <w:r>
        <w:rPr>
          <w:iCs/>
          <w:color w:val="000000"/>
          <w:szCs w:val="24"/>
        </w:rPr>
        <w:tab/>
      </w:r>
      <w:r>
        <w:rPr>
          <w:iCs/>
          <w:color w:val="000000"/>
          <w:szCs w:val="20"/>
        </w:rPr>
        <w:t>Price per meter, decimeter, centimeter or price per yard, foot, or 100 feet, or inch, if net quantity of contents of the commodity is in terms of length.</w:t>
      </w:r>
    </w:p>
    <w:p w14:paraId="0CA51B0E" w14:textId="77777777" w:rsidR="00E34C39" w:rsidRDefault="00E34C39" w:rsidP="00E34C39">
      <w:pPr>
        <w:tabs>
          <w:tab w:val="left" w:pos="360"/>
        </w:tabs>
        <w:spacing w:after="60"/>
        <w:ind w:left="720" w:hanging="360"/>
        <w:jc w:val="left"/>
        <w:rPr>
          <w:b/>
          <w:bCs/>
          <w:iCs/>
          <w:color w:val="000000"/>
          <w:szCs w:val="24"/>
          <w:u w:val="single"/>
        </w:rPr>
      </w:pPr>
      <w:r>
        <w:rPr>
          <w:b/>
          <w:bCs/>
          <w:iCs/>
          <w:color w:val="000000"/>
          <w:szCs w:val="24"/>
          <w:u w:val="single"/>
        </w:rPr>
        <w:t>(g)</w:t>
      </w:r>
      <w:r>
        <w:rPr>
          <w:b/>
          <w:bCs/>
          <w:iCs/>
          <w:color w:val="000000"/>
          <w:szCs w:val="24"/>
          <w:u w:val="single"/>
        </w:rPr>
        <w:tab/>
        <w:t>Products such as wine and spirits must be unit priced in metric only in accordance with federal law.</w:t>
      </w:r>
    </w:p>
    <w:p w14:paraId="350B8FB9" w14:textId="77777777" w:rsidR="00E34C39" w:rsidRDefault="00E34C39" w:rsidP="00E34C39">
      <w:pPr>
        <w:tabs>
          <w:tab w:val="left" w:pos="360"/>
        </w:tabs>
        <w:spacing w:after="0"/>
        <w:ind w:left="720" w:hanging="360"/>
        <w:jc w:val="left"/>
        <w:rPr>
          <w:b/>
          <w:bCs/>
          <w:iCs/>
          <w:color w:val="000000"/>
          <w:szCs w:val="20"/>
          <w:u w:val="single"/>
        </w:rPr>
      </w:pPr>
    </w:p>
    <w:p w14:paraId="1795896C" w14:textId="77777777" w:rsidR="00E34C39" w:rsidRDefault="00E34C39" w:rsidP="00E34C39">
      <w:pPr>
        <w:tabs>
          <w:tab w:val="left" w:pos="360"/>
        </w:tabs>
        <w:spacing w:after="60"/>
        <w:ind w:left="720" w:hanging="360"/>
        <w:jc w:val="left"/>
        <w:rPr>
          <w:b/>
          <w:bCs/>
          <w:iCs/>
          <w:color w:val="000000"/>
          <w:szCs w:val="20"/>
          <w:u w:val="single"/>
        </w:rPr>
      </w:pPr>
      <w:r>
        <w:rPr>
          <w:b/>
          <w:bCs/>
          <w:iCs/>
          <w:color w:val="000000"/>
          <w:szCs w:val="20"/>
          <w:u w:val="single"/>
        </w:rPr>
        <w:t>(h) Unit pricing based on non-standard or ambiguous measures (e.g., “uses”, “servings”) is prohibited.</w:t>
      </w:r>
    </w:p>
    <w:p w14:paraId="5EC5A636" w14:textId="77777777" w:rsidR="00E34C39" w:rsidRDefault="00E34C39" w:rsidP="00E34C39">
      <w:pPr>
        <w:tabs>
          <w:tab w:val="left" w:pos="360"/>
        </w:tabs>
        <w:spacing w:after="60"/>
        <w:ind w:left="720" w:hanging="360"/>
        <w:jc w:val="left"/>
        <w:rPr>
          <w:iCs/>
          <w:color w:val="000000"/>
          <w:szCs w:val="20"/>
        </w:rPr>
      </w:pPr>
    </w:p>
    <w:p w14:paraId="5F864560" w14:textId="77777777" w:rsidR="00E34C39" w:rsidRDefault="00E34C39" w:rsidP="00E34C39">
      <w:pPr>
        <w:tabs>
          <w:tab w:val="left" w:pos="360"/>
        </w:tabs>
        <w:ind w:left="720"/>
        <w:jc w:val="left"/>
        <w:rPr>
          <w:iCs/>
          <w:szCs w:val="20"/>
        </w:rPr>
      </w:pPr>
      <w:r>
        <w:rPr>
          <w:iCs/>
          <w:szCs w:val="20"/>
        </w:rPr>
        <w:t xml:space="preserve">(Amended 2023 </w:t>
      </w:r>
      <w:r>
        <w:rPr>
          <w:b/>
          <w:bCs/>
          <w:iCs/>
          <w:szCs w:val="20"/>
          <w:u w:val="single"/>
        </w:rPr>
        <w:t>&amp; 202X</w:t>
      </w:r>
      <w:r>
        <w:rPr>
          <w:iCs/>
          <w:szCs w:val="20"/>
        </w:rPr>
        <w:t>)</w:t>
      </w:r>
    </w:p>
    <w:p w14:paraId="3D2052F6" w14:textId="77777777" w:rsidR="00E34C39" w:rsidRDefault="00E34C39" w:rsidP="00E34C39">
      <w:pPr>
        <w:keepNext/>
        <w:tabs>
          <w:tab w:val="left" w:pos="360"/>
        </w:tabs>
        <w:spacing w:before="400" w:after="180"/>
        <w:jc w:val="left"/>
        <w:outlineLvl w:val="5"/>
        <w:rPr>
          <w:b/>
          <w:bCs/>
          <w:szCs w:val="20"/>
        </w:rPr>
      </w:pPr>
      <w:bookmarkStart w:id="101" w:name="_Toc173470314"/>
      <w:bookmarkStart w:id="102" w:name="_Toc173471548"/>
      <w:bookmarkStart w:id="103" w:name="_Toc173474196"/>
      <w:bookmarkStart w:id="104" w:name="_Toc173771792"/>
      <w:bookmarkStart w:id="105" w:name="_Toc205539075"/>
      <w:bookmarkStart w:id="106" w:name="_Toc157693413"/>
      <w:r>
        <w:rPr>
          <w:b/>
          <w:bCs/>
          <w:szCs w:val="20"/>
        </w:rPr>
        <w:t xml:space="preserve">Section </w:t>
      </w:r>
      <w:r>
        <w:rPr>
          <w:b/>
          <w:bCs/>
          <w:strike/>
          <w:szCs w:val="20"/>
        </w:rPr>
        <w:t>3</w:t>
      </w:r>
      <w:r>
        <w:rPr>
          <w:b/>
          <w:bCs/>
          <w:szCs w:val="20"/>
          <w:u w:val="single"/>
        </w:rPr>
        <w:t>4</w:t>
      </w:r>
      <w:r>
        <w:rPr>
          <w:b/>
          <w:bCs/>
          <w:szCs w:val="20"/>
        </w:rPr>
        <w:t>.  Exemptions</w:t>
      </w:r>
      <w:bookmarkEnd w:id="101"/>
      <w:bookmarkEnd w:id="102"/>
      <w:bookmarkEnd w:id="103"/>
      <w:bookmarkEnd w:id="104"/>
      <w:bookmarkEnd w:id="105"/>
      <w:bookmarkEnd w:id="106"/>
    </w:p>
    <w:p w14:paraId="1C1B6E1A" w14:textId="77777777" w:rsidR="00E34C39" w:rsidRDefault="00E34C39" w:rsidP="00E34C39">
      <w:pPr>
        <w:tabs>
          <w:tab w:val="left" w:pos="360"/>
        </w:tabs>
        <w:ind w:left="720" w:hanging="360"/>
        <w:jc w:val="left"/>
        <w:rPr>
          <w:iCs/>
          <w:color w:val="000000"/>
          <w:szCs w:val="24"/>
        </w:rPr>
      </w:pPr>
      <w:r>
        <w:rPr>
          <w:iCs/>
          <w:color w:val="000000"/>
          <w:szCs w:val="24"/>
        </w:rPr>
        <w:t>(</w:t>
      </w:r>
      <w:r>
        <w:rPr>
          <w:iCs/>
          <w:strike/>
          <w:color w:val="000000"/>
          <w:szCs w:val="24"/>
        </w:rPr>
        <w:t>a</w:t>
      </w:r>
      <w:r>
        <w:rPr>
          <w:iCs/>
          <w:color w:val="000000"/>
          <w:szCs w:val="24"/>
        </w:rPr>
        <w:t>)</w:t>
      </w:r>
      <w:r>
        <w:rPr>
          <w:iCs/>
          <w:color w:val="000000"/>
          <w:szCs w:val="24"/>
        </w:rPr>
        <w:tab/>
      </w:r>
      <w:r>
        <w:rPr>
          <w:iCs/>
          <w:strike/>
          <w:color w:val="000000"/>
          <w:szCs w:val="24"/>
        </w:rPr>
        <w:t xml:space="preserve">Small Packages. – </w:t>
      </w:r>
      <w:r>
        <w:fldChar w:fldCharType="begin"/>
      </w:r>
      <w:r>
        <w:rPr>
          <w:iCs/>
          <w:strike/>
          <w:color w:val="000000"/>
          <w:szCs w:val="24"/>
        </w:rPr>
        <w:instrText xml:space="preserve"> XE "Package:Exemptions, small" </w:instrText>
      </w:r>
      <w:r>
        <w:fldChar w:fldCharType="end"/>
      </w:r>
      <w:r>
        <w:rPr>
          <w:iCs/>
          <w:strike/>
          <w:color w:val="000000"/>
          <w:szCs w:val="24"/>
        </w:rPr>
        <w:t>Commodities shall be exempt from these provisions when packaged in quantities of less than 28 g (1 oz) or 29 mL (1 </w:t>
      </w:r>
      <w:proofErr w:type="spellStart"/>
      <w:r>
        <w:rPr>
          <w:iCs/>
          <w:strike/>
          <w:color w:val="000000"/>
          <w:szCs w:val="24"/>
        </w:rPr>
        <w:t>fl</w:t>
      </w:r>
      <w:proofErr w:type="spellEnd"/>
      <w:r>
        <w:rPr>
          <w:iCs/>
          <w:strike/>
          <w:color w:val="000000"/>
          <w:szCs w:val="24"/>
        </w:rPr>
        <w:t> oz) or when the total retail price is 50 cents or less.</w:t>
      </w:r>
    </w:p>
    <w:p w14:paraId="635BA0E7" w14:textId="77777777" w:rsidR="00E34C39" w:rsidRDefault="00E34C39" w:rsidP="00E34C39">
      <w:pPr>
        <w:tabs>
          <w:tab w:val="left" w:pos="360"/>
        </w:tabs>
        <w:ind w:left="720" w:hanging="360"/>
        <w:jc w:val="left"/>
        <w:rPr>
          <w:iCs/>
          <w:color w:val="000000"/>
          <w:szCs w:val="24"/>
        </w:rPr>
      </w:pPr>
      <w:r>
        <w:rPr>
          <w:iCs/>
          <w:color w:val="000000"/>
          <w:szCs w:val="24"/>
        </w:rPr>
        <w:t>(</w:t>
      </w:r>
      <w:r>
        <w:rPr>
          <w:iCs/>
          <w:strike/>
          <w:color w:val="000000"/>
          <w:szCs w:val="24"/>
        </w:rPr>
        <w:t>b</w:t>
      </w:r>
      <w:r>
        <w:rPr>
          <w:iCs/>
          <w:color w:val="000000"/>
          <w:szCs w:val="24"/>
        </w:rPr>
        <w:t>)</w:t>
      </w:r>
      <w:r>
        <w:rPr>
          <w:iCs/>
          <w:color w:val="000000"/>
          <w:szCs w:val="24"/>
        </w:rPr>
        <w:tab/>
      </w:r>
      <w:r>
        <w:rPr>
          <w:iCs/>
          <w:strike/>
          <w:color w:val="000000"/>
          <w:szCs w:val="24"/>
        </w:rPr>
        <w:t xml:space="preserve">Single Items. – </w:t>
      </w:r>
      <w:r>
        <w:fldChar w:fldCharType="begin"/>
      </w:r>
      <w:r>
        <w:rPr>
          <w:iCs/>
          <w:strike/>
          <w:color w:val="000000"/>
          <w:szCs w:val="24"/>
        </w:rPr>
        <w:instrText xml:space="preserve"> XE "Pckage:Exemptions, single item" </w:instrText>
      </w:r>
      <w:r>
        <w:fldChar w:fldCharType="end"/>
      </w:r>
      <w:r>
        <w:rPr>
          <w:iCs/>
          <w:strike/>
          <w:color w:val="000000"/>
          <w:szCs w:val="24"/>
        </w:rPr>
        <w:t>Commodities shall be exempt from these provisions when only one brand in only one size is offered for sale in a particular retail establishment.</w:t>
      </w:r>
    </w:p>
    <w:p w14:paraId="4D38A65E" w14:textId="77777777" w:rsidR="00E34C39" w:rsidRDefault="00E34C39" w:rsidP="00E34C39">
      <w:pPr>
        <w:tabs>
          <w:tab w:val="left" w:pos="360"/>
        </w:tabs>
        <w:ind w:left="720" w:hanging="360"/>
        <w:jc w:val="left"/>
        <w:rPr>
          <w:iCs/>
          <w:color w:val="000000"/>
          <w:szCs w:val="24"/>
        </w:rPr>
      </w:pPr>
      <w:r>
        <w:rPr>
          <w:iCs/>
          <w:color w:val="000000"/>
          <w:szCs w:val="24"/>
        </w:rPr>
        <w:t>(a)</w:t>
      </w:r>
      <w:r>
        <w:rPr>
          <w:iCs/>
          <w:color w:val="000000"/>
          <w:szCs w:val="24"/>
        </w:rPr>
        <w:tab/>
        <w:t xml:space="preserve">Infant Formula. – </w:t>
      </w:r>
      <w:r>
        <w:fldChar w:fldCharType="begin"/>
      </w:r>
      <w:r>
        <w:rPr>
          <w:iCs/>
          <w:color w:val="000000"/>
          <w:szCs w:val="24"/>
        </w:rPr>
        <w:instrText xml:space="preserve"> XE "Pckage:Exemptions, infant formula" </w:instrText>
      </w:r>
      <w:r>
        <w:fldChar w:fldCharType="end"/>
      </w:r>
      <w:r>
        <w:rPr>
          <w:iCs/>
          <w:color w:val="000000"/>
          <w:szCs w:val="24"/>
        </w:rPr>
        <w:t xml:space="preserve">For “infant formula,” </w:t>
      </w:r>
      <w:r>
        <w:fldChar w:fldCharType="begin"/>
      </w:r>
      <w:r>
        <w:rPr>
          <w:iCs/>
          <w:color w:val="000000"/>
          <w:szCs w:val="24"/>
        </w:rPr>
        <w:instrText xml:space="preserve"> XE "Infant formula" </w:instrText>
      </w:r>
      <w:r>
        <w:fldChar w:fldCharType="end"/>
      </w:r>
      <w:r>
        <w:rPr>
          <w:iCs/>
          <w:color w:val="000000"/>
          <w:szCs w:val="24"/>
        </w:rPr>
        <w:t>unit price information may be based on the reconstituted volume.  “Infant formula” means a food that is represented for special dietary use solely as a food for infants by reason of its simulation of human milk or suitability as a complete or partial substitute for human milk.</w:t>
      </w:r>
    </w:p>
    <w:p w14:paraId="115345EF" w14:textId="77777777" w:rsidR="00E34C39" w:rsidRDefault="00E34C39" w:rsidP="00E34C39">
      <w:pPr>
        <w:tabs>
          <w:tab w:val="left" w:pos="360"/>
        </w:tabs>
        <w:ind w:left="720" w:hanging="360"/>
        <w:jc w:val="left"/>
        <w:rPr>
          <w:iCs/>
          <w:color w:val="000000"/>
          <w:szCs w:val="24"/>
        </w:rPr>
      </w:pPr>
      <w:r>
        <w:rPr>
          <w:iCs/>
          <w:color w:val="000000"/>
          <w:szCs w:val="24"/>
        </w:rPr>
        <w:t>(b)</w:t>
      </w:r>
      <w:r>
        <w:rPr>
          <w:iCs/>
          <w:color w:val="000000"/>
          <w:szCs w:val="24"/>
        </w:rPr>
        <w:tab/>
        <w:t>Variety and Combination Packages</w:t>
      </w:r>
      <w:r>
        <w:fldChar w:fldCharType="begin"/>
      </w:r>
      <w:r>
        <w:rPr>
          <w:iCs/>
          <w:color w:val="000000"/>
          <w:szCs w:val="24"/>
        </w:rPr>
        <w:instrText>xe "Combination package:Exemptions"</w:instrText>
      </w:r>
      <w:r>
        <w:fldChar w:fldCharType="end"/>
      </w:r>
      <w:r>
        <w:fldChar w:fldCharType="begin"/>
      </w:r>
      <w:r>
        <w:rPr>
          <w:iCs/>
          <w:color w:val="000000"/>
          <w:szCs w:val="24"/>
        </w:rPr>
        <w:instrText xml:space="preserve"> XE "Package”:Exemptions, combination package" </w:instrText>
      </w:r>
      <w:r>
        <w:fldChar w:fldCharType="end"/>
      </w:r>
      <w:r>
        <w:fldChar w:fldCharType="begin"/>
      </w:r>
      <w:r>
        <w:rPr>
          <w:iCs/>
          <w:color w:val="000000"/>
          <w:szCs w:val="24"/>
        </w:rPr>
        <w:instrText xml:space="preserve"> XE "Package:Exemptions, variety package" </w:instrText>
      </w:r>
      <w:r>
        <w:fldChar w:fldCharType="end"/>
      </w:r>
      <w:r>
        <w:rPr>
          <w:iCs/>
          <w:color w:val="000000"/>
          <w:szCs w:val="24"/>
        </w:rPr>
        <w:t xml:space="preserve">. – Variety and Combination Packages as defined in Section 2.9 and Section 2.10 in the Uniform Packaging and Labeling Regulation </w:t>
      </w:r>
      <w:r>
        <w:rPr>
          <w:iCs/>
          <w:color w:val="000000"/>
          <w:szCs w:val="20"/>
          <w:vertAlign w:val="superscript"/>
        </w:rPr>
        <w:t xml:space="preserve">[see </w:t>
      </w:r>
      <w:r>
        <w:rPr>
          <w:b/>
          <w:i/>
          <w:iCs/>
          <w:color w:val="000000"/>
          <w:szCs w:val="20"/>
          <w:vertAlign w:val="superscript"/>
        </w:rPr>
        <w:t xml:space="preserve">Section </w:t>
      </w:r>
      <w:r>
        <w:rPr>
          <w:b/>
          <w:i/>
          <w:iCs/>
          <w:strike/>
          <w:color w:val="000000"/>
          <w:szCs w:val="20"/>
          <w:vertAlign w:val="superscript"/>
        </w:rPr>
        <w:t>3</w:t>
      </w:r>
      <w:r>
        <w:rPr>
          <w:b/>
          <w:i/>
          <w:iCs/>
          <w:color w:val="000000"/>
          <w:szCs w:val="20"/>
          <w:u w:val="single"/>
          <w:vertAlign w:val="superscript"/>
        </w:rPr>
        <w:t>4</w:t>
      </w:r>
      <w:r>
        <w:rPr>
          <w:b/>
          <w:i/>
          <w:iCs/>
          <w:color w:val="000000"/>
          <w:szCs w:val="20"/>
          <w:vertAlign w:val="superscript"/>
        </w:rPr>
        <w:t>. NOTE</w:t>
      </w:r>
      <w:r>
        <w:rPr>
          <w:iCs/>
          <w:color w:val="000000"/>
          <w:szCs w:val="20"/>
          <w:vertAlign w:val="superscript"/>
        </w:rPr>
        <w:t>]</w:t>
      </w:r>
      <w:r>
        <w:rPr>
          <w:iCs/>
          <w:color w:val="000000"/>
          <w:szCs w:val="24"/>
        </w:rPr>
        <w:t xml:space="preserve"> shall be exempt from these provisions.</w:t>
      </w:r>
    </w:p>
    <w:p w14:paraId="42AE96E0" w14:textId="77777777" w:rsidR="00E34C39" w:rsidRDefault="00E34C39" w:rsidP="00E34C39">
      <w:pPr>
        <w:tabs>
          <w:tab w:val="left" w:pos="360"/>
        </w:tabs>
        <w:jc w:val="left"/>
        <w:rPr>
          <w:color w:val="000000"/>
          <w:szCs w:val="24"/>
        </w:rPr>
      </w:pPr>
      <w:r>
        <w:rPr>
          <w:iCs/>
          <w:color w:val="000000"/>
          <w:szCs w:val="24"/>
        </w:rPr>
        <w:t xml:space="preserve">   </w:t>
      </w:r>
      <w:r>
        <w:rPr>
          <w:b/>
          <w:bCs/>
          <w:iCs/>
          <w:color w:val="000000"/>
          <w:szCs w:val="24"/>
          <w:u w:val="single"/>
        </w:rPr>
        <w:t>S</w:t>
      </w:r>
      <w:r>
        <w:rPr>
          <w:b/>
          <w:i/>
          <w:iCs/>
          <w:color w:val="000000"/>
          <w:szCs w:val="24"/>
        </w:rPr>
        <w:t xml:space="preserve">ection </w:t>
      </w:r>
      <w:r>
        <w:rPr>
          <w:b/>
          <w:i/>
          <w:iCs/>
          <w:strike/>
          <w:color w:val="000000"/>
          <w:szCs w:val="24"/>
        </w:rPr>
        <w:t>3</w:t>
      </w:r>
      <w:r>
        <w:rPr>
          <w:b/>
          <w:i/>
          <w:iCs/>
          <w:color w:val="000000"/>
          <w:szCs w:val="24"/>
          <w:u w:val="single"/>
        </w:rPr>
        <w:t>4</w:t>
      </w:r>
      <w:r>
        <w:rPr>
          <w:b/>
          <w:i/>
          <w:iCs/>
          <w:color w:val="000000"/>
          <w:szCs w:val="24"/>
        </w:rPr>
        <w:t>. NOTE:</w:t>
      </w:r>
      <w:r>
        <w:rPr>
          <w:i/>
          <w:iCs/>
          <w:color w:val="000000"/>
          <w:szCs w:val="24"/>
        </w:rPr>
        <w:t xml:space="preserve">  </w:t>
      </w:r>
      <w:r>
        <w:rPr>
          <w:color w:val="000000"/>
          <w:szCs w:val="24"/>
        </w:rPr>
        <w:t>See “Uniform Packaging and Labeling Regulation.”</w:t>
      </w:r>
    </w:p>
    <w:p w14:paraId="3EDED9EE" w14:textId="77777777" w:rsidR="00E34C39" w:rsidRDefault="00E34C39" w:rsidP="00E34C39">
      <w:pPr>
        <w:tabs>
          <w:tab w:val="left" w:pos="360"/>
        </w:tabs>
        <w:ind w:left="810"/>
        <w:jc w:val="left"/>
        <w:rPr>
          <w:b/>
          <w:bCs/>
          <w:iCs/>
          <w:color w:val="000000"/>
          <w:szCs w:val="24"/>
          <w:u w:val="single"/>
        </w:rPr>
      </w:pPr>
      <w:r>
        <w:rPr>
          <w:b/>
          <w:bCs/>
          <w:iCs/>
          <w:color w:val="000000"/>
          <w:szCs w:val="24"/>
          <w:u w:val="single"/>
        </w:rPr>
        <w:t xml:space="preserve">(Amended 202X) </w:t>
      </w:r>
    </w:p>
    <w:p w14:paraId="065B4F0A" w14:textId="77777777" w:rsidR="00E34C39" w:rsidRDefault="00E34C39" w:rsidP="00E34C39">
      <w:pPr>
        <w:keepNext/>
        <w:tabs>
          <w:tab w:val="left" w:pos="360"/>
        </w:tabs>
        <w:spacing w:before="400" w:after="180"/>
        <w:jc w:val="left"/>
        <w:outlineLvl w:val="5"/>
        <w:rPr>
          <w:b/>
          <w:bCs/>
          <w:szCs w:val="20"/>
        </w:rPr>
      </w:pPr>
      <w:bookmarkStart w:id="107" w:name="_Toc173470315"/>
      <w:bookmarkStart w:id="108" w:name="_Toc173471549"/>
      <w:bookmarkStart w:id="109" w:name="_Toc173474197"/>
      <w:bookmarkStart w:id="110" w:name="_Toc173771793"/>
      <w:bookmarkStart w:id="111" w:name="_Toc205539076"/>
      <w:bookmarkStart w:id="112" w:name="_Toc157693414"/>
      <w:r>
        <w:rPr>
          <w:b/>
          <w:bCs/>
          <w:szCs w:val="20"/>
        </w:rPr>
        <w:t xml:space="preserve">Section </w:t>
      </w:r>
      <w:r>
        <w:rPr>
          <w:b/>
          <w:bCs/>
          <w:strike/>
          <w:szCs w:val="20"/>
        </w:rPr>
        <w:t>4</w:t>
      </w:r>
      <w:r>
        <w:rPr>
          <w:b/>
          <w:bCs/>
          <w:szCs w:val="20"/>
          <w:u w:val="single"/>
        </w:rPr>
        <w:t>5</w:t>
      </w:r>
      <w:r>
        <w:rPr>
          <w:b/>
          <w:bCs/>
          <w:szCs w:val="20"/>
        </w:rPr>
        <w:t>.  Pricing</w:t>
      </w:r>
      <w:bookmarkEnd w:id="107"/>
      <w:bookmarkEnd w:id="108"/>
      <w:bookmarkEnd w:id="109"/>
      <w:bookmarkEnd w:id="110"/>
      <w:bookmarkEnd w:id="111"/>
      <w:bookmarkEnd w:id="112"/>
    </w:p>
    <w:p w14:paraId="77F3E25C" w14:textId="77777777" w:rsidR="00E34C39" w:rsidRDefault="00E34C39" w:rsidP="007169B6">
      <w:pPr>
        <w:numPr>
          <w:ilvl w:val="0"/>
          <w:numId w:val="57"/>
        </w:numPr>
        <w:tabs>
          <w:tab w:val="left" w:pos="360"/>
        </w:tabs>
        <w:jc w:val="left"/>
        <w:rPr>
          <w:iCs/>
          <w:color w:val="000000"/>
          <w:szCs w:val="24"/>
        </w:rPr>
      </w:pPr>
      <w:r>
        <w:rPr>
          <w:iCs/>
          <w:color w:val="000000"/>
          <w:szCs w:val="24"/>
        </w:rPr>
        <w:t>The unit price shall be to the nearest cent when a dollar or more.</w:t>
      </w:r>
    </w:p>
    <w:p w14:paraId="623FD84F" w14:textId="77777777" w:rsidR="00E34C39" w:rsidRDefault="00E34C39" w:rsidP="007169B6">
      <w:pPr>
        <w:numPr>
          <w:ilvl w:val="0"/>
          <w:numId w:val="57"/>
        </w:numPr>
        <w:tabs>
          <w:tab w:val="left" w:pos="360"/>
        </w:tabs>
        <w:jc w:val="left"/>
        <w:rPr>
          <w:iCs/>
          <w:color w:val="000000"/>
          <w:szCs w:val="24"/>
        </w:rPr>
      </w:pPr>
      <w:r>
        <w:rPr>
          <w:iCs/>
          <w:color w:val="000000"/>
          <w:szCs w:val="24"/>
        </w:rPr>
        <w:t>If the unit price is under a dollar, it shall be listed:</w:t>
      </w:r>
    </w:p>
    <w:p w14:paraId="465A3653" w14:textId="77777777" w:rsidR="00E34C39" w:rsidRDefault="00E34C39" w:rsidP="007169B6">
      <w:pPr>
        <w:numPr>
          <w:ilvl w:val="0"/>
          <w:numId w:val="58"/>
        </w:numPr>
        <w:tabs>
          <w:tab w:val="left" w:pos="360"/>
        </w:tabs>
        <w:ind w:left="1080"/>
        <w:jc w:val="left"/>
        <w:rPr>
          <w:iCs/>
          <w:color w:val="000000"/>
          <w:szCs w:val="24"/>
        </w:rPr>
      </w:pPr>
      <w:r>
        <w:rPr>
          <w:iCs/>
          <w:color w:val="000000"/>
          <w:szCs w:val="24"/>
        </w:rPr>
        <w:t>to the tenth of a cent; or</w:t>
      </w:r>
    </w:p>
    <w:p w14:paraId="0DE2F003" w14:textId="77777777" w:rsidR="00E34C39" w:rsidRDefault="00E34C39" w:rsidP="007169B6">
      <w:pPr>
        <w:numPr>
          <w:ilvl w:val="0"/>
          <w:numId w:val="58"/>
        </w:numPr>
        <w:tabs>
          <w:tab w:val="left" w:pos="360"/>
        </w:tabs>
        <w:ind w:left="1080"/>
        <w:jc w:val="left"/>
        <w:rPr>
          <w:iCs/>
          <w:color w:val="000000"/>
          <w:szCs w:val="24"/>
        </w:rPr>
      </w:pPr>
      <w:r>
        <w:rPr>
          <w:iCs/>
          <w:color w:val="000000"/>
          <w:szCs w:val="24"/>
        </w:rPr>
        <w:t>to the whole cent.</w:t>
      </w:r>
    </w:p>
    <w:p w14:paraId="561E5F1B" w14:textId="77777777" w:rsidR="00E34C39" w:rsidRDefault="00E34C39" w:rsidP="00E34C39">
      <w:pPr>
        <w:tabs>
          <w:tab w:val="left" w:pos="360"/>
        </w:tabs>
        <w:ind w:left="720"/>
        <w:jc w:val="left"/>
        <w:rPr>
          <w:iCs/>
          <w:color w:val="000000"/>
          <w:szCs w:val="24"/>
        </w:rPr>
      </w:pPr>
      <w:r>
        <w:rPr>
          <w:iCs/>
          <w:color w:val="000000"/>
          <w:szCs w:val="24"/>
        </w:rPr>
        <w:t>The retail establishment shall have the option of using (b)(1) or (b)(2</w:t>
      </w:r>
      <w:proofErr w:type="gramStart"/>
      <w:r>
        <w:rPr>
          <w:iCs/>
          <w:color w:val="000000"/>
          <w:szCs w:val="24"/>
        </w:rPr>
        <w:t>), but</w:t>
      </w:r>
      <w:proofErr w:type="gramEnd"/>
      <w:r>
        <w:rPr>
          <w:iCs/>
          <w:color w:val="000000"/>
          <w:szCs w:val="24"/>
        </w:rPr>
        <w:t xml:space="preserve"> shall not implement both methods.</w:t>
      </w:r>
    </w:p>
    <w:p w14:paraId="66337B9A" w14:textId="77777777" w:rsidR="00E34C39" w:rsidRDefault="00E34C39" w:rsidP="00E34C39">
      <w:pPr>
        <w:tabs>
          <w:tab w:val="left" w:pos="360"/>
        </w:tabs>
        <w:jc w:val="left"/>
        <w:rPr>
          <w:iCs/>
          <w:color w:val="000000"/>
          <w:szCs w:val="24"/>
        </w:rPr>
      </w:pPr>
      <w:r>
        <w:rPr>
          <w:iCs/>
          <w:color w:val="000000"/>
          <w:szCs w:val="24"/>
        </w:rPr>
        <w:t>The retail establishment shall accurately and consistently use the same method of rounding up or down to compute the price to the whole cent.</w:t>
      </w:r>
    </w:p>
    <w:p w14:paraId="0288A2D7" w14:textId="77777777" w:rsidR="00BA7868" w:rsidRDefault="00BA7868" w:rsidP="00BA7868">
      <w:pPr>
        <w:keepNext/>
        <w:spacing w:before="400" w:after="180"/>
        <w:rPr>
          <w:rFonts w:ascii="Arial" w:hAnsi="Arial" w:cs="Arial"/>
          <w:b/>
          <w:bCs/>
          <w:sz w:val="22"/>
        </w:rPr>
      </w:pPr>
      <w:r>
        <w:rPr>
          <w:rFonts w:ascii="Arial" w:hAnsi="Arial" w:cs="Arial"/>
          <w:b/>
          <w:bCs/>
          <w:sz w:val="22"/>
        </w:rPr>
        <w:t xml:space="preserve">Section </w:t>
      </w:r>
      <w:r>
        <w:rPr>
          <w:rFonts w:ascii="Arial" w:hAnsi="Arial" w:cs="Arial"/>
          <w:b/>
          <w:bCs/>
          <w:strike/>
          <w:sz w:val="22"/>
        </w:rPr>
        <w:t>5</w:t>
      </w:r>
      <w:r>
        <w:rPr>
          <w:rFonts w:ascii="Arial" w:hAnsi="Arial" w:cs="Arial"/>
          <w:b/>
          <w:bCs/>
          <w:sz w:val="22"/>
          <w:u w:val="single"/>
        </w:rPr>
        <w:t>6</w:t>
      </w:r>
      <w:r>
        <w:rPr>
          <w:rFonts w:ascii="Arial" w:hAnsi="Arial" w:cs="Arial"/>
          <w:b/>
          <w:bCs/>
          <w:sz w:val="22"/>
        </w:rPr>
        <w:t>.  Presentation of Price</w:t>
      </w:r>
    </w:p>
    <w:p w14:paraId="4EDBB505" w14:textId="77777777" w:rsidR="00BA7868" w:rsidRDefault="00BA7868" w:rsidP="007169B6">
      <w:pPr>
        <w:numPr>
          <w:ilvl w:val="0"/>
          <w:numId w:val="70"/>
        </w:numPr>
        <w:spacing w:line="276" w:lineRule="auto"/>
        <w:rPr>
          <w:rFonts w:eastAsia="Times New Roman"/>
          <w:color w:val="000000"/>
          <w:szCs w:val="20"/>
        </w:rPr>
      </w:pPr>
      <w:r>
        <w:rPr>
          <w:rFonts w:eastAsia="Times New Roman"/>
          <w:color w:val="000000"/>
          <w:szCs w:val="20"/>
        </w:rPr>
        <w:t xml:space="preserve">In any retail </w:t>
      </w:r>
      <w:r>
        <w:rPr>
          <w:rFonts w:eastAsia="Times New Roman"/>
          <w:b/>
          <w:bCs/>
          <w:color w:val="000000"/>
          <w:szCs w:val="20"/>
          <w:u w:val="single"/>
        </w:rPr>
        <w:t>or e-commerce</w:t>
      </w:r>
      <w:r>
        <w:rPr>
          <w:rFonts w:eastAsia="Times New Roman"/>
          <w:color w:val="000000"/>
          <w:szCs w:val="20"/>
        </w:rPr>
        <w:t xml:space="preserve"> establishment </w:t>
      </w:r>
      <w:r>
        <w:rPr>
          <w:rFonts w:eastAsia="Times New Roman"/>
          <w:strike/>
          <w:color w:val="000000"/>
          <w:szCs w:val="20"/>
        </w:rPr>
        <w:t>in which</w:t>
      </w:r>
      <w:r>
        <w:rPr>
          <w:rFonts w:eastAsia="Times New Roman"/>
          <w:color w:val="000000"/>
          <w:szCs w:val="20"/>
        </w:rPr>
        <w:t xml:space="preserve"> the unit price </w:t>
      </w:r>
      <w:r>
        <w:rPr>
          <w:rFonts w:eastAsia="Times New Roman"/>
          <w:strike/>
          <w:color w:val="000000"/>
          <w:szCs w:val="20"/>
        </w:rPr>
        <w:t>information is provided in accordance with the provisions of this regulation, that information may</w:t>
      </w:r>
      <w:r>
        <w:rPr>
          <w:rFonts w:eastAsia="Times New Roman"/>
          <w:color w:val="000000"/>
          <w:szCs w:val="20"/>
        </w:rPr>
        <w:t xml:space="preserve"> </w:t>
      </w:r>
      <w:r>
        <w:rPr>
          <w:rFonts w:eastAsia="Times New Roman"/>
          <w:b/>
          <w:bCs/>
          <w:color w:val="000000"/>
          <w:szCs w:val="20"/>
          <w:u w:val="single"/>
        </w:rPr>
        <w:t>shall</w:t>
      </w:r>
      <w:r>
        <w:rPr>
          <w:rFonts w:eastAsia="Times New Roman"/>
          <w:color w:val="000000"/>
          <w:szCs w:val="20"/>
        </w:rPr>
        <w:t xml:space="preserve"> be displayed by means of a sign that offers the unit price for one or more brands and/or sizes of a given commodity, by means of a sticker, stamp, sign, label, </w:t>
      </w:r>
      <w:r>
        <w:rPr>
          <w:rFonts w:eastAsia="Times New Roman"/>
          <w:b/>
          <w:bCs/>
          <w:color w:val="000000"/>
          <w:szCs w:val="20"/>
          <w:u w:val="single"/>
        </w:rPr>
        <w:t xml:space="preserve">ESL, </w:t>
      </w:r>
      <w:r>
        <w:rPr>
          <w:rFonts w:eastAsia="Times New Roman"/>
          <w:color w:val="000000"/>
          <w:szCs w:val="20"/>
        </w:rPr>
        <w:t xml:space="preserve">or tag affixed to the shelf upon which the commodity is displayed, or by means of a sticker, stamp, sign, label, or </w:t>
      </w:r>
      <w:r>
        <w:rPr>
          <w:rFonts w:eastAsia="Times New Roman"/>
          <w:b/>
          <w:bCs/>
          <w:color w:val="000000"/>
          <w:szCs w:val="20"/>
          <w:u w:val="single"/>
        </w:rPr>
        <w:t xml:space="preserve">ESL, </w:t>
      </w:r>
      <w:r>
        <w:rPr>
          <w:rFonts w:eastAsia="Times New Roman"/>
          <w:color w:val="000000"/>
          <w:szCs w:val="20"/>
        </w:rPr>
        <w:t>tag affixed to the consumer commodity</w:t>
      </w:r>
      <w:r>
        <w:rPr>
          <w:rFonts w:eastAsia="Times New Roman"/>
          <w:b/>
          <w:bCs/>
          <w:color w:val="000000"/>
          <w:szCs w:val="20"/>
          <w:u w:val="single"/>
        </w:rPr>
        <w:t>,</w:t>
      </w:r>
      <w:r>
        <w:rPr>
          <w:rFonts w:eastAsia="Times New Roman"/>
          <w:color w:val="000000"/>
          <w:szCs w:val="20"/>
        </w:rPr>
        <w:t xml:space="preserve"> </w:t>
      </w:r>
      <w:r>
        <w:rPr>
          <w:rFonts w:eastAsia="Times New Roman"/>
          <w:b/>
          <w:bCs/>
          <w:color w:val="000000"/>
          <w:szCs w:val="20"/>
          <w:u w:val="single"/>
        </w:rPr>
        <w:t>and directly adjacent to the retail price</w:t>
      </w:r>
      <w:r>
        <w:rPr>
          <w:rFonts w:eastAsia="Times New Roman"/>
          <w:color w:val="000000"/>
          <w:szCs w:val="20"/>
        </w:rPr>
        <w:t>.</w:t>
      </w:r>
    </w:p>
    <w:p w14:paraId="5DBC7362" w14:textId="77777777" w:rsidR="00BA7868" w:rsidRDefault="00BA7868" w:rsidP="007169B6">
      <w:pPr>
        <w:numPr>
          <w:ilvl w:val="0"/>
          <w:numId w:val="70"/>
        </w:numPr>
        <w:spacing w:line="276" w:lineRule="auto"/>
        <w:rPr>
          <w:rFonts w:eastAsia="Times New Roman"/>
          <w:color w:val="000000"/>
          <w:szCs w:val="20"/>
        </w:rPr>
      </w:pPr>
      <w:r>
        <w:rPr>
          <w:rFonts w:eastAsia="Times New Roman"/>
          <w:color w:val="000000"/>
          <w:szCs w:val="20"/>
        </w:rPr>
        <w:lastRenderedPageBreak/>
        <w:t>Where a sign providing unit price information for one or more sizes or brands of a given commodity is used, that sign shall be displayed clearly and in a non-deceptive manner in a central location as close as practical to all items to which the sign refers.</w:t>
      </w:r>
    </w:p>
    <w:p w14:paraId="21A35D08" w14:textId="77777777" w:rsidR="00BA7868" w:rsidRDefault="00BA7868" w:rsidP="007169B6">
      <w:pPr>
        <w:numPr>
          <w:ilvl w:val="0"/>
          <w:numId w:val="70"/>
        </w:numPr>
        <w:spacing w:line="276" w:lineRule="auto"/>
        <w:rPr>
          <w:rFonts w:eastAsia="Times New Roman"/>
          <w:color w:val="000000"/>
          <w:szCs w:val="20"/>
        </w:rPr>
      </w:pPr>
      <w:r>
        <w:rPr>
          <w:rFonts w:eastAsia="Times New Roman"/>
          <w:color w:val="000000"/>
          <w:szCs w:val="20"/>
        </w:rPr>
        <w:t>If a single sign or tag includes the unit price information for more than one brand or size of a given commodity, the following information shall be provided:</w:t>
      </w:r>
    </w:p>
    <w:p w14:paraId="1334BB00" w14:textId="77777777" w:rsidR="00BA7868" w:rsidRDefault="00BA7868" w:rsidP="007169B6">
      <w:pPr>
        <w:numPr>
          <w:ilvl w:val="0"/>
          <w:numId w:val="71"/>
        </w:numPr>
        <w:spacing w:line="276" w:lineRule="auto"/>
        <w:rPr>
          <w:rFonts w:eastAsia="Times New Roman"/>
          <w:color w:val="000000"/>
          <w:szCs w:val="20"/>
        </w:rPr>
      </w:pPr>
      <w:r>
        <w:rPr>
          <w:rFonts w:eastAsia="Times New Roman"/>
          <w:color w:val="000000"/>
          <w:szCs w:val="20"/>
        </w:rPr>
        <w:t>the identity and the brand name of the commodity;</w:t>
      </w:r>
    </w:p>
    <w:p w14:paraId="68F6A03A" w14:textId="77777777" w:rsidR="00BA7868" w:rsidRDefault="00BA7868" w:rsidP="007169B6">
      <w:pPr>
        <w:numPr>
          <w:ilvl w:val="0"/>
          <w:numId w:val="71"/>
        </w:numPr>
        <w:spacing w:line="276" w:lineRule="auto"/>
        <w:rPr>
          <w:rFonts w:eastAsia="Times New Roman"/>
          <w:color w:val="000000"/>
          <w:szCs w:val="20"/>
        </w:rPr>
      </w:pPr>
      <w:r>
        <w:rPr>
          <w:rFonts w:eastAsia="Times New Roman"/>
          <w:color w:val="000000"/>
          <w:szCs w:val="20"/>
        </w:rPr>
        <w:t>the quantity of the packaged commodity, if more than one package size per brand is displayed;</w:t>
      </w:r>
    </w:p>
    <w:p w14:paraId="586DB7DF" w14:textId="77777777" w:rsidR="00BA7868" w:rsidRDefault="00BA7868" w:rsidP="007169B6">
      <w:pPr>
        <w:numPr>
          <w:ilvl w:val="0"/>
          <w:numId w:val="71"/>
        </w:numPr>
        <w:spacing w:line="276" w:lineRule="auto"/>
        <w:rPr>
          <w:rFonts w:eastAsia="Times New Roman"/>
          <w:color w:val="000000"/>
          <w:szCs w:val="20"/>
        </w:rPr>
      </w:pPr>
      <w:r>
        <w:rPr>
          <w:rFonts w:eastAsia="Times New Roman"/>
          <w:color w:val="000000"/>
          <w:szCs w:val="20"/>
        </w:rPr>
        <w:t>the total retail sales price; and</w:t>
      </w:r>
    </w:p>
    <w:p w14:paraId="0433C7F2" w14:textId="77777777" w:rsidR="00BA7868" w:rsidRDefault="00BA7868" w:rsidP="007169B6">
      <w:pPr>
        <w:numPr>
          <w:ilvl w:val="0"/>
          <w:numId w:val="71"/>
        </w:numPr>
        <w:spacing w:line="276" w:lineRule="auto"/>
        <w:rPr>
          <w:rFonts w:eastAsia="Times New Roman"/>
          <w:color w:val="000000"/>
          <w:szCs w:val="20"/>
        </w:rPr>
      </w:pPr>
      <w:r>
        <w:rPr>
          <w:rFonts w:eastAsia="Times New Roman"/>
          <w:color w:val="000000"/>
          <w:szCs w:val="20"/>
        </w:rPr>
        <w:t>the price per appropriate unit, in accordance with Section </w:t>
      </w:r>
      <w:r>
        <w:rPr>
          <w:rFonts w:eastAsia="Times New Roman"/>
          <w:strike/>
          <w:color w:val="000000"/>
          <w:szCs w:val="20"/>
        </w:rPr>
        <w:t>2</w:t>
      </w:r>
      <w:r>
        <w:rPr>
          <w:rFonts w:eastAsia="Times New Roman"/>
          <w:b/>
          <w:bCs/>
          <w:color w:val="000000"/>
          <w:szCs w:val="20"/>
          <w:u w:val="single"/>
        </w:rPr>
        <w:t>3</w:t>
      </w:r>
      <w:r>
        <w:rPr>
          <w:rFonts w:eastAsia="Times New Roman"/>
          <w:color w:val="000000"/>
          <w:szCs w:val="20"/>
        </w:rPr>
        <w:t>. Terms for Unit Pricing.</w:t>
      </w:r>
    </w:p>
    <w:p w14:paraId="518A51E6" w14:textId="77777777" w:rsidR="00BA7868" w:rsidRDefault="00BA7868" w:rsidP="007169B6">
      <w:pPr>
        <w:numPr>
          <w:ilvl w:val="0"/>
          <w:numId w:val="70"/>
        </w:numPr>
        <w:spacing w:line="276" w:lineRule="auto"/>
        <w:rPr>
          <w:rFonts w:eastAsia="Times New Roman"/>
          <w:b/>
          <w:bCs/>
          <w:color w:val="000000"/>
          <w:szCs w:val="20"/>
          <w:u w:val="single"/>
        </w:rPr>
      </w:pPr>
      <w:r>
        <w:rPr>
          <w:rFonts w:eastAsia="Times New Roman"/>
          <w:b/>
          <w:bCs/>
          <w:color w:val="000000"/>
          <w:szCs w:val="20"/>
          <w:u w:val="single"/>
        </w:rPr>
        <w:t>The unit price shall be displayed for all advertised item price offers.</w:t>
      </w:r>
    </w:p>
    <w:p w14:paraId="4274CD3B" w14:textId="77777777" w:rsidR="00BA7868" w:rsidRDefault="00BA7868" w:rsidP="007169B6">
      <w:pPr>
        <w:numPr>
          <w:ilvl w:val="0"/>
          <w:numId w:val="70"/>
        </w:numPr>
        <w:spacing w:line="276" w:lineRule="auto"/>
        <w:rPr>
          <w:rFonts w:eastAsia="Times New Roman"/>
          <w:b/>
          <w:bCs/>
          <w:color w:val="000000"/>
          <w:szCs w:val="20"/>
          <w:u w:val="single"/>
        </w:rPr>
      </w:pPr>
      <w:r>
        <w:rPr>
          <w:rFonts w:eastAsia="Times New Roman"/>
          <w:b/>
          <w:bCs/>
          <w:color w:val="000000"/>
          <w:szCs w:val="20"/>
          <w:u w:val="single"/>
        </w:rPr>
        <w:t>The words “Unit Price” must be directly adjacent to unit price.</w:t>
      </w:r>
    </w:p>
    <w:p w14:paraId="15F220C2" w14:textId="77777777" w:rsidR="00BA7868" w:rsidRDefault="00BA7868" w:rsidP="007169B6">
      <w:pPr>
        <w:numPr>
          <w:ilvl w:val="0"/>
          <w:numId w:val="70"/>
        </w:numPr>
        <w:spacing w:line="276" w:lineRule="auto"/>
        <w:rPr>
          <w:rFonts w:eastAsia="Times New Roman"/>
          <w:b/>
          <w:bCs/>
          <w:color w:val="000000"/>
          <w:szCs w:val="20"/>
          <w:u w:val="single"/>
        </w:rPr>
      </w:pPr>
      <w:r>
        <w:rPr>
          <w:rFonts w:eastAsia="Times New Roman"/>
          <w:b/>
          <w:bCs/>
          <w:color w:val="000000"/>
          <w:szCs w:val="20"/>
          <w:u w:val="single"/>
        </w:rPr>
        <w:t>The term “per” shall precede the unit (e.g., $0.23 per oz)</w:t>
      </w:r>
    </w:p>
    <w:p w14:paraId="04DF8188" w14:textId="77777777" w:rsidR="00BA7868" w:rsidRDefault="00BA7868" w:rsidP="007169B6">
      <w:pPr>
        <w:numPr>
          <w:ilvl w:val="0"/>
          <w:numId w:val="70"/>
        </w:numPr>
        <w:spacing w:line="276" w:lineRule="auto"/>
        <w:rPr>
          <w:rFonts w:eastAsia="Times New Roman"/>
          <w:b/>
          <w:bCs/>
          <w:color w:val="000000"/>
          <w:szCs w:val="20"/>
          <w:u w:val="single"/>
        </w:rPr>
      </w:pPr>
      <w:r>
        <w:rPr>
          <w:rFonts w:eastAsia="Times New Roman"/>
          <w:b/>
          <w:bCs/>
          <w:color w:val="000000"/>
          <w:szCs w:val="20"/>
          <w:u w:val="single"/>
        </w:rPr>
        <w:t xml:space="preserve">The height of the text providing the unit price should be as large as </w:t>
      </w:r>
      <w:proofErr w:type="gramStart"/>
      <w:r>
        <w:rPr>
          <w:rFonts w:eastAsia="Times New Roman"/>
          <w:b/>
          <w:bCs/>
          <w:color w:val="000000"/>
          <w:szCs w:val="20"/>
          <w:u w:val="single"/>
        </w:rPr>
        <w:t>feasible, but</w:t>
      </w:r>
      <w:proofErr w:type="gramEnd"/>
      <w:r>
        <w:rPr>
          <w:rFonts w:eastAsia="Times New Roman"/>
          <w:b/>
          <w:bCs/>
          <w:color w:val="000000"/>
          <w:szCs w:val="20"/>
          <w:u w:val="single"/>
        </w:rPr>
        <w:t xml:space="preserve"> shall be no less than 0.24 inches (6 mm).</w:t>
      </w:r>
    </w:p>
    <w:p w14:paraId="0D78E3B9" w14:textId="77777777" w:rsidR="00BA7868" w:rsidRDefault="00BA7868" w:rsidP="007169B6">
      <w:pPr>
        <w:numPr>
          <w:ilvl w:val="0"/>
          <w:numId w:val="70"/>
        </w:numPr>
        <w:spacing w:line="276" w:lineRule="auto"/>
        <w:rPr>
          <w:rFonts w:eastAsia="Times New Roman"/>
          <w:b/>
          <w:bCs/>
          <w:color w:val="000000"/>
          <w:szCs w:val="20"/>
          <w:u w:val="single"/>
        </w:rPr>
      </w:pPr>
      <w:r>
        <w:rPr>
          <w:rFonts w:eastAsia="Times New Roman"/>
          <w:b/>
          <w:bCs/>
          <w:color w:val="000000"/>
          <w:szCs w:val="20"/>
          <w:u w:val="single"/>
        </w:rPr>
        <w:t>Electronic Shelf Labels (ESLs). ESLs must comply with all requirements set forth in this section and shall remain continuously visible (“always on”). The label must maintain legibility and prominence of unit pricing information equivalent to printed labels.</w:t>
      </w:r>
    </w:p>
    <w:p w14:paraId="419CED7A" w14:textId="45B4C225" w:rsidR="00BA7868" w:rsidRPr="00BA7868" w:rsidRDefault="00BA7868" w:rsidP="00BA7868">
      <w:pPr>
        <w:ind w:left="720"/>
        <w:rPr>
          <w:b/>
          <w:bCs/>
          <w:color w:val="000000"/>
          <w:szCs w:val="20"/>
          <w:u w:val="single"/>
        </w:rPr>
      </w:pPr>
      <w:r>
        <w:rPr>
          <w:b/>
          <w:bCs/>
          <w:color w:val="000000"/>
          <w:szCs w:val="20"/>
          <w:u w:val="single"/>
        </w:rPr>
        <w:t xml:space="preserve">(Amended 2025) </w:t>
      </w:r>
    </w:p>
    <w:p w14:paraId="22B04BB5" w14:textId="77777777" w:rsidR="00E34C39" w:rsidRDefault="00E34C39" w:rsidP="00E34C39">
      <w:pPr>
        <w:keepNext/>
        <w:tabs>
          <w:tab w:val="left" w:pos="360"/>
        </w:tabs>
        <w:spacing w:before="400" w:after="180"/>
        <w:jc w:val="left"/>
        <w:outlineLvl w:val="5"/>
        <w:rPr>
          <w:b/>
          <w:bCs/>
          <w:szCs w:val="20"/>
        </w:rPr>
      </w:pPr>
      <w:bookmarkStart w:id="113" w:name="_Toc173470317"/>
      <w:bookmarkStart w:id="114" w:name="_Toc173471551"/>
      <w:bookmarkStart w:id="115" w:name="_Toc173474199"/>
      <w:bookmarkStart w:id="116" w:name="_Toc173771795"/>
      <w:bookmarkStart w:id="117" w:name="_Toc205539078"/>
      <w:bookmarkStart w:id="118" w:name="_Toc157693416"/>
      <w:r>
        <w:rPr>
          <w:b/>
          <w:bCs/>
          <w:szCs w:val="20"/>
        </w:rPr>
        <w:t xml:space="preserve">Section </w:t>
      </w:r>
      <w:r>
        <w:rPr>
          <w:b/>
          <w:bCs/>
          <w:strike/>
          <w:szCs w:val="20"/>
        </w:rPr>
        <w:t>6</w:t>
      </w:r>
      <w:r>
        <w:rPr>
          <w:b/>
          <w:bCs/>
          <w:szCs w:val="20"/>
          <w:u w:val="single"/>
        </w:rPr>
        <w:t>7</w:t>
      </w:r>
      <w:r>
        <w:rPr>
          <w:b/>
          <w:bCs/>
          <w:szCs w:val="20"/>
        </w:rPr>
        <w:t>.  Uniformity</w:t>
      </w:r>
      <w:bookmarkEnd w:id="113"/>
      <w:bookmarkEnd w:id="114"/>
      <w:bookmarkEnd w:id="115"/>
      <w:bookmarkEnd w:id="116"/>
      <w:bookmarkEnd w:id="117"/>
      <w:bookmarkEnd w:id="118"/>
    </w:p>
    <w:p w14:paraId="60552290" w14:textId="4B04E112" w:rsidR="00E34C39" w:rsidRDefault="00E34C39" w:rsidP="007169B6">
      <w:pPr>
        <w:numPr>
          <w:ilvl w:val="0"/>
          <w:numId w:val="59"/>
        </w:numPr>
        <w:tabs>
          <w:tab w:val="left" w:pos="360"/>
        </w:tabs>
        <w:jc w:val="left"/>
        <w:rPr>
          <w:iCs/>
          <w:color w:val="000000"/>
          <w:szCs w:val="24"/>
        </w:rPr>
      </w:pPr>
      <w:r>
        <w:rPr>
          <w:iCs/>
          <w:color w:val="000000"/>
          <w:szCs w:val="24"/>
        </w:rPr>
        <w:t>If different brands or package sizes of the same consumer commodity are expressed in more than one unit of measure (e.g., soft drinks</w:t>
      </w:r>
      <w:r>
        <w:fldChar w:fldCharType="begin"/>
      </w:r>
      <w:r>
        <w:rPr>
          <w:iCs/>
          <w:color w:val="000000"/>
          <w:szCs w:val="24"/>
        </w:rPr>
        <w:instrText xml:space="preserve"> XE "</w:instrText>
      </w:r>
      <w:r>
        <w:rPr>
          <w:b/>
          <w:iCs/>
          <w:color w:val="000000"/>
          <w:szCs w:val="24"/>
        </w:rPr>
        <w:instrText>Soft drink</w:instrText>
      </w:r>
      <w:r>
        <w:rPr>
          <w:iCs/>
          <w:color w:val="000000"/>
          <w:szCs w:val="24"/>
        </w:rPr>
        <w:instrText xml:space="preserve">" </w:instrText>
      </w:r>
      <w:r>
        <w:fldChar w:fldCharType="end"/>
      </w:r>
      <w:r>
        <w:rPr>
          <w:iCs/>
          <w:color w:val="000000"/>
          <w:szCs w:val="24"/>
        </w:rPr>
        <w:t xml:space="preserve"> are offered for sale in 2 L bottles and 12 fl</w:t>
      </w:r>
      <w:r w:rsidR="00F63FEA">
        <w:rPr>
          <w:iCs/>
          <w:color w:val="000000"/>
          <w:szCs w:val="24"/>
        </w:rPr>
        <w:t>.</w:t>
      </w:r>
      <w:r>
        <w:rPr>
          <w:iCs/>
          <w:color w:val="000000"/>
          <w:szCs w:val="24"/>
        </w:rPr>
        <w:t xml:space="preserve"> oz cans), the retail establishment shall unit price the items consistently </w:t>
      </w:r>
      <w:r>
        <w:rPr>
          <w:b/>
          <w:bCs/>
          <w:iCs/>
          <w:color w:val="000000"/>
          <w:szCs w:val="24"/>
          <w:u w:val="single"/>
        </w:rPr>
        <w:t>in the same unit of measure</w:t>
      </w:r>
      <w:r>
        <w:rPr>
          <w:iCs/>
          <w:color w:val="000000"/>
          <w:szCs w:val="24"/>
        </w:rPr>
        <w:t>.</w:t>
      </w:r>
    </w:p>
    <w:p w14:paraId="3D1BD6EA" w14:textId="77777777" w:rsidR="00E34C39" w:rsidRDefault="00E34C39" w:rsidP="007169B6">
      <w:pPr>
        <w:numPr>
          <w:ilvl w:val="0"/>
          <w:numId w:val="59"/>
        </w:numPr>
        <w:tabs>
          <w:tab w:val="left" w:pos="360"/>
        </w:tabs>
        <w:jc w:val="left"/>
        <w:rPr>
          <w:iCs/>
          <w:color w:val="000000"/>
          <w:szCs w:val="24"/>
        </w:rPr>
      </w:pPr>
      <w:r>
        <w:rPr>
          <w:iCs/>
          <w:color w:val="000000"/>
          <w:szCs w:val="24"/>
        </w:rPr>
        <w:t xml:space="preserve">When metric units appear on the consumer commodity in addition to other units of measure, the retail establishment </w:t>
      </w:r>
      <w:r>
        <w:rPr>
          <w:b/>
          <w:bCs/>
          <w:iCs/>
          <w:color w:val="000000"/>
          <w:szCs w:val="24"/>
          <w:u w:val="single"/>
        </w:rPr>
        <w:t>or e-commerce</w:t>
      </w:r>
      <w:r>
        <w:rPr>
          <w:iCs/>
          <w:color w:val="000000"/>
          <w:szCs w:val="24"/>
        </w:rPr>
        <w:t xml:space="preserve"> site may include both units of measure on any stamps, </w:t>
      </w:r>
      <w:r>
        <w:rPr>
          <w:iCs/>
          <w:strike/>
          <w:color w:val="000000"/>
          <w:szCs w:val="24"/>
        </w:rPr>
        <w:t>tags, labels, signs,</w:t>
      </w:r>
      <w:r>
        <w:rPr>
          <w:iCs/>
          <w:color w:val="000000"/>
          <w:szCs w:val="24"/>
        </w:rPr>
        <w:t xml:space="preserve"> </w:t>
      </w:r>
      <w:proofErr w:type="gramStart"/>
      <w:r>
        <w:rPr>
          <w:iCs/>
          <w:color w:val="000000"/>
          <w:szCs w:val="24"/>
        </w:rPr>
        <w:t>sign</w:t>
      </w:r>
      <w:proofErr w:type="gramEnd"/>
      <w:r>
        <w:rPr>
          <w:iCs/>
          <w:color w:val="000000"/>
          <w:szCs w:val="24"/>
        </w:rPr>
        <w:t xml:space="preserve">, label, </w:t>
      </w:r>
      <w:r>
        <w:rPr>
          <w:b/>
          <w:bCs/>
          <w:iCs/>
          <w:color w:val="000000"/>
          <w:szCs w:val="24"/>
          <w:u w:val="single"/>
        </w:rPr>
        <w:t xml:space="preserve">ESL, </w:t>
      </w:r>
      <w:r>
        <w:rPr>
          <w:iCs/>
          <w:color w:val="000000"/>
          <w:szCs w:val="24"/>
        </w:rPr>
        <w:t>tag or list.</w:t>
      </w:r>
    </w:p>
    <w:p w14:paraId="7010985C" w14:textId="77777777" w:rsidR="00E34C39" w:rsidRDefault="00E34C39" w:rsidP="00E34C39">
      <w:pPr>
        <w:tabs>
          <w:tab w:val="left" w:pos="360"/>
        </w:tabs>
        <w:jc w:val="left"/>
        <w:rPr>
          <w:b/>
          <w:bCs/>
          <w:iCs/>
          <w:color w:val="000000"/>
          <w:szCs w:val="24"/>
          <w:u w:val="single"/>
        </w:rPr>
      </w:pPr>
      <w:bookmarkStart w:id="119" w:name="_Hlk202900806"/>
      <w:r>
        <w:rPr>
          <w:b/>
          <w:bCs/>
          <w:iCs/>
          <w:color w:val="000000"/>
          <w:szCs w:val="24"/>
          <w:u w:val="single"/>
        </w:rPr>
        <w:t xml:space="preserve">(Amended 202X) </w:t>
      </w:r>
    </w:p>
    <w:p w14:paraId="47B1FAF5" w14:textId="77777777" w:rsidR="00E34C39" w:rsidRDefault="00E34C39" w:rsidP="00E34C39">
      <w:pPr>
        <w:keepNext/>
        <w:tabs>
          <w:tab w:val="left" w:pos="360"/>
        </w:tabs>
        <w:spacing w:before="400" w:after="180"/>
        <w:jc w:val="left"/>
        <w:outlineLvl w:val="5"/>
        <w:rPr>
          <w:b/>
          <w:bCs/>
          <w:szCs w:val="20"/>
        </w:rPr>
      </w:pPr>
      <w:bookmarkStart w:id="120" w:name="_Toc173471552"/>
      <w:bookmarkStart w:id="121" w:name="_Toc173474200"/>
      <w:bookmarkStart w:id="122" w:name="_Toc173771796"/>
      <w:bookmarkStart w:id="123" w:name="_Toc205539079"/>
      <w:bookmarkStart w:id="124" w:name="_Toc157693417"/>
      <w:bookmarkEnd w:id="119"/>
      <w:r>
        <w:rPr>
          <w:b/>
          <w:bCs/>
          <w:szCs w:val="20"/>
        </w:rPr>
        <w:t xml:space="preserve">Section </w:t>
      </w:r>
      <w:r>
        <w:rPr>
          <w:b/>
          <w:bCs/>
          <w:strike/>
          <w:szCs w:val="20"/>
        </w:rPr>
        <w:t>7</w:t>
      </w:r>
      <w:r>
        <w:rPr>
          <w:b/>
          <w:bCs/>
          <w:szCs w:val="20"/>
          <w:u w:val="single"/>
        </w:rPr>
        <w:t>8</w:t>
      </w:r>
      <w:r>
        <w:rPr>
          <w:b/>
          <w:bCs/>
          <w:szCs w:val="20"/>
        </w:rPr>
        <w:t>.  Effective Date</w:t>
      </w:r>
      <w:bookmarkEnd w:id="120"/>
      <w:bookmarkEnd w:id="121"/>
      <w:bookmarkEnd w:id="122"/>
      <w:bookmarkEnd w:id="123"/>
      <w:bookmarkEnd w:id="124"/>
    </w:p>
    <w:p w14:paraId="11F55476" w14:textId="77777777" w:rsidR="00E34C39" w:rsidRDefault="00E34C39" w:rsidP="00E34C39">
      <w:pPr>
        <w:tabs>
          <w:tab w:val="left" w:pos="360"/>
        </w:tabs>
        <w:jc w:val="left"/>
        <w:rPr>
          <w:iCs/>
          <w:color w:val="000000"/>
          <w:szCs w:val="24"/>
        </w:rPr>
      </w:pPr>
      <w:r>
        <w:rPr>
          <w:iCs/>
          <w:color w:val="000000"/>
          <w:szCs w:val="24"/>
        </w:rPr>
        <w:t>This regulation shall become effective on __________, 20__.</w:t>
      </w:r>
    </w:p>
    <w:p w14:paraId="0BB5E2FA" w14:textId="77777777" w:rsidR="00E34C39" w:rsidRDefault="00E34C39" w:rsidP="00E34C39">
      <w:pPr>
        <w:tabs>
          <w:tab w:val="left" w:pos="360"/>
        </w:tabs>
        <w:jc w:val="left"/>
        <w:rPr>
          <w:iCs/>
          <w:color w:val="000000"/>
          <w:szCs w:val="24"/>
        </w:rPr>
      </w:pPr>
      <w:r>
        <w:rPr>
          <w:iCs/>
          <w:color w:val="000000"/>
          <w:szCs w:val="24"/>
        </w:rPr>
        <w:t xml:space="preserve">Given under my hand and the seal of my office in the </w:t>
      </w:r>
      <w:proofErr w:type="gramStart"/>
      <w:r>
        <w:rPr>
          <w:iCs/>
          <w:color w:val="000000"/>
          <w:szCs w:val="24"/>
        </w:rPr>
        <w:t>City</w:t>
      </w:r>
      <w:proofErr w:type="gramEnd"/>
      <w:r>
        <w:rPr>
          <w:iCs/>
          <w:color w:val="000000"/>
          <w:szCs w:val="24"/>
        </w:rPr>
        <w:t xml:space="preserve"> </w:t>
      </w:r>
      <w:proofErr w:type="gramStart"/>
      <w:r>
        <w:rPr>
          <w:iCs/>
          <w:color w:val="000000"/>
          <w:szCs w:val="24"/>
        </w:rPr>
        <w:t>of __</w:t>
      </w:r>
      <w:proofErr w:type="gramEnd"/>
      <w:r>
        <w:rPr>
          <w:iCs/>
          <w:color w:val="000000"/>
          <w:szCs w:val="24"/>
        </w:rPr>
        <w:t>________ on this __________ day of ________, 20_____.</w:t>
      </w:r>
    </w:p>
    <w:p w14:paraId="5BD13575" w14:textId="77777777" w:rsidR="00E34C39" w:rsidRDefault="00E34C39" w:rsidP="00E34C39">
      <w:pPr>
        <w:tabs>
          <w:tab w:val="left" w:pos="360"/>
        </w:tabs>
        <w:spacing w:after="60"/>
        <w:jc w:val="left"/>
        <w:rPr>
          <w:iCs/>
          <w:color w:val="000000"/>
          <w:szCs w:val="24"/>
        </w:rPr>
      </w:pPr>
      <w:r>
        <w:rPr>
          <w:iCs/>
          <w:color w:val="000000"/>
          <w:szCs w:val="24"/>
        </w:rPr>
        <w:t xml:space="preserve">Signed </w:t>
      </w:r>
      <w:r>
        <w:rPr>
          <w:iCs/>
          <w:color w:val="000000"/>
          <w:szCs w:val="24"/>
          <w:u w:val="single"/>
        </w:rPr>
        <w:t>                                                            </w:t>
      </w:r>
    </w:p>
    <w:p w14:paraId="03FCC2E4" w14:textId="77777777" w:rsidR="00E34C39" w:rsidRDefault="00E34C39" w:rsidP="00E34C39">
      <w:r>
        <w:rPr>
          <w:iCs/>
          <w:color w:val="000000"/>
          <w:szCs w:val="24"/>
        </w:rPr>
        <w:lastRenderedPageBreak/>
        <w:t xml:space="preserve">(Amended 1997 </w:t>
      </w:r>
      <w:r>
        <w:rPr>
          <w:b/>
          <w:bCs/>
          <w:iCs/>
          <w:color w:val="000000"/>
          <w:szCs w:val="24"/>
          <w:u w:val="single"/>
        </w:rPr>
        <w:t>&amp; 202X</w:t>
      </w:r>
      <w:r>
        <w:rPr>
          <w:iCs/>
          <w:color w:val="000000"/>
          <w:szCs w:val="24"/>
        </w:rPr>
        <w:t>)</w:t>
      </w:r>
    </w:p>
    <w:p w14:paraId="12CD6233" w14:textId="77777777" w:rsidR="00E34C39" w:rsidRDefault="00E34C39" w:rsidP="00E34C39">
      <w:pPr>
        <w:keepNext/>
        <w:spacing w:after="0"/>
      </w:pPr>
      <w:r>
        <w:rPr>
          <w:b/>
        </w:rPr>
        <w:t>Previous Status:</w:t>
      </w:r>
    </w:p>
    <w:p w14:paraId="6C3CE8EF" w14:textId="053B53EF" w:rsidR="00E34C39" w:rsidRDefault="00E34C39" w:rsidP="00E34C39">
      <w:r>
        <w:t xml:space="preserve">2026: New Proposal </w:t>
      </w:r>
    </w:p>
    <w:p w14:paraId="77C111AE" w14:textId="77777777" w:rsidR="00E34C39" w:rsidRDefault="00E34C39" w:rsidP="00E34C39">
      <w:pPr>
        <w:keepNext/>
        <w:spacing w:after="0"/>
        <w:rPr>
          <w:b/>
        </w:rPr>
      </w:pPr>
      <w:r>
        <w:rPr>
          <w:b/>
        </w:rPr>
        <w:t>Original Justification:</w:t>
      </w:r>
    </w:p>
    <w:p w14:paraId="44D03FF7" w14:textId="77777777" w:rsidR="00E34C39" w:rsidRPr="00FF211F" w:rsidRDefault="00E34C39" w:rsidP="00FF211F">
      <w:r w:rsidRPr="00FF211F">
        <w:t xml:space="preserve">Unit pricing has existed in the U.S.A. since the early 1970s, growing out of the “truth-in-labeling” era. Consumers demanded more information (“right to know”) on labels to make informed purchase decisions. More recent innovations in retail sales, such as electronic shelf labels that utilize interactive devices such as QR codes, online advertising and sales, and related sales for pick up or delivery, and prices posted on applications that can be individualized to specific consumers, require new ways to inform consumers. Relatedly, evolutions in the retail marketplace have blurred the lines between traditional categories, with grocery, hardware, and even clothing stores offering products once exclusively sold by other categories of </w:t>
      </w:r>
      <w:proofErr w:type="gramStart"/>
      <w:r w:rsidRPr="00FF211F">
        <w:t>retailers, and</w:t>
      </w:r>
      <w:proofErr w:type="gramEnd"/>
      <w:r w:rsidRPr="00FF211F">
        <w:t xml:space="preserve"> have expanded the range of retailers concerned with disclosing unit prices. Consumers need unit pricing to make informed decisions about price and value comparisons for the products they are purchasing. Retailers also benefit when unit price labeling is implemented through improved pricing accuracy and greater inventory control, ultimately reducing the retailer's labor costs.</w:t>
      </w:r>
    </w:p>
    <w:p w14:paraId="0432B509" w14:textId="77777777" w:rsidR="00E34C39" w:rsidRPr="00FF211F" w:rsidRDefault="00E34C39" w:rsidP="00FF211F">
      <w:r w:rsidRPr="00FF211F">
        <w:t>The submitter acknowledges that unit pricing has been in place for decades; the industry may not be ready to implement the additional requirements for e-commerce sites and technological advancements.</w:t>
      </w:r>
    </w:p>
    <w:p w14:paraId="2857C6A1" w14:textId="77777777" w:rsidR="00E34C39" w:rsidRDefault="00E34C39" w:rsidP="00E34C39">
      <w:pPr>
        <w:keepNext/>
        <w:rPr>
          <w:b/>
        </w:rPr>
      </w:pPr>
      <w:r>
        <w:rPr>
          <w:b/>
        </w:rPr>
        <w:t>Comments in Favor:</w:t>
      </w:r>
    </w:p>
    <w:p w14:paraId="4A6BD658" w14:textId="278C2CF0" w:rsidR="00E34C39" w:rsidRDefault="0042639E" w:rsidP="00E34C39">
      <w:pPr>
        <w:keepNext/>
        <w:spacing w:after="0"/>
        <w:ind w:left="720"/>
        <w:rPr>
          <w:b/>
        </w:rPr>
      </w:pPr>
      <w:r>
        <w:rPr>
          <w:b/>
        </w:rPr>
        <w:t>Weights and Measures Officials</w:t>
      </w:r>
      <w:r w:rsidR="00E34C39">
        <w:rPr>
          <w:b/>
        </w:rPr>
        <w:t>:</w:t>
      </w:r>
    </w:p>
    <w:p w14:paraId="260ACF3A" w14:textId="7F1DEAAB" w:rsidR="00E34C39" w:rsidRDefault="00767A39" w:rsidP="007169B6">
      <w:pPr>
        <w:pStyle w:val="ListParagraph"/>
        <w:numPr>
          <w:ilvl w:val="0"/>
          <w:numId w:val="60"/>
        </w:numPr>
        <w:spacing w:after="0" w:line="256" w:lineRule="auto"/>
        <w:contextualSpacing/>
        <w:jc w:val="left"/>
      </w:pPr>
      <w:r w:rsidRPr="001B29F9">
        <w:t xml:space="preserve">Multiple </w:t>
      </w:r>
      <w:r w:rsidR="001B29F9">
        <w:t>w</w:t>
      </w:r>
      <w:r w:rsidR="005D41D3" w:rsidRPr="001B29F9">
        <w:t xml:space="preserve">eights and </w:t>
      </w:r>
      <w:r w:rsidR="001B29F9">
        <w:t>m</w:t>
      </w:r>
      <w:r w:rsidR="005D41D3" w:rsidRPr="001B29F9">
        <w:t xml:space="preserve">easures </w:t>
      </w:r>
      <w:r w:rsidR="001B29F9">
        <w:t xml:space="preserve">officials </w:t>
      </w:r>
      <w:r w:rsidR="005D41D3">
        <w:t>supported this item and recommended Voting status.</w:t>
      </w:r>
    </w:p>
    <w:p w14:paraId="07BCB512" w14:textId="77777777" w:rsidR="00E34C39" w:rsidRDefault="00E34C39" w:rsidP="00E34C39">
      <w:pPr>
        <w:spacing w:before="240" w:after="0"/>
        <w:ind w:left="720"/>
        <w:rPr>
          <w:b/>
        </w:rPr>
      </w:pPr>
      <w:r>
        <w:rPr>
          <w:b/>
        </w:rPr>
        <w:t>Industry:</w:t>
      </w:r>
    </w:p>
    <w:p w14:paraId="6D7B3493" w14:textId="096D5F67" w:rsidR="00E34C39" w:rsidRDefault="00F04409" w:rsidP="007169B6">
      <w:pPr>
        <w:pStyle w:val="ListParagraph"/>
        <w:numPr>
          <w:ilvl w:val="0"/>
          <w:numId w:val="60"/>
        </w:numPr>
        <w:spacing w:after="0" w:line="256" w:lineRule="auto"/>
        <w:contextualSpacing/>
        <w:jc w:val="left"/>
      </w:pPr>
      <w:r>
        <w:t>None</w:t>
      </w:r>
    </w:p>
    <w:p w14:paraId="2A9CDEB8" w14:textId="77777777" w:rsidR="00E34C39" w:rsidRDefault="00E34C39" w:rsidP="00E34C39">
      <w:pPr>
        <w:spacing w:before="240" w:after="0"/>
        <w:ind w:left="720"/>
        <w:rPr>
          <w:b/>
        </w:rPr>
      </w:pPr>
      <w:r>
        <w:rPr>
          <w:b/>
        </w:rPr>
        <w:t>Advisory:</w:t>
      </w:r>
    </w:p>
    <w:p w14:paraId="5F19014C" w14:textId="39C0A339" w:rsidR="00E34C39" w:rsidRDefault="005D41D3" w:rsidP="007169B6">
      <w:pPr>
        <w:pStyle w:val="ListParagraph"/>
        <w:numPr>
          <w:ilvl w:val="0"/>
          <w:numId w:val="60"/>
        </w:numPr>
        <w:spacing w:after="0" w:line="256" w:lineRule="auto"/>
        <w:contextualSpacing/>
        <w:jc w:val="left"/>
      </w:pPr>
      <w:r>
        <w:t xml:space="preserve">The representative from NIST OWM recommended Voting with editorial changes to Section </w:t>
      </w:r>
      <w:r w:rsidR="00E30CBC">
        <w:t>6</w:t>
      </w:r>
      <w:r>
        <w:t>.</w:t>
      </w:r>
    </w:p>
    <w:p w14:paraId="5D53B340" w14:textId="77777777" w:rsidR="00E34C39" w:rsidRDefault="00E34C39" w:rsidP="00E34C39">
      <w:pPr>
        <w:spacing w:before="240"/>
        <w:rPr>
          <w:b/>
        </w:rPr>
      </w:pPr>
      <w:r>
        <w:rPr>
          <w:b/>
        </w:rPr>
        <w:t>Comments Against:</w:t>
      </w:r>
    </w:p>
    <w:p w14:paraId="6F1074A4" w14:textId="47A4CC94" w:rsidR="00E34C39" w:rsidRDefault="0042639E" w:rsidP="00E34C39">
      <w:pPr>
        <w:spacing w:after="0"/>
        <w:ind w:left="720"/>
        <w:rPr>
          <w:b/>
        </w:rPr>
      </w:pPr>
      <w:r>
        <w:rPr>
          <w:b/>
        </w:rPr>
        <w:t>Weights and Measures Officials</w:t>
      </w:r>
      <w:r w:rsidR="00E34C39">
        <w:rPr>
          <w:b/>
        </w:rPr>
        <w:t>:</w:t>
      </w:r>
    </w:p>
    <w:p w14:paraId="6557A1F9" w14:textId="49592DD3" w:rsidR="00E34C39" w:rsidRDefault="00F04409" w:rsidP="007169B6">
      <w:pPr>
        <w:pStyle w:val="ListParagraph"/>
        <w:numPr>
          <w:ilvl w:val="0"/>
          <w:numId w:val="61"/>
        </w:numPr>
        <w:spacing w:after="0" w:line="256" w:lineRule="auto"/>
        <w:contextualSpacing/>
        <w:jc w:val="left"/>
      </w:pPr>
      <w:r>
        <w:t>None</w:t>
      </w:r>
    </w:p>
    <w:p w14:paraId="6DEDCAF6" w14:textId="77777777" w:rsidR="00E34C39" w:rsidRDefault="00E34C39" w:rsidP="00E34C39">
      <w:pPr>
        <w:spacing w:before="240" w:after="0"/>
        <w:ind w:left="720"/>
        <w:rPr>
          <w:b/>
        </w:rPr>
      </w:pPr>
      <w:r>
        <w:rPr>
          <w:b/>
        </w:rPr>
        <w:t>Industry:</w:t>
      </w:r>
    </w:p>
    <w:p w14:paraId="569022B9" w14:textId="4D871286" w:rsidR="00E34C39" w:rsidRDefault="00F04409" w:rsidP="007169B6">
      <w:pPr>
        <w:pStyle w:val="ListParagraph"/>
        <w:numPr>
          <w:ilvl w:val="0"/>
          <w:numId w:val="61"/>
        </w:numPr>
        <w:spacing w:after="0" w:line="256" w:lineRule="auto"/>
        <w:contextualSpacing/>
        <w:jc w:val="left"/>
      </w:pPr>
      <w:r>
        <w:t>None</w:t>
      </w:r>
    </w:p>
    <w:p w14:paraId="7290E7A6" w14:textId="77777777" w:rsidR="00E34C39" w:rsidRDefault="00E34C39" w:rsidP="00E34C39">
      <w:pPr>
        <w:spacing w:before="240" w:after="0"/>
        <w:ind w:left="720"/>
        <w:rPr>
          <w:b/>
        </w:rPr>
      </w:pPr>
      <w:r>
        <w:rPr>
          <w:b/>
        </w:rPr>
        <w:t>Advisory:</w:t>
      </w:r>
    </w:p>
    <w:p w14:paraId="3C13C058" w14:textId="5B4FA451" w:rsidR="00E34C39" w:rsidRDefault="00F04409" w:rsidP="007169B6">
      <w:pPr>
        <w:pStyle w:val="ListParagraph"/>
        <w:numPr>
          <w:ilvl w:val="0"/>
          <w:numId w:val="61"/>
        </w:numPr>
        <w:spacing w:after="0" w:line="256" w:lineRule="auto"/>
        <w:contextualSpacing/>
        <w:jc w:val="left"/>
      </w:pPr>
      <w:r>
        <w:t>None</w:t>
      </w:r>
    </w:p>
    <w:p w14:paraId="5CC6BF51" w14:textId="77777777" w:rsidR="00E34C39" w:rsidRDefault="00E34C39" w:rsidP="00E34C39">
      <w:pPr>
        <w:spacing w:before="240"/>
        <w:rPr>
          <w:b/>
        </w:rPr>
      </w:pPr>
      <w:r>
        <w:rPr>
          <w:b/>
        </w:rPr>
        <w:t>Neutral Comments:</w:t>
      </w:r>
    </w:p>
    <w:p w14:paraId="4FA66DFA" w14:textId="184917FE" w:rsidR="00E34C39" w:rsidRDefault="0042639E" w:rsidP="00E34C39">
      <w:pPr>
        <w:spacing w:after="0"/>
        <w:ind w:left="720"/>
        <w:rPr>
          <w:b/>
        </w:rPr>
      </w:pPr>
      <w:r>
        <w:rPr>
          <w:b/>
        </w:rPr>
        <w:t>Weights and Measures Officials</w:t>
      </w:r>
      <w:r w:rsidR="00E34C39">
        <w:rPr>
          <w:b/>
        </w:rPr>
        <w:t>:</w:t>
      </w:r>
    </w:p>
    <w:p w14:paraId="3ED5EAB5" w14:textId="3D4F4202" w:rsidR="00E34C39" w:rsidRDefault="00116A15" w:rsidP="007169B6">
      <w:pPr>
        <w:pStyle w:val="ListParagraph"/>
        <w:numPr>
          <w:ilvl w:val="0"/>
          <w:numId w:val="61"/>
        </w:numPr>
        <w:spacing w:after="0" w:line="256" w:lineRule="auto"/>
        <w:contextualSpacing/>
        <w:jc w:val="left"/>
      </w:pPr>
      <w:r>
        <w:t xml:space="preserve">The </w:t>
      </w:r>
      <w:r w:rsidRPr="001B29F9">
        <w:t>weights and measures official</w:t>
      </w:r>
      <w:r>
        <w:t xml:space="preserve"> from Arkansas </w:t>
      </w:r>
      <w:r w:rsidR="00022ED8">
        <w:t xml:space="preserve">recommended removing the status of promulgation map and just referencing the table showing the status of promulgation in the front of NIST Handbook </w:t>
      </w:r>
      <w:r w:rsidR="006D4DC0">
        <w:t>130</w:t>
      </w:r>
      <w:r w:rsidR="00022ED8">
        <w:t>.</w:t>
      </w:r>
    </w:p>
    <w:p w14:paraId="2F9A0842" w14:textId="77777777" w:rsidR="00E34C39" w:rsidRDefault="00E34C39" w:rsidP="00E34C39">
      <w:pPr>
        <w:spacing w:before="240" w:after="0"/>
        <w:ind w:left="720"/>
        <w:rPr>
          <w:b/>
        </w:rPr>
      </w:pPr>
      <w:r>
        <w:rPr>
          <w:b/>
        </w:rPr>
        <w:t>Industry:</w:t>
      </w:r>
    </w:p>
    <w:p w14:paraId="433B9209" w14:textId="59F82B3B" w:rsidR="00E34C39" w:rsidRDefault="00F04409" w:rsidP="007169B6">
      <w:pPr>
        <w:pStyle w:val="ListParagraph"/>
        <w:numPr>
          <w:ilvl w:val="0"/>
          <w:numId w:val="61"/>
        </w:numPr>
        <w:spacing w:after="0" w:line="256" w:lineRule="auto"/>
        <w:contextualSpacing/>
        <w:jc w:val="left"/>
      </w:pPr>
      <w:r>
        <w:t>None</w:t>
      </w:r>
    </w:p>
    <w:p w14:paraId="5F5E36BD" w14:textId="77777777" w:rsidR="00E34C39" w:rsidRDefault="00E34C39" w:rsidP="00E34C39">
      <w:pPr>
        <w:spacing w:before="240" w:after="0"/>
        <w:ind w:left="720"/>
        <w:rPr>
          <w:b/>
        </w:rPr>
      </w:pPr>
      <w:r>
        <w:rPr>
          <w:b/>
        </w:rPr>
        <w:t>Advisory:</w:t>
      </w:r>
    </w:p>
    <w:p w14:paraId="3C66D7D6" w14:textId="29E91FFD" w:rsidR="00E34C39" w:rsidRDefault="00F04409" w:rsidP="007169B6">
      <w:pPr>
        <w:pStyle w:val="ListParagraph"/>
        <w:numPr>
          <w:ilvl w:val="0"/>
          <w:numId w:val="61"/>
        </w:numPr>
        <w:spacing w:after="0" w:line="256" w:lineRule="auto"/>
        <w:contextualSpacing/>
        <w:jc w:val="left"/>
      </w:pPr>
      <w:r>
        <w:t>None</w:t>
      </w:r>
    </w:p>
    <w:p w14:paraId="50730B27" w14:textId="77777777" w:rsidR="00E34C39" w:rsidRDefault="00E34C39" w:rsidP="00E34C39">
      <w:pPr>
        <w:spacing w:before="240" w:after="0"/>
        <w:rPr>
          <w:b/>
        </w:rPr>
      </w:pPr>
      <w:r>
        <w:rPr>
          <w:b/>
        </w:rPr>
        <w:lastRenderedPageBreak/>
        <w:t>Item Development:</w:t>
      </w:r>
    </w:p>
    <w:p w14:paraId="687FABE9" w14:textId="43612F1B" w:rsidR="00E34C39" w:rsidRDefault="00E34C39" w:rsidP="00E34C39">
      <w:r>
        <w:t>New Proposal</w:t>
      </w:r>
      <w:r w:rsidR="00EC3CDB">
        <w:t xml:space="preserve"> 2026</w:t>
      </w:r>
    </w:p>
    <w:p w14:paraId="7B2809EA" w14:textId="2517D09A" w:rsidR="00EC3CDB" w:rsidRDefault="00EC3CDB" w:rsidP="00BA7232">
      <w:pPr>
        <w:keepNext/>
        <w:keepLines/>
        <w:spacing w:after="0"/>
        <w:rPr>
          <w:szCs w:val="20"/>
          <w:u w:val="single"/>
        </w:rPr>
      </w:pPr>
      <w:r w:rsidRPr="00960A2B">
        <w:rPr>
          <w:szCs w:val="20"/>
          <w:u w:val="single"/>
        </w:rPr>
        <w:t>NCWM 202</w:t>
      </w:r>
      <w:r>
        <w:rPr>
          <w:szCs w:val="20"/>
          <w:u w:val="single"/>
        </w:rPr>
        <w:t>6</w:t>
      </w:r>
      <w:r w:rsidRPr="00960A2B">
        <w:rPr>
          <w:szCs w:val="20"/>
          <w:u w:val="single"/>
        </w:rPr>
        <w:t xml:space="preserve"> Interim:</w:t>
      </w:r>
      <w:r w:rsidR="0083028D" w:rsidRPr="00BA7232">
        <w:rPr>
          <w:szCs w:val="20"/>
        </w:rPr>
        <w:t xml:space="preserve"> </w:t>
      </w:r>
      <w:r w:rsidR="00BA7232">
        <w:rPr>
          <w:szCs w:val="20"/>
        </w:rPr>
        <w:t xml:space="preserve">Based on comments from the Arkansas </w:t>
      </w:r>
      <w:r w:rsidR="001B29F9" w:rsidRPr="00FD3A16">
        <w:rPr>
          <w:szCs w:val="20"/>
        </w:rPr>
        <w:t>w</w:t>
      </w:r>
      <w:r w:rsidR="00BA7232" w:rsidRPr="001B29F9">
        <w:rPr>
          <w:szCs w:val="20"/>
        </w:rPr>
        <w:t xml:space="preserve">eights and </w:t>
      </w:r>
      <w:r w:rsidR="001B29F9" w:rsidRPr="00FD3A16">
        <w:rPr>
          <w:szCs w:val="20"/>
        </w:rPr>
        <w:t>m</w:t>
      </w:r>
      <w:r w:rsidR="00BA7232" w:rsidRPr="001B29F9">
        <w:rPr>
          <w:szCs w:val="20"/>
        </w:rPr>
        <w:t xml:space="preserve">easures </w:t>
      </w:r>
      <w:r w:rsidR="002C1468" w:rsidRPr="001B29F9">
        <w:rPr>
          <w:szCs w:val="20"/>
        </w:rPr>
        <w:t>official</w:t>
      </w:r>
      <w:r w:rsidR="00BA7232">
        <w:rPr>
          <w:szCs w:val="20"/>
        </w:rPr>
        <w:t xml:space="preserve"> the </w:t>
      </w:r>
      <w:r w:rsidR="0083028D" w:rsidRPr="00BA7232">
        <w:rPr>
          <w:szCs w:val="20"/>
        </w:rPr>
        <w:t xml:space="preserve">Committee deleted the map from the original proposal and </w:t>
      </w:r>
      <w:r w:rsidR="00E26033" w:rsidRPr="00BA7232">
        <w:rPr>
          <w:szCs w:val="20"/>
        </w:rPr>
        <w:t>added a section directing readers to where the summary of adoption by states can be found.</w:t>
      </w:r>
      <w:r w:rsidR="00363D73" w:rsidRPr="00BA7232">
        <w:rPr>
          <w:szCs w:val="20"/>
        </w:rPr>
        <w:t xml:space="preserve">  The Committee also amended the item to reflect the editorial changes</w:t>
      </w:r>
      <w:r w:rsidR="00BA7868">
        <w:rPr>
          <w:szCs w:val="20"/>
        </w:rPr>
        <w:t xml:space="preserve"> in the new Sectio</w:t>
      </w:r>
      <w:r w:rsidR="00BA7868" w:rsidRPr="00BA7868">
        <w:rPr>
          <w:szCs w:val="20"/>
        </w:rPr>
        <w:t>n 6</w:t>
      </w:r>
      <w:r w:rsidR="00BA7868">
        <w:rPr>
          <w:szCs w:val="20"/>
        </w:rPr>
        <w:t xml:space="preserve"> as</w:t>
      </w:r>
      <w:r w:rsidR="00363D73" w:rsidRPr="00BA7232">
        <w:rPr>
          <w:szCs w:val="20"/>
        </w:rPr>
        <w:t xml:space="preserve"> suggested by NIST OWM</w:t>
      </w:r>
      <w:r w:rsidR="00E30CBC">
        <w:rPr>
          <w:szCs w:val="20"/>
        </w:rPr>
        <w:t xml:space="preserve">; some of the language </w:t>
      </w:r>
      <w:r w:rsidR="00EA0ACE">
        <w:rPr>
          <w:szCs w:val="20"/>
        </w:rPr>
        <w:t>shown</w:t>
      </w:r>
      <w:r w:rsidR="00E30CBC">
        <w:rPr>
          <w:szCs w:val="20"/>
        </w:rPr>
        <w:t xml:space="preserve"> in the item wasn’t the original</w:t>
      </w:r>
      <w:r w:rsidR="00A156D6">
        <w:rPr>
          <w:szCs w:val="20"/>
        </w:rPr>
        <w:t xml:space="preserve"> or current </w:t>
      </w:r>
      <w:r w:rsidR="00E30CBC">
        <w:rPr>
          <w:szCs w:val="20"/>
        </w:rPr>
        <w:t>language in HB 130</w:t>
      </w:r>
      <w:r w:rsidR="00AB7226">
        <w:rPr>
          <w:szCs w:val="20"/>
        </w:rPr>
        <w:t>.</w:t>
      </w:r>
      <w:r w:rsidR="00363D73" w:rsidRPr="00BA7232">
        <w:rPr>
          <w:szCs w:val="20"/>
        </w:rPr>
        <w:t xml:space="preserve"> The Committee believes this item is fully developed and </w:t>
      </w:r>
      <w:r w:rsidR="0064623D">
        <w:rPr>
          <w:szCs w:val="20"/>
        </w:rPr>
        <w:t>has moved t</w:t>
      </w:r>
      <w:r w:rsidR="00FB656D">
        <w:rPr>
          <w:szCs w:val="20"/>
        </w:rPr>
        <w:t>his</w:t>
      </w:r>
      <w:r w:rsidR="0064623D">
        <w:rPr>
          <w:szCs w:val="20"/>
        </w:rPr>
        <w:t xml:space="preserve"> </w:t>
      </w:r>
      <w:r w:rsidR="00BA7232">
        <w:rPr>
          <w:szCs w:val="20"/>
        </w:rPr>
        <w:t xml:space="preserve">forward for </w:t>
      </w:r>
      <w:r w:rsidR="00363D73" w:rsidRPr="00BA7232">
        <w:rPr>
          <w:szCs w:val="20"/>
        </w:rPr>
        <w:t>Voting.</w:t>
      </w:r>
    </w:p>
    <w:p w14:paraId="0C706137" w14:textId="77777777" w:rsidR="00BA7232" w:rsidRPr="00BA7232" w:rsidRDefault="00BA7232" w:rsidP="00BA7232">
      <w:pPr>
        <w:keepNext/>
        <w:keepLines/>
        <w:spacing w:after="0"/>
        <w:rPr>
          <w:szCs w:val="20"/>
          <w:u w:val="single"/>
        </w:rPr>
      </w:pPr>
    </w:p>
    <w:p w14:paraId="04F2F432" w14:textId="77777777" w:rsidR="00E34C39" w:rsidRDefault="00E34C39" w:rsidP="00E34C39">
      <w:pPr>
        <w:spacing w:after="0"/>
        <w:rPr>
          <w:b/>
        </w:rPr>
      </w:pPr>
      <w:r>
        <w:rPr>
          <w:b/>
        </w:rPr>
        <w:t>Regional Associations’ Comments:</w:t>
      </w:r>
    </w:p>
    <w:p w14:paraId="778EE0E0" w14:textId="77777777" w:rsidR="00E34C39" w:rsidRDefault="00E34C39" w:rsidP="00E34C39">
      <w:pPr>
        <w:rPr>
          <w:bCs/>
        </w:rPr>
      </w:pPr>
      <w:r>
        <w:rPr>
          <w:bCs/>
        </w:rPr>
        <w:t>New Proposal</w:t>
      </w:r>
    </w:p>
    <w:p w14:paraId="5833B02C" w14:textId="62A7B137" w:rsidR="003179B2" w:rsidRPr="007B2872" w:rsidRDefault="00C8190C" w:rsidP="007B2872">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7C60387D" w14:textId="3A0BAA35" w:rsidR="00C8190C" w:rsidRPr="00A43BF4" w:rsidRDefault="003179B2" w:rsidP="007B2872">
      <w:pPr>
        <w:rPr>
          <w:rFonts w:eastAsia="Times New Roman"/>
          <w:szCs w:val="24"/>
        </w:rPr>
      </w:pPr>
      <w:r w:rsidRPr="003179B2">
        <w:rPr>
          <w:rFonts w:eastAsia="Times New Roman"/>
          <w:szCs w:val="24"/>
        </w:rPr>
        <w:t>No comments or status recommendation.</w:t>
      </w:r>
    </w:p>
    <w:p w14:paraId="12641E68" w14:textId="381E5324" w:rsidR="00C8190C" w:rsidRDefault="00C8190C" w:rsidP="00C8190C">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A60E61">
        <w:rPr>
          <w:rFonts w:eastAsia="Times New Roman"/>
          <w:szCs w:val="24"/>
          <w:u w:val="single"/>
        </w:rPr>
        <w:t>Interim</w:t>
      </w:r>
      <w:r w:rsidRPr="0051426D">
        <w:rPr>
          <w:rFonts w:eastAsia="Times New Roman"/>
          <w:szCs w:val="24"/>
          <w:u w:val="single"/>
        </w:rPr>
        <w:t xml:space="preserve"> Meeting:</w:t>
      </w:r>
    </w:p>
    <w:p w14:paraId="3A128900" w14:textId="4E7861B1" w:rsidR="00F95698" w:rsidRPr="00F95698" w:rsidRDefault="00F95698" w:rsidP="007B2872">
      <w:pPr>
        <w:rPr>
          <w:rFonts w:eastAsia="Times New Roman"/>
          <w:szCs w:val="24"/>
        </w:rPr>
      </w:pPr>
      <w:r>
        <w:rPr>
          <w:rFonts w:eastAsia="Times New Roman"/>
          <w:szCs w:val="24"/>
        </w:rPr>
        <w:t xml:space="preserve">Two regulators recommended </w:t>
      </w:r>
      <w:r w:rsidR="000A74C9">
        <w:rPr>
          <w:rFonts w:eastAsia="Times New Roman"/>
          <w:szCs w:val="24"/>
        </w:rPr>
        <w:t>developing</w:t>
      </w:r>
      <w:r>
        <w:rPr>
          <w:rFonts w:eastAsia="Times New Roman"/>
          <w:szCs w:val="24"/>
        </w:rPr>
        <w:t xml:space="preserve"> this item.  It was suggested to receive input from more stakeholders.</w:t>
      </w:r>
      <w:r>
        <w:rPr>
          <w:rFonts w:eastAsia="Times New Roman"/>
          <w:szCs w:val="24"/>
          <w:u w:val="single"/>
        </w:rPr>
        <w:br/>
      </w:r>
      <w:r w:rsidRPr="00F95698">
        <w:rPr>
          <w:rFonts w:eastAsia="Times New Roman"/>
          <w:szCs w:val="24"/>
        </w:rPr>
        <w:t xml:space="preserve">The CWMA L&amp;R Committee recommends a developing status for this item. </w:t>
      </w:r>
    </w:p>
    <w:p w14:paraId="3A40BACC" w14:textId="557C2A95" w:rsidR="003179B2" w:rsidRDefault="00C8190C" w:rsidP="00C8190C">
      <w:pPr>
        <w:jc w:val="left"/>
        <w:rPr>
          <w:u w:val="single"/>
        </w:rPr>
      </w:pPr>
      <w:r w:rsidRPr="006C7BFB">
        <w:rPr>
          <w:u w:val="single"/>
        </w:rPr>
        <w:t>NEWMA 202</w:t>
      </w:r>
      <w:r>
        <w:rPr>
          <w:u w:val="single"/>
        </w:rPr>
        <w:t>5</w:t>
      </w:r>
      <w:r w:rsidRPr="006C7BFB">
        <w:rPr>
          <w:u w:val="single"/>
        </w:rPr>
        <w:t xml:space="preserve"> Interim Meeting:</w:t>
      </w:r>
    </w:p>
    <w:p w14:paraId="023AE8E3" w14:textId="77777777" w:rsidR="006E03A8" w:rsidRDefault="003179B2" w:rsidP="007B2872">
      <w:pPr>
        <w:jc w:val="left"/>
        <w:rPr>
          <w:rFonts w:eastAsia="Times New Roman"/>
          <w:szCs w:val="24"/>
        </w:rPr>
      </w:pPr>
      <w:r w:rsidRPr="003179B2">
        <w:rPr>
          <w:rFonts w:eastAsia="Times New Roman"/>
          <w:szCs w:val="24"/>
        </w:rPr>
        <w:t>No comments or status recommendation.</w:t>
      </w:r>
    </w:p>
    <w:p w14:paraId="32C460E7" w14:textId="213ED33F" w:rsidR="00514242" w:rsidRPr="003179B2" w:rsidRDefault="00C8190C" w:rsidP="007B2872">
      <w:pPr>
        <w:jc w:val="left"/>
        <w:rPr>
          <w:rFonts w:eastAsia="Times New Roman"/>
          <w:szCs w:val="24"/>
        </w:rPr>
      </w:pPr>
      <w:r>
        <w:rPr>
          <w:u w:val="single"/>
        </w:rPr>
        <w:br/>
        <w:t>S</w:t>
      </w:r>
      <w:r w:rsidRPr="00EF1ACC">
        <w:rPr>
          <w:u w:val="single"/>
        </w:rPr>
        <w:t>WMA 202</w:t>
      </w:r>
      <w:r>
        <w:rPr>
          <w:u w:val="single"/>
        </w:rPr>
        <w:t>5</w:t>
      </w:r>
      <w:r w:rsidRPr="00EF1ACC">
        <w:rPr>
          <w:u w:val="single"/>
        </w:rPr>
        <w:t xml:space="preserve"> </w:t>
      </w:r>
      <w:r w:rsidR="00A60E61">
        <w:rPr>
          <w:u w:val="single"/>
        </w:rPr>
        <w:t>Annual</w:t>
      </w:r>
      <w:r w:rsidRPr="00EF1ACC">
        <w:rPr>
          <w:u w:val="single"/>
        </w:rPr>
        <w:t xml:space="preserve"> Meeting</w:t>
      </w:r>
      <w:r>
        <w:rPr>
          <w:u w:val="single"/>
        </w:rPr>
        <w:t>:</w:t>
      </w:r>
    </w:p>
    <w:p w14:paraId="12008E09" w14:textId="19B1D1C4" w:rsidR="00514242" w:rsidRDefault="00514242" w:rsidP="007B2872">
      <w:pPr>
        <w:rPr>
          <w:rFonts w:eastAsia="Times New Roman"/>
          <w:szCs w:val="24"/>
        </w:rPr>
      </w:pPr>
      <w:r>
        <w:rPr>
          <w:rFonts w:eastAsia="Times New Roman"/>
          <w:szCs w:val="24"/>
        </w:rPr>
        <w:t xml:space="preserve">Mr. Tory Brewer with the state of West Virginia recommends this item </w:t>
      </w:r>
      <w:r w:rsidRPr="00102A19">
        <w:rPr>
          <w:rFonts w:eastAsia="Times New Roman"/>
          <w:szCs w:val="24"/>
        </w:rPr>
        <w:t>be given Informational status</w:t>
      </w:r>
      <w:r w:rsidR="007B2872">
        <w:rPr>
          <w:rFonts w:eastAsia="Times New Roman"/>
          <w:szCs w:val="24"/>
        </w:rPr>
        <w:t>.</w:t>
      </w:r>
      <w:r>
        <w:rPr>
          <w:rFonts w:eastAsia="Times New Roman"/>
          <w:szCs w:val="24"/>
        </w:rPr>
        <w:t xml:space="preserve"> </w:t>
      </w:r>
    </w:p>
    <w:p w14:paraId="05DDA232" w14:textId="43179E19" w:rsidR="00514242" w:rsidRDefault="00514242" w:rsidP="007B2872">
      <w:pPr>
        <w:rPr>
          <w:rFonts w:eastAsia="Times New Roman"/>
          <w:szCs w:val="24"/>
        </w:rPr>
      </w:pPr>
      <w:r>
        <w:rPr>
          <w:rFonts w:eastAsia="Times New Roman"/>
          <w:szCs w:val="24"/>
        </w:rPr>
        <w:t xml:space="preserve">Mr. Mauricio Mejia, with the state of Florida, echoes West Virginia’s comments.  </w:t>
      </w:r>
    </w:p>
    <w:p w14:paraId="34609213" w14:textId="1BB2BFD4" w:rsidR="00514242" w:rsidRPr="00514242" w:rsidRDefault="00514242" w:rsidP="007B2872">
      <w:pPr>
        <w:rPr>
          <w:rFonts w:eastAsia="Times New Roman"/>
          <w:szCs w:val="24"/>
        </w:rPr>
      </w:pPr>
      <w:r>
        <w:rPr>
          <w:rFonts w:eastAsia="Times New Roman"/>
          <w:szCs w:val="24"/>
        </w:rPr>
        <w:t>The Committee admitted this item during open hearings and opened it for comments though it was not in the Laws &amp; Regulations Committees agenda.   The Committee recommends this item be added to the table of contents and therefore agenda at NCWM interim and recommends an Informational Status based on the comments received on the floor.</w:t>
      </w:r>
    </w:p>
    <w:p w14:paraId="28D36436" w14:textId="3F55F2DA" w:rsidR="00E34C39" w:rsidRPr="00E34C39" w:rsidRDefault="00E34C39" w:rsidP="00E34C39">
      <w:r>
        <w:t xml:space="preserve">Additional letters, </w:t>
      </w:r>
      <w:proofErr w:type="gramStart"/>
      <w:r>
        <w:t>presentation</w:t>
      </w:r>
      <w:proofErr w:type="gramEnd"/>
      <w:r>
        <w:t xml:space="preserve"> and data may have been submitted for consideration with this item.  Please refer to </w:t>
      </w:r>
      <w:hyperlink r:id="rId34" w:history="1">
        <w:r>
          <w:rPr>
            <w:rStyle w:val="Hyperlink"/>
          </w:rPr>
          <w:t>https://www.ncwm.com/publication-15</w:t>
        </w:r>
      </w:hyperlink>
      <w:r>
        <w:t xml:space="preserve"> to </w:t>
      </w:r>
      <w:proofErr w:type="gramStart"/>
      <w:r>
        <w:t>review these documents.</w:t>
      </w:r>
      <w:proofErr w:type="gramEnd"/>
    </w:p>
    <w:p w14:paraId="085C32B6" w14:textId="362B7A58" w:rsidR="000B7F42" w:rsidRDefault="00AF5611" w:rsidP="000B58AD">
      <w:pPr>
        <w:pStyle w:val="Heading1"/>
      </w:pPr>
      <w:bookmarkStart w:id="125" w:name="_Toc224019620"/>
      <w:r>
        <w:t>FLR – Uniform Fuels and Automotive Lubricants Regulation</w:t>
      </w:r>
      <w:bookmarkEnd w:id="125"/>
    </w:p>
    <w:p w14:paraId="106B5F14" w14:textId="22ECCE1A" w:rsidR="005178E0" w:rsidRDefault="0048725E" w:rsidP="005178E0">
      <w:pPr>
        <w:pStyle w:val="ItemHeading"/>
      </w:pPr>
      <w:bookmarkStart w:id="126" w:name="_Toc224019621"/>
      <w:r>
        <w:t>FLR-26.1</w:t>
      </w:r>
      <w:r>
        <w:tab/>
      </w:r>
      <w:r w:rsidR="007F6E65">
        <w:t>A</w:t>
      </w:r>
      <w:r>
        <w:tab/>
      </w:r>
      <w:r w:rsidR="003945B6">
        <w:t>7.2. Reproducibility Limits</w:t>
      </w:r>
      <w:bookmarkEnd w:id="126"/>
    </w:p>
    <w:p w14:paraId="5207962C" w14:textId="77777777" w:rsidR="00612085" w:rsidRPr="00E025F9" w:rsidRDefault="00612085" w:rsidP="00612085">
      <w:pPr>
        <w:spacing w:after="0"/>
        <w:rPr>
          <w:b/>
        </w:rPr>
      </w:pPr>
      <w:r w:rsidRPr="00E025F9">
        <w:rPr>
          <w:b/>
        </w:rPr>
        <w:t>Source:</w:t>
      </w:r>
    </w:p>
    <w:p w14:paraId="081907E1" w14:textId="480EA8F3" w:rsidR="00612085" w:rsidRPr="00C8190C" w:rsidRDefault="00DA3F68" w:rsidP="00C8190C">
      <w:r w:rsidRPr="00C8190C">
        <w:t xml:space="preserve">Colorado Division of </w:t>
      </w:r>
      <w:r w:rsidR="00E868A8" w:rsidRPr="00C8190C">
        <w:t>Oil and Public Safety</w:t>
      </w:r>
    </w:p>
    <w:p w14:paraId="434FF9D0" w14:textId="77777777" w:rsidR="00612085" w:rsidRPr="00E025F9" w:rsidRDefault="00612085" w:rsidP="00612085">
      <w:pPr>
        <w:spacing w:after="0"/>
        <w:rPr>
          <w:b/>
        </w:rPr>
      </w:pPr>
      <w:r w:rsidRPr="00E025F9">
        <w:rPr>
          <w:b/>
        </w:rPr>
        <w:t>Purpose:</w:t>
      </w:r>
    </w:p>
    <w:p w14:paraId="6E2F6771" w14:textId="7C6B016D" w:rsidR="00612085" w:rsidRPr="00C8190C" w:rsidRDefault="0078074E" w:rsidP="00C8190C">
      <w:r w:rsidRPr="00C8190C">
        <w:t>This proposal aims to clarify section 7.2.5. – Enforcement Action in the Uniform Fuels Regulation to address misleading and inadequate language from 2008.</w:t>
      </w:r>
    </w:p>
    <w:p w14:paraId="2BA053D0" w14:textId="77777777" w:rsidR="00612085" w:rsidRPr="00E025F9" w:rsidRDefault="00612085" w:rsidP="00612085">
      <w:pPr>
        <w:spacing w:after="0"/>
        <w:rPr>
          <w:b/>
        </w:rPr>
      </w:pPr>
      <w:r w:rsidRPr="00E025F9">
        <w:rPr>
          <w:b/>
        </w:rPr>
        <w:t>Item under Consideration:</w:t>
      </w:r>
    </w:p>
    <w:p w14:paraId="40BC0C7B" w14:textId="5430D2B2" w:rsidR="00612085" w:rsidRDefault="003D5197" w:rsidP="00612085">
      <w:r>
        <w:t xml:space="preserve">Amend NIST Handbook 130 Uniform </w:t>
      </w:r>
      <w:r w:rsidR="00207D4B">
        <w:t xml:space="preserve">Fuels and Automotive Lubricants Regulation as follows: </w:t>
      </w:r>
    </w:p>
    <w:p w14:paraId="4ECC58FE" w14:textId="77777777" w:rsidR="00165A81" w:rsidRPr="00A55B21" w:rsidRDefault="00165A81" w:rsidP="00165A81">
      <w:pPr>
        <w:ind w:left="360"/>
        <w:rPr>
          <w:szCs w:val="20"/>
        </w:rPr>
      </w:pPr>
      <w:bookmarkStart w:id="127" w:name="_Toc135041530"/>
      <w:bookmarkStart w:id="128" w:name="_Toc174106180"/>
      <w:bookmarkStart w:id="129" w:name="_Toc174106415"/>
      <w:bookmarkStart w:id="130" w:name="_Toc178174148"/>
      <w:r w:rsidRPr="00A55B21">
        <w:rPr>
          <w:szCs w:val="20"/>
        </w:rPr>
        <w:lastRenderedPageBreak/>
        <w:t>7.2. Reproducibility Limits.</w:t>
      </w:r>
      <w:bookmarkEnd w:id="127"/>
      <w:bookmarkEnd w:id="128"/>
      <w:bookmarkEnd w:id="129"/>
      <w:bookmarkEnd w:id="130"/>
    </w:p>
    <w:p w14:paraId="107EEFC1" w14:textId="77777777" w:rsidR="00165A81" w:rsidRPr="00A55B21" w:rsidRDefault="00165A81" w:rsidP="00712C69">
      <w:pPr>
        <w:keepNext/>
        <w:keepLines/>
        <w:ind w:left="720"/>
        <w:rPr>
          <w:vanish/>
          <w:szCs w:val="20"/>
          <w:specVanish/>
        </w:rPr>
      </w:pPr>
      <w:bookmarkStart w:id="131" w:name="_Toc135041531"/>
      <w:bookmarkStart w:id="132" w:name="_Toc174106181"/>
      <w:bookmarkStart w:id="133" w:name="_Toc174106416"/>
      <w:bookmarkStart w:id="134" w:name="_Toc178174149"/>
      <w:r w:rsidRPr="00A55B21">
        <w:rPr>
          <w:szCs w:val="20"/>
        </w:rPr>
        <w:t>7.2.1. AKI Limits.</w:t>
      </w:r>
      <w:bookmarkEnd w:id="131"/>
      <w:bookmarkEnd w:id="132"/>
      <w:bookmarkEnd w:id="133"/>
      <w:bookmarkEnd w:id="134"/>
    </w:p>
    <w:p w14:paraId="70C06CAB" w14:textId="77777777" w:rsidR="00165A81" w:rsidRPr="00A55B21" w:rsidRDefault="00165A81" w:rsidP="00712C69">
      <w:pPr>
        <w:keepNext/>
        <w:keepLines/>
        <w:ind w:left="720"/>
        <w:rPr>
          <w:szCs w:val="20"/>
        </w:rPr>
      </w:pPr>
      <w:r w:rsidRPr="00A55B21">
        <w:rPr>
          <w:szCs w:val="20"/>
        </w:rPr>
        <w:t xml:space="preserve"> – When determining the antiknock index</w:t>
      </w:r>
      <w:r w:rsidRPr="00A55B21">
        <w:rPr>
          <w:szCs w:val="20"/>
        </w:rPr>
        <w:fldChar w:fldCharType="begin"/>
      </w:r>
      <w:r w:rsidRPr="00A55B21">
        <w:rPr>
          <w:szCs w:val="20"/>
        </w:rPr>
        <w:instrText>xe "Antiknock index"</w:instrText>
      </w:r>
      <w:r w:rsidRPr="00A55B21">
        <w:rPr>
          <w:szCs w:val="20"/>
        </w:rPr>
        <w:fldChar w:fldCharType="end"/>
      </w:r>
      <w:r w:rsidRPr="00A55B21">
        <w:rPr>
          <w:szCs w:val="20"/>
        </w:rPr>
        <w:t xml:space="preserve"> (AKI) </w:t>
      </w:r>
      <w:r w:rsidRPr="00A55B21">
        <w:rPr>
          <w:szCs w:val="20"/>
        </w:rPr>
        <w:fldChar w:fldCharType="begin"/>
      </w:r>
      <w:r w:rsidRPr="00A55B21">
        <w:rPr>
          <w:szCs w:val="20"/>
        </w:rPr>
        <w:instrText xml:space="preserve"> XE "Fuels:Reproducibility limits" </w:instrText>
      </w:r>
      <w:r w:rsidRPr="00A55B21">
        <w:rPr>
          <w:szCs w:val="20"/>
        </w:rPr>
        <w:fldChar w:fldCharType="end"/>
      </w:r>
      <w:r w:rsidRPr="00A55B21">
        <w:rPr>
          <w:szCs w:val="20"/>
        </w:rPr>
        <w:fldChar w:fldCharType="begin"/>
      </w:r>
      <w:r w:rsidRPr="00A55B21">
        <w:rPr>
          <w:szCs w:val="20"/>
        </w:rPr>
        <w:instrText xml:space="preserve"> XE "Fuels:AKI limits" </w:instrText>
      </w:r>
      <w:r w:rsidRPr="00A55B21">
        <w:rPr>
          <w:szCs w:val="20"/>
        </w:rPr>
        <w:fldChar w:fldCharType="end"/>
      </w:r>
      <w:r w:rsidRPr="00A55B21">
        <w:rPr>
          <w:szCs w:val="20"/>
        </w:rPr>
        <w:t>acceptance or rejection of a gasoline sample, the AKI reproducibility limits as outlined in the latest version of ASTM D4814, “Standard Specification for Automotive Spark-Ignition Engine Fuel,” Appendix X1 shall be acknowledged for enforcement purposes.</w:t>
      </w:r>
    </w:p>
    <w:p w14:paraId="2115C6BF" w14:textId="77777777" w:rsidR="00165A81" w:rsidRPr="00A55B21" w:rsidRDefault="00165A81" w:rsidP="00165A81">
      <w:pPr>
        <w:ind w:left="720"/>
        <w:rPr>
          <w:vanish/>
          <w:szCs w:val="20"/>
          <w:specVanish/>
        </w:rPr>
      </w:pPr>
      <w:bookmarkStart w:id="135" w:name="_Toc135041532"/>
      <w:bookmarkStart w:id="136" w:name="_Toc174106182"/>
      <w:bookmarkStart w:id="137" w:name="_Toc174106417"/>
      <w:bookmarkStart w:id="138" w:name="_Toc178174150"/>
      <w:r w:rsidRPr="00A55B21">
        <w:rPr>
          <w:szCs w:val="20"/>
        </w:rPr>
        <w:t>7.2.2. Reproducibility.</w:t>
      </w:r>
      <w:bookmarkEnd w:id="135"/>
      <w:bookmarkEnd w:id="136"/>
      <w:bookmarkEnd w:id="137"/>
      <w:bookmarkEnd w:id="138"/>
    </w:p>
    <w:p w14:paraId="5B765325" w14:textId="77777777" w:rsidR="00165A81" w:rsidRPr="00A55B21" w:rsidRDefault="00165A81" w:rsidP="00165A81">
      <w:pPr>
        <w:spacing w:after="0"/>
        <w:ind w:left="720"/>
        <w:rPr>
          <w:szCs w:val="20"/>
          <w:u w:val="single"/>
        </w:rPr>
      </w:pPr>
      <w:r w:rsidRPr="00A55B21">
        <w:rPr>
          <w:szCs w:val="20"/>
        </w:rPr>
        <w:t xml:space="preserve"> </w:t>
      </w:r>
      <w:r w:rsidRPr="00A55B21">
        <w:rPr>
          <w:bCs/>
          <w:szCs w:val="20"/>
        </w:rPr>
        <w:t>–</w:t>
      </w:r>
      <w:r w:rsidRPr="00A55B21">
        <w:rPr>
          <w:szCs w:val="20"/>
        </w:rPr>
        <w:t xml:space="preserve"> The reproducibility limits of the standard test method used for each test performed shall be acknowledged for enforcement purposes, except as indicated in Section 2.2.1. Premium Diesel Fuel and Section 7.2.1. AKI Limits.  No allowance shall be made for the precision of the test methods for aviation gasoline or aviation turbine fuels.</w:t>
      </w:r>
    </w:p>
    <w:p w14:paraId="65609066" w14:textId="77777777" w:rsidR="00165A81" w:rsidRDefault="00165A81" w:rsidP="00165A81">
      <w:pPr>
        <w:ind w:left="720"/>
        <w:rPr>
          <w:szCs w:val="20"/>
        </w:rPr>
      </w:pPr>
      <w:r w:rsidRPr="00A55B21">
        <w:rPr>
          <w:szCs w:val="20"/>
        </w:rPr>
        <w:t>(Amended 2008)</w:t>
      </w:r>
    </w:p>
    <w:p w14:paraId="449090B7" w14:textId="77777777" w:rsidR="00165A81" w:rsidRDefault="00165A81" w:rsidP="00165A81">
      <w:pPr>
        <w:spacing w:after="0"/>
        <w:ind w:left="1080"/>
        <w:rPr>
          <w:b/>
          <w:bCs/>
          <w:szCs w:val="20"/>
          <w:u w:val="single"/>
        </w:rPr>
      </w:pPr>
      <w:r w:rsidRPr="004869A7">
        <w:rPr>
          <w:b/>
          <w:bCs/>
          <w:szCs w:val="20"/>
          <w:u w:val="single"/>
        </w:rPr>
        <w:t xml:space="preserve">7.2.2.1 Enforcement Action. - To avoid the exploitation of a test method's reproducibility limits by any regulated party, the Director may initiate enforcement action when several independent test results, of the same product sampled from the same source location at different times, are exceeding legal limits (such as specification values, posted values, certified values, or registered values). </w:t>
      </w:r>
    </w:p>
    <w:p w14:paraId="790C9963" w14:textId="77777777" w:rsidR="00165A81" w:rsidRPr="004869A7" w:rsidRDefault="00165A81" w:rsidP="00165A81">
      <w:pPr>
        <w:ind w:left="1080"/>
        <w:rPr>
          <w:szCs w:val="20"/>
        </w:rPr>
      </w:pPr>
      <w:r w:rsidRPr="004869A7">
        <w:rPr>
          <w:b/>
          <w:bCs/>
          <w:szCs w:val="20"/>
          <w:u w:val="single"/>
        </w:rPr>
        <w:t>(Added 202X).</w:t>
      </w:r>
    </w:p>
    <w:p w14:paraId="73657428" w14:textId="77777777" w:rsidR="00165A81" w:rsidRPr="00A55B21" w:rsidRDefault="00165A81" w:rsidP="00165A81">
      <w:pPr>
        <w:ind w:left="720"/>
        <w:rPr>
          <w:vanish/>
          <w:szCs w:val="20"/>
          <w:specVanish/>
        </w:rPr>
      </w:pPr>
      <w:bookmarkStart w:id="139" w:name="_Toc135041533"/>
      <w:bookmarkStart w:id="140" w:name="_Toc174106183"/>
      <w:bookmarkStart w:id="141" w:name="_Toc174106418"/>
      <w:bookmarkStart w:id="142" w:name="_Toc178174151"/>
      <w:r w:rsidRPr="00A55B21">
        <w:rPr>
          <w:szCs w:val="20"/>
        </w:rPr>
        <w:t>7.2.3. SAE Viscosity Grades for Engine Oils.</w:t>
      </w:r>
      <w:bookmarkEnd w:id="139"/>
      <w:bookmarkEnd w:id="140"/>
      <w:bookmarkEnd w:id="141"/>
      <w:bookmarkEnd w:id="142"/>
    </w:p>
    <w:p w14:paraId="162612DA" w14:textId="77777777" w:rsidR="00165A81" w:rsidRPr="00A55B21" w:rsidRDefault="00165A81" w:rsidP="00165A81">
      <w:pPr>
        <w:spacing w:after="0"/>
        <w:ind w:left="720"/>
        <w:rPr>
          <w:bCs/>
          <w:szCs w:val="20"/>
        </w:rPr>
      </w:pPr>
      <w:r w:rsidRPr="00A55B21">
        <w:rPr>
          <w:bCs/>
          <w:szCs w:val="20"/>
        </w:rPr>
        <w:t xml:space="preserve"> – With the exception of the low-temperature cranking viscosity, all values required to define SAE Viscosity Grades, as defined in the latest version of SAE J300, “Engine Oil Viscosity Classification”, are critical specifications as defined by the latest version of ASTM D3244, “Standard Practice for Utilization of Test Data to Determine Conformance with Specifications”.</w:t>
      </w:r>
    </w:p>
    <w:p w14:paraId="4DADF376" w14:textId="77777777" w:rsidR="00165A81" w:rsidRPr="00A55B21" w:rsidRDefault="00165A81" w:rsidP="00165A81">
      <w:pPr>
        <w:ind w:left="720"/>
        <w:rPr>
          <w:szCs w:val="20"/>
        </w:rPr>
      </w:pPr>
      <w:r w:rsidRPr="00A55B21">
        <w:rPr>
          <w:szCs w:val="20"/>
        </w:rPr>
        <w:t>(Added 2008) (Amended 2021)</w:t>
      </w:r>
    </w:p>
    <w:p w14:paraId="2561CD89" w14:textId="77777777" w:rsidR="00165A81" w:rsidRPr="00A55B21" w:rsidRDefault="00165A81" w:rsidP="00165A81">
      <w:pPr>
        <w:ind w:left="720"/>
        <w:rPr>
          <w:iCs/>
          <w:vanish/>
          <w:szCs w:val="20"/>
          <w:specVanish/>
        </w:rPr>
      </w:pPr>
      <w:bookmarkStart w:id="143" w:name="_Toc135041534"/>
      <w:bookmarkStart w:id="144" w:name="_Toc174106184"/>
      <w:bookmarkStart w:id="145" w:name="_Toc174106419"/>
      <w:bookmarkStart w:id="146" w:name="_Toc178174152"/>
      <w:r w:rsidRPr="00A55B21">
        <w:rPr>
          <w:szCs w:val="20"/>
        </w:rPr>
        <w:t>7.2.4. Dispute Resolution.</w:t>
      </w:r>
      <w:bookmarkEnd w:id="143"/>
      <w:bookmarkEnd w:id="144"/>
      <w:bookmarkEnd w:id="145"/>
      <w:bookmarkEnd w:id="146"/>
    </w:p>
    <w:p w14:paraId="3416C82D" w14:textId="77777777" w:rsidR="00165A81" w:rsidRPr="00A55B21" w:rsidRDefault="00165A81" w:rsidP="00165A81">
      <w:pPr>
        <w:ind w:left="720"/>
        <w:rPr>
          <w:bCs/>
          <w:szCs w:val="20"/>
        </w:rPr>
      </w:pPr>
      <w:r w:rsidRPr="00A55B21">
        <w:rPr>
          <w:bCs/>
          <w:szCs w:val="20"/>
        </w:rPr>
        <w:t xml:space="preserve"> – In the event of a dispute over a reported test value, the guidelines presented in the latest version of ASTM D3244, “Standard</w:t>
      </w:r>
      <w:r w:rsidRPr="00A55B21">
        <w:rPr>
          <w:bCs/>
          <w:szCs w:val="20"/>
        </w:rPr>
        <w:fldChar w:fldCharType="begin"/>
      </w:r>
      <w:r w:rsidRPr="00A55B21">
        <w:rPr>
          <w:bCs/>
          <w:szCs w:val="20"/>
        </w:rPr>
        <w:instrText>xe "Standard"</w:instrText>
      </w:r>
      <w:r w:rsidRPr="00A55B21">
        <w:rPr>
          <w:bCs/>
          <w:szCs w:val="20"/>
        </w:rPr>
        <w:fldChar w:fldCharType="end"/>
      </w:r>
      <w:r w:rsidRPr="00A55B21">
        <w:rPr>
          <w:bCs/>
          <w:szCs w:val="20"/>
        </w:rPr>
        <w:t xml:space="preserve"> Practice for Utilization of Test Data to Determine Conformance with Specifications</w:t>
      </w:r>
      <w:r w:rsidRPr="00A55B21">
        <w:rPr>
          <w:bCs/>
          <w:szCs w:val="20"/>
        </w:rPr>
        <w:fldChar w:fldCharType="begin"/>
      </w:r>
      <w:r w:rsidRPr="00A55B21">
        <w:rPr>
          <w:bCs/>
          <w:szCs w:val="20"/>
        </w:rPr>
        <w:instrText>xe "Specifications"</w:instrText>
      </w:r>
      <w:r w:rsidRPr="00A55B21">
        <w:rPr>
          <w:bCs/>
          <w:szCs w:val="20"/>
        </w:rPr>
        <w:fldChar w:fldCharType="end"/>
      </w:r>
      <w:r w:rsidRPr="00A55B21">
        <w:rPr>
          <w:bCs/>
          <w:szCs w:val="20"/>
        </w:rPr>
        <w:t>,” shall be used to determine the acceptance or rejection of the sample.</w:t>
      </w:r>
    </w:p>
    <w:p w14:paraId="690A4428" w14:textId="77777777" w:rsidR="00165A81" w:rsidRPr="00A55B21" w:rsidRDefault="00165A81" w:rsidP="00165A81">
      <w:pPr>
        <w:ind w:left="720"/>
        <w:rPr>
          <w:b/>
          <w:bCs/>
          <w:strike/>
          <w:vanish/>
          <w:szCs w:val="20"/>
          <w:specVanish/>
        </w:rPr>
      </w:pPr>
      <w:bookmarkStart w:id="147" w:name="_Toc135041535"/>
      <w:bookmarkStart w:id="148" w:name="_Toc174106185"/>
      <w:bookmarkStart w:id="149" w:name="_Toc174106420"/>
      <w:bookmarkStart w:id="150" w:name="_Toc178174153"/>
      <w:r w:rsidRPr="004869A7">
        <w:rPr>
          <w:b/>
          <w:bCs/>
          <w:strike/>
          <w:szCs w:val="20"/>
        </w:rPr>
        <w:t>7.2.5. Additional</w:t>
      </w:r>
      <w:r w:rsidRPr="00A55B21">
        <w:rPr>
          <w:b/>
          <w:bCs/>
          <w:strike/>
          <w:szCs w:val="20"/>
        </w:rPr>
        <w:t xml:space="preserve"> Enforcement Action.</w:t>
      </w:r>
      <w:bookmarkEnd w:id="147"/>
      <w:bookmarkEnd w:id="148"/>
      <w:bookmarkEnd w:id="149"/>
      <w:bookmarkEnd w:id="150"/>
    </w:p>
    <w:p w14:paraId="49E59C41" w14:textId="77777777" w:rsidR="00165A81" w:rsidRDefault="00165A81" w:rsidP="00165A81">
      <w:pPr>
        <w:spacing w:after="0"/>
        <w:rPr>
          <w:b/>
          <w:bCs/>
          <w:strike/>
          <w:szCs w:val="20"/>
        </w:rPr>
      </w:pPr>
      <w:r w:rsidRPr="00A55B21">
        <w:rPr>
          <w:b/>
          <w:bCs/>
          <w:strike/>
          <w:szCs w:val="20"/>
        </w:rPr>
        <w:t xml:space="preserve"> – The Director may initiate </w:t>
      </w:r>
      <w:r w:rsidRPr="00A55B21">
        <w:rPr>
          <w:b/>
          <w:bCs/>
          <w:strike/>
          <w:szCs w:val="20"/>
        </w:rPr>
        <w:fldChar w:fldCharType="begin"/>
      </w:r>
      <w:r w:rsidRPr="00A55B21">
        <w:rPr>
          <w:b/>
          <w:bCs/>
          <w:strike/>
          <w:szCs w:val="20"/>
        </w:rPr>
        <w:instrText xml:space="preserve"> XE "Fuels:Enforcement" </w:instrText>
      </w:r>
      <w:r w:rsidRPr="00A55B21">
        <w:rPr>
          <w:b/>
          <w:bCs/>
          <w:strike/>
          <w:szCs w:val="20"/>
        </w:rPr>
        <w:fldChar w:fldCharType="end"/>
      </w:r>
      <w:r w:rsidRPr="00A55B21">
        <w:rPr>
          <w:b/>
          <w:bCs/>
          <w:strike/>
          <w:szCs w:val="20"/>
        </w:rPr>
        <w:t>enforcement action in the event that, based upon a statistically significant number of samples, the average test result for products sampled from the same source location is greater than the legal maximum or less than the legal minimum limits (specification value), posted values, certified values, or registered values.</w:t>
      </w:r>
    </w:p>
    <w:p w14:paraId="021280E7" w14:textId="08A84EC5" w:rsidR="00207D4B" w:rsidRDefault="00165A81" w:rsidP="00165A81">
      <w:pPr>
        <w:ind w:left="720"/>
      </w:pPr>
      <w:r w:rsidRPr="004869A7">
        <w:rPr>
          <w:b/>
          <w:bCs/>
          <w:strike/>
          <w:szCs w:val="20"/>
        </w:rPr>
        <w:t>(Added 2008) (Amended 2018)</w:t>
      </w:r>
    </w:p>
    <w:p w14:paraId="0937B430" w14:textId="77777777" w:rsidR="00612085" w:rsidRDefault="00612085" w:rsidP="00612085">
      <w:pPr>
        <w:keepNext/>
        <w:spacing w:after="0"/>
      </w:pPr>
      <w:r w:rsidRPr="00E025F9">
        <w:rPr>
          <w:b/>
        </w:rPr>
        <w:t xml:space="preserve">Previous </w:t>
      </w:r>
      <w:r>
        <w:rPr>
          <w:b/>
        </w:rPr>
        <w:t>Status</w:t>
      </w:r>
      <w:r w:rsidRPr="00E025F9">
        <w:rPr>
          <w:b/>
        </w:rPr>
        <w:t>:</w:t>
      </w:r>
    </w:p>
    <w:p w14:paraId="370103B5" w14:textId="33CBAB63" w:rsidR="005F2F22" w:rsidRPr="00217E22" w:rsidRDefault="00BA75F6" w:rsidP="00BA75F6">
      <w:pPr>
        <w:spacing w:after="0"/>
      </w:pPr>
      <w:r w:rsidRPr="00217E22">
        <w:t>New Proposal</w:t>
      </w:r>
      <w:r w:rsidR="005F2F22">
        <w:t xml:space="preserve"> 2026</w:t>
      </w:r>
    </w:p>
    <w:p w14:paraId="57035E37" w14:textId="7D065543" w:rsidR="00612085" w:rsidRPr="00217E22" w:rsidRDefault="00612085" w:rsidP="00BA75F6">
      <w:pPr>
        <w:spacing w:after="0"/>
      </w:pPr>
      <w:r w:rsidRPr="00217E22">
        <w:t xml:space="preserve"> </w:t>
      </w:r>
    </w:p>
    <w:p w14:paraId="37424C82" w14:textId="77777777" w:rsidR="00612085" w:rsidRPr="00217E22" w:rsidRDefault="00612085" w:rsidP="00612085">
      <w:pPr>
        <w:keepNext/>
        <w:spacing w:after="0"/>
        <w:rPr>
          <w:b/>
        </w:rPr>
      </w:pPr>
      <w:r w:rsidRPr="00217E22">
        <w:rPr>
          <w:b/>
        </w:rPr>
        <w:t>Original Justification:</w:t>
      </w:r>
    </w:p>
    <w:p w14:paraId="628C8F9F" w14:textId="77777777" w:rsidR="00217E22" w:rsidRPr="00BF191B" w:rsidRDefault="00217E22" w:rsidP="00BF191B">
      <w:r w:rsidRPr="00BF191B">
        <w:t>Nationwide, all state jurisdictions that are adopting the fuel quality regulations of NIST HB 130 acknowledge reproducibility* limits of</w:t>
      </w:r>
    </w:p>
    <w:p w14:paraId="41FF8F81" w14:textId="77777777" w:rsidR="00217E22" w:rsidRPr="00BF191B" w:rsidRDefault="00217E22" w:rsidP="00BF191B">
      <w:r w:rsidRPr="00BF191B">
        <w:t>analytical test methods for enforcement action purposes.</w:t>
      </w:r>
    </w:p>
    <w:p w14:paraId="04311318" w14:textId="77777777" w:rsidR="00217E22" w:rsidRPr="00BF191B" w:rsidRDefault="00217E22" w:rsidP="00BF191B">
      <w:r w:rsidRPr="00BF191B">
        <w:t>Though these reproducibility limits (R) are acknowledged by these state regulatory agencies authorized to assure fuel quality, the objective and intent for all parties involved is to meet legal requirements, not to exploit the space given between a legal limit and the (acknowledged) reproducibility limit.</w:t>
      </w:r>
    </w:p>
    <w:p w14:paraId="69B64147" w14:textId="77777777" w:rsidR="00217E22" w:rsidRPr="00BF191B" w:rsidRDefault="00217E22" w:rsidP="00BF191B">
      <w:r w:rsidRPr="00BF191B">
        <w:t>With the intent to avoid the exploitation of such R values by any regulated party, section 7.2.5. – Additional Enforcement Action was originally published in 2008 and amended in 2018.</w:t>
      </w:r>
    </w:p>
    <w:p w14:paraId="0FF33E87" w14:textId="77777777" w:rsidR="00217E22" w:rsidRPr="00BF191B" w:rsidRDefault="00217E22" w:rsidP="00BF191B">
      <w:r w:rsidRPr="00BF191B">
        <w:t>The applicable section currently reads:</w:t>
      </w:r>
    </w:p>
    <w:p w14:paraId="01B26C95" w14:textId="77777777" w:rsidR="00217E22" w:rsidRPr="00BF191B" w:rsidRDefault="00217E22" w:rsidP="00712C69">
      <w:pPr>
        <w:keepNext/>
        <w:keepLines/>
      </w:pPr>
      <w:r w:rsidRPr="00BF191B">
        <w:lastRenderedPageBreak/>
        <w:t xml:space="preserve">“7.2.5. Additional Enforcement Action. The Director may initiate enforcement action </w:t>
      </w:r>
      <w:proofErr w:type="gramStart"/>
      <w:r w:rsidRPr="00BF191B">
        <w:t>in the event that</w:t>
      </w:r>
      <w:proofErr w:type="gramEnd"/>
      <w:r w:rsidRPr="00BF191B">
        <w:t>, based upon a statistically significant number of samples, the average test result for</w:t>
      </w:r>
    </w:p>
    <w:p w14:paraId="34FC31B3" w14:textId="77777777" w:rsidR="00217E22" w:rsidRPr="00BF191B" w:rsidRDefault="00217E22" w:rsidP="00712C69">
      <w:pPr>
        <w:keepNext/>
        <w:keepLines/>
      </w:pPr>
      <w:r w:rsidRPr="00BF191B">
        <w:t>products sampled from the same source location is greater than the legal maximum or less than the legal minimum limits (specification value), posted value, certified values, or registered values.”</w:t>
      </w:r>
    </w:p>
    <w:p w14:paraId="4A0B61E4" w14:textId="77777777" w:rsidR="00217E22" w:rsidRPr="00BF191B" w:rsidRDefault="00217E22" w:rsidP="00BF191B">
      <w:r w:rsidRPr="00BF191B">
        <w:t xml:space="preserve">However, the current language insufficiently articulates its intent, and obscures proper approach and conditional parameters. More specifically, the current Enforcement Action language does not articulate that its intent is to address situations where fuel quality characteristics are within reproducibility limits but often outside legal requirements. In addition, the language “the average test result for products sampled from the same source location” can mislead a regulatory agency to average </w:t>
      </w:r>
      <w:proofErr w:type="gramStart"/>
      <w:r w:rsidRPr="00BF191B">
        <w:t>a number of</w:t>
      </w:r>
      <w:proofErr w:type="gramEnd"/>
      <w:r w:rsidRPr="00BF191B">
        <w:t xml:space="preserve"> test results obtained from the same sample specimen**. However, “the average test result” shall be calculated from </w:t>
      </w:r>
      <w:proofErr w:type="gramStart"/>
      <w:r w:rsidRPr="00BF191B">
        <w:t>a number of</w:t>
      </w:r>
      <w:proofErr w:type="gramEnd"/>
      <w:r w:rsidRPr="00BF191B">
        <w:t xml:space="preserve"> independent test results obtained from independent sample specimens, each of which represent the same product, from the same location, sampled at different times. Finally, the word “additional” in the title “Additional Enforcement Action” implies that other enforcement action(s) already took place.</w:t>
      </w:r>
    </w:p>
    <w:p w14:paraId="31B74BB5" w14:textId="77777777" w:rsidR="00217E22" w:rsidRPr="00BF191B" w:rsidRDefault="00217E22" w:rsidP="00BF191B">
      <w:r w:rsidRPr="00BF191B">
        <w:t>However, that won’t be the case because in most scenarios no enforcement actions will have been taken after each individual sampling and testing event, because the regulating agency acknowledged reproducibility limits at the conclusion of each individual sampling and testing event though the single test result exceeded legal limits.</w:t>
      </w:r>
    </w:p>
    <w:p w14:paraId="5FE03D76" w14:textId="77777777" w:rsidR="00217E22" w:rsidRPr="00BF191B" w:rsidRDefault="00217E22" w:rsidP="00BF191B">
      <w:r w:rsidRPr="00BF191B">
        <w:t>When these discrepancies were first brought to the Fuels and Lubricants Subcommittee’s attention during the NCWM Interim Meeting in January of 2025, a focus group*** comprising of 13 diverse stakeholders from fuel industry and regulatory agencies was established. After email correspondence, two virtual meetings and an in-person meeting during the Annual NCWM Meeting in July of 2025, consensus on the following language was reached within the diverse focus group:</w:t>
      </w:r>
    </w:p>
    <w:p w14:paraId="38A2C87C" w14:textId="77777777" w:rsidR="00217E22" w:rsidRPr="00BF191B" w:rsidRDefault="00217E22" w:rsidP="00BF191B">
      <w:r w:rsidRPr="00BF191B">
        <w:t>“To avoid the exploitation of a test method's reproducibility limits by any regulated party, the Director may initiate enforcement action when several independent test results, of the same product sampled from the same source location at different times, are exceeding legal limits (such as specification values, posted values, certified values, or registered values). (Added 202X).”</w:t>
      </w:r>
    </w:p>
    <w:p w14:paraId="57F2171C" w14:textId="77777777" w:rsidR="00217E22" w:rsidRPr="00BF191B" w:rsidRDefault="00217E22" w:rsidP="00BF191B">
      <w:r w:rsidRPr="00BF191B">
        <w:t>Consensus on the title and position within section 7. Test Methods and Reproducibility Limits were also reached by the focus group, and are as follows:</w:t>
      </w:r>
    </w:p>
    <w:p w14:paraId="7D6D73BF" w14:textId="77777777" w:rsidR="00217E22" w:rsidRPr="00BF191B" w:rsidRDefault="00217E22" w:rsidP="00BF191B">
      <w:r w:rsidRPr="00BF191B">
        <w:t>7.2.2.1. Enforcement Action</w:t>
      </w:r>
    </w:p>
    <w:p w14:paraId="6AFE59C6" w14:textId="77777777" w:rsidR="00217E22" w:rsidRPr="00BF191B" w:rsidRDefault="00217E22" w:rsidP="00BF191B">
      <w:r w:rsidRPr="00BF191B">
        <w:t>This title resolves the currently inaccurate title, and the sub-placement of this Enforcement Action regulation as 7.2.2.1 links it directly to its intended scope:</w:t>
      </w:r>
    </w:p>
    <w:p w14:paraId="7DF0D933" w14:textId="77777777" w:rsidR="00217E22" w:rsidRPr="00BF191B" w:rsidRDefault="00217E22" w:rsidP="00BF191B">
      <w:r w:rsidRPr="00BF191B">
        <w:t>Section 7.2.2. Reproducibility.</w:t>
      </w:r>
    </w:p>
    <w:p w14:paraId="1BC981C0" w14:textId="77777777" w:rsidR="00217E22" w:rsidRPr="00BF191B" w:rsidRDefault="00217E22" w:rsidP="00BF191B">
      <w:r w:rsidRPr="00BF191B">
        <w:t>In addition, Section 7.2.4. Dispute Resolution represents a process possibly necessary AFTER enforcement actions were initiated by a regulating agency. Hence, dispute resolutions should conclude Section 7. Test Methods and Reproducibility Limits, instead of end with 7.2.5 Additional Enforcement Action as currently published in HB 130.</w:t>
      </w:r>
    </w:p>
    <w:p w14:paraId="1C835EEB" w14:textId="77777777" w:rsidR="00217E22" w:rsidRPr="00BF191B" w:rsidRDefault="00217E22" w:rsidP="00BF191B">
      <w:r w:rsidRPr="00BF191B">
        <w:t>* Reproducibility (R) of a standard test method is most often defined by the standard organization ASTM as the variability between single analytical test results obtained in different laboratories, each of which has applied the test method to test specimens taken from a single quantity of homogenous material.</w:t>
      </w:r>
    </w:p>
    <w:p w14:paraId="76DD31BD" w14:textId="77777777" w:rsidR="00217E22" w:rsidRPr="00BF191B" w:rsidRDefault="00217E22" w:rsidP="00BF191B">
      <w:r w:rsidRPr="00BF191B">
        <w:t>** A sample specimen is a portion taken from a storage tank, truck, or dispenser, etc., is representative of a larger amount of product, and is used for testing to determine the quality, composition, as well as performance and safety suitability of a fuel product.</w:t>
      </w:r>
    </w:p>
    <w:p w14:paraId="1ECA0DBB" w14:textId="77777777" w:rsidR="00217E22" w:rsidRPr="00BF191B" w:rsidRDefault="00217E22" w:rsidP="00BF191B">
      <w:r w:rsidRPr="00BF191B">
        <w:lastRenderedPageBreak/>
        <w:t>*** Enforcement Action Focus Group members: Kevin Adlaf, Vanessa Benchea, Scott Fenwick, Steven Harrington, Marilyn Herman, Randy Jennings, Russ Lewis, Vernon Miller, Timothy</w:t>
      </w:r>
    </w:p>
    <w:p w14:paraId="057DD99E" w14:textId="487D9254" w:rsidR="00612085" w:rsidRPr="00BF191B" w:rsidRDefault="00217E22" w:rsidP="00BF191B">
      <w:r w:rsidRPr="00BF191B">
        <w:t>Morales, Tamara Paik, Matthew Sheehan, and Jenny Tabbert.</w:t>
      </w:r>
    </w:p>
    <w:p w14:paraId="2F390860" w14:textId="40201AD8" w:rsidR="009148D7" w:rsidRPr="00BF191B" w:rsidRDefault="00FE43CC" w:rsidP="00BF191B">
      <w:r w:rsidRPr="00BF191B">
        <w:t>It is not expected that there will be any opposition as this proposal is simply clarifying language in HB 130.</w:t>
      </w:r>
    </w:p>
    <w:p w14:paraId="5883A338" w14:textId="2B03EA10" w:rsidR="00BA5FBC" w:rsidRPr="00217E22" w:rsidRDefault="006540E5" w:rsidP="00BF191B">
      <w:r w:rsidRPr="00BF191B">
        <w:t>The submitter requested Voting status in 2026.</w:t>
      </w:r>
    </w:p>
    <w:p w14:paraId="48123354" w14:textId="77777777" w:rsidR="00612085" w:rsidRPr="00217E22" w:rsidRDefault="00612085" w:rsidP="00612085">
      <w:pPr>
        <w:keepNext/>
        <w:rPr>
          <w:b/>
        </w:rPr>
      </w:pPr>
      <w:r w:rsidRPr="00217E22">
        <w:rPr>
          <w:b/>
        </w:rPr>
        <w:t>Comments in Favor:</w:t>
      </w:r>
    </w:p>
    <w:p w14:paraId="7D47E871" w14:textId="10F87634" w:rsidR="00612085" w:rsidRPr="00217E22" w:rsidRDefault="0042639E" w:rsidP="00612085">
      <w:pPr>
        <w:keepNext/>
        <w:spacing w:after="0"/>
        <w:ind w:left="720"/>
        <w:rPr>
          <w:b/>
        </w:rPr>
      </w:pPr>
      <w:r>
        <w:rPr>
          <w:b/>
        </w:rPr>
        <w:t>Weights and Measures Officials</w:t>
      </w:r>
      <w:r w:rsidR="00612085" w:rsidRPr="00217E22">
        <w:rPr>
          <w:b/>
        </w:rPr>
        <w:t>:</w:t>
      </w:r>
    </w:p>
    <w:p w14:paraId="4AAD2977" w14:textId="1EBD2A18" w:rsidR="00612085" w:rsidRPr="002A7C3B" w:rsidRDefault="00A72C16" w:rsidP="00612085">
      <w:pPr>
        <w:pStyle w:val="ListParagraph"/>
        <w:numPr>
          <w:ilvl w:val="0"/>
          <w:numId w:val="26"/>
        </w:numPr>
        <w:spacing w:after="0" w:line="259" w:lineRule="auto"/>
        <w:contextualSpacing/>
        <w:jc w:val="left"/>
      </w:pPr>
      <w:r>
        <w:t xml:space="preserve">A </w:t>
      </w:r>
      <w:r w:rsidR="001B29F9" w:rsidRPr="00220D4D">
        <w:t>w</w:t>
      </w:r>
      <w:r w:rsidRPr="00220D4D">
        <w:t xml:space="preserve">eights and </w:t>
      </w:r>
      <w:r w:rsidR="001B29F9" w:rsidRPr="00220D4D">
        <w:t>m</w:t>
      </w:r>
      <w:r w:rsidRPr="00220D4D">
        <w:t xml:space="preserve">easures </w:t>
      </w:r>
      <w:r w:rsidR="006D4A31" w:rsidRPr="00220D4D">
        <w:t>official</w:t>
      </w:r>
      <w:r w:rsidRPr="00220D4D">
        <w:t xml:space="preserve"> representing</w:t>
      </w:r>
      <w:r>
        <w:t xml:space="preserve"> Colorado stated that the item is fully developed and recommended Voting status.</w:t>
      </w:r>
    </w:p>
    <w:p w14:paraId="701CA227" w14:textId="6E18A587" w:rsidR="00612085" w:rsidRPr="002A7C3B" w:rsidRDefault="00612085" w:rsidP="00612085">
      <w:pPr>
        <w:spacing w:before="240" w:after="0"/>
        <w:ind w:left="720"/>
        <w:rPr>
          <w:b/>
        </w:rPr>
      </w:pPr>
      <w:r w:rsidRPr="002A7C3B">
        <w:rPr>
          <w:b/>
        </w:rPr>
        <w:t>Industry:</w:t>
      </w:r>
    </w:p>
    <w:p w14:paraId="1585AFE7" w14:textId="0950F148" w:rsidR="00612085" w:rsidRDefault="00161010" w:rsidP="00612085">
      <w:pPr>
        <w:pStyle w:val="ListParagraph"/>
        <w:numPr>
          <w:ilvl w:val="0"/>
          <w:numId w:val="26"/>
        </w:numPr>
        <w:spacing w:after="0" w:line="259" w:lineRule="auto"/>
        <w:contextualSpacing/>
        <w:jc w:val="left"/>
      </w:pPr>
      <w:r>
        <w:t>None</w:t>
      </w:r>
    </w:p>
    <w:p w14:paraId="2FA6838D" w14:textId="77777777" w:rsidR="00C15922" w:rsidRPr="002A7C3B" w:rsidRDefault="00C15922" w:rsidP="00C15922">
      <w:pPr>
        <w:pStyle w:val="ListParagraph"/>
        <w:spacing w:after="0" w:line="259" w:lineRule="auto"/>
        <w:ind w:left="1080"/>
        <w:contextualSpacing/>
        <w:jc w:val="left"/>
      </w:pPr>
    </w:p>
    <w:p w14:paraId="2950D5D1" w14:textId="1A99019F" w:rsidR="00612085" w:rsidRDefault="00612085" w:rsidP="00C15922">
      <w:pPr>
        <w:spacing w:after="0"/>
        <w:ind w:firstLine="720"/>
        <w:rPr>
          <w:b/>
        </w:rPr>
      </w:pPr>
      <w:r w:rsidRPr="002A7C3B">
        <w:rPr>
          <w:b/>
        </w:rPr>
        <w:t>Advisory:</w:t>
      </w:r>
    </w:p>
    <w:p w14:paraId="64B949BE" w14:textId="7DACC134" w:rsidR="00161010" w:rsidRPr="00265606" w:rsidRDefault="001B3FB3" w:rsidP="00B530E4">
      <w:pPr>
        <w:pStyle w:val="ListParagraph"/>
        <w:numPr>
          <w:ilvl w:val="0"/>
          <w:numId w:val="26"/>
        </w:numPr>
        <w:spacing w:after="0"/>
        <w:rPr>
          <w:bCs/>
        </w:rPr>
      </w:pPr>
      <w:r w:rsidRPr="00B530E4">
        <w:rPr>
          <w:bCs/>
        </w:rPr>
        <w:t>None</w:t>
      </w:r>
    </w:p>
    <w:p w14:paraId="1D276C8C" w14:textId="77777777" w:rsidR="00612085" w:rsidRPr="002A7C3B" w:rsidRDefault="00612085" w:rsidP="00612085">
      <w:pPr>
        <w:spacing w:before="240"/>
        <w:rPr>
          <w:b/>
        </w:rPr>
      </w:pPr>
      <w:r>
        <w:rPr>
          <w:b/>
        </w:rPr>
        <w:t>Comments</w:t>
      </w:r>
      <w:r w:rsidRPr="002A7C3B">
        <w:rPr>
          <w:b/>
        </w:rPr>
        <w:t xml:space="preserve"> Against:</w:t>
      </w:r>
    </w:p>
    <w:p w14:paraId="0C7C047D" w14:textId="47A73D01" w:rsidR="00612085" w:rsidRPr="002A7C3B" w:rsidRDefault="0042639E" w:rsidP="00612085">
      <w:pPr>
        <w:spacing w:after="0"/>
        <w:ind w:left="720"/>
        <w:rPr>
          <w:b/>
        </w:rPr>
      </w:pPr>
      <w:r>
        <w:rPr>
          <w:b/>
        </w:rPr>
        <w:t>Weights and Measures Officials</w:t>
      </w:r>
      <w:r w:rsidR="00612085" w:rsidRPr="002A7C3B">
        <w:rPr>
          <w:b/>
        </w:rPr>
        <w:t>:</w:t>
      </w:r>
    </w:p>
    <w:p w14:paraId="0CC4E9C8" w14:textId="4D21A049" w:rsidR="00612085" w:rsidRPr="002A7C3B" w:rsidRDefault="00265606" w:rsidP="00612085">
      <w:pPr>
        <w:pStyle w:val="ListParagraph"/>
        <w:numPr>
          <w:ilvl w:val="0"/>
          <w:numId w:val="27"/>
        </w:numPr>
        <w:spacing w:after="0" w:line="259" w:lineRule="auto"/>
        <w:contextualSpacing/>
        <w:jc w:val="left"/>
      </w:pPr>
      <w:r>
        <w:t>None</w:t>
      </w:r>
    </w:p>
    <w:p w14:paraId="759E2515" w14:textId="77777777" w:rsidR="00A44005" w:rsidRDefault="00A44005" w:rsidP="00612085">
      <w:pPr>
        <w:spacing w:before="240" w:after="0"/>
        <w:ind w:left="720"/>
        <w:rPr>
          <w:b/>
        </w:rPr>
      </w:pPr>
    </w:p>
    <w:p w14:paraId="7949643C" w14:textId="6F2B9272" w:rsidR="00612085" w:rsidRPr="002A7C3B" w:rsidRDefault="00612085" w:rsidP="00612085">
      <w:pPr>
        <w:spacing w:before="240" w:after="0"/>
        <w:ind w:left="720"/>
        <w:rPr>
          <w:b/>
        </w:rPr>
      </w:pPr>
      <w:r w:rsidRPr="002A7C3B">
        <w:rPr>
          <w:b/>
        </w:rPr>
        <w:t>Industry:</w:t>
      </w:r>
    </w:p>
    <w:p w14:paraId="0F97560C" w14:textId="10119C40" w:rsidR="00612085" w:rsidRPr="002A7C3B" w:rsidRDefault="00265606" w:rsidP="00612085">
      <w:pPr>
        <w:pStyle w:val="ListParagraph"/>
        <w:numPr>
          <w:ilvl w:val="0"/>
          <w:numId w:val="27"/>
        </w:numPr>
        <w:spacing w:after="0" w:line="259" w:lineRule="auto"/>
        <w:contextualSpacing/>
        <w:jc w:val="left"/>
      </w:pPr>
      <w:r>
        <w:t>None</w:t>
      </w:r>
    </w:p>
    <w:p w14:paraId="3BCCD4C4" w14:textId="77777777" w:rsidR="00612085" w:rsidRPr="00AC5B86" w:rsidRDefault="00612085" w:rsidP="00612085">
      <w:pPr>
        <w:spacing w:before="240" w:after="0"/>
        <w:ind w:left="720"/>
        <w:rPr>
          <w:b/>
        </w:rPr>
      </w:pPr>
      <w:r w:rsidRPr="002A7C3B">
        <w:rPr>
          <w:b/>
        </w:rPr>
        <w:t>Advisory:</w:t>
      </w:r>
    </w:p>
    <w:p w14:paraId="3C0B24D7" w14:textId="744387B1" w:rsidR="00612085" w:rsidRDefault="00265606" w:rsidP="00612085">
      <w:pPr>
        <w:pStyle w:val="ListParagraph"/>
        <w:numPr>
          <w:ilvl w:val="0"/>
          <w:numId w:val="27"/>
        </w:numPr>
        <w:spacing w:after="0" w:line="259" w:lineRule="auto"/>
        <w:contextualSpacing/>
        <w:jc w:val="left"/>
      </w:pPr>
      <w:r>
        <w:t>None</w:t>
      </w:r>
    </w:p>
    <w:p w14:paraId="12912A71" w14:textId="77777777" w:rsidR="00612085" w:rsidRPr="002A7C3B" w:rsidRDefault="00612085" w:rsidP="00612085">
      <w:pPr>
        <w:spacing w:before="240"/>
        <w:rPr>
          <w:b/>
        </w:rPr>
      </w:pPr>
      <w:r>
        <w:rPr>
          <w:b/>
        </w:rPr>
        <w:t>Neutral Comments</w:t>
      </w:r>
      <w:r w:rsidRPr="002A7C3B">
        <w:rPr>
          <w:b/>
        </w:rPr>
        <w:t>:</w:t>
      </w:r>
    </w:p>
    <w:p w14:paraId="6615FED3" w14:textId="75DC1A70" w:rsidR="00612085" w:rsidRPr="002A7C3B" w:rsidRDefault="0042639E" w:rsidP="00612085">
      <w:pPr>
        <w:spacing w:after="0"/>
        <w:ind w:left="720"/>
        <w:rPr>
          <w:b/>
        </w:rPr>
      </w:pPr>
      <w:r>
        <w:rPr>
          <w:b/>
        </w:rPr>
        <w:t>Weights and Measures Officials</w:t>
      </w:r>
      <w:r w:rsidR="00612085" w:rsidRPr="002A7C3B">
        <w:rPr>
          <w:b/>
        </w:rPr>
        <w:t>:</w:t>
      </w:r>
    </w:p>
    <w:p w14:paraId="74DDD352" w14:textId="7FD9ED09" w:rsidR="00612085" w:rsidRPr="002A7C3B" w:rsidRDefault="00265606" w:rsidP="00612085">
      <w:pPr>
        <w:pStyle w:val="ListParagraph"/>
        <w:numPr>
          <w:ilvl w:val="0"/>
          <w:numId w:val="27"/>
        </w:numPr>
        <w:spacing w:after="0" w:line="259" w:lineRule="auto"/>
        <w:contextualSpacing/>
        <w:jc w:val="left"/>
      </w:pPr>
      <w:r>
        <w:t>None</w:t>
      </w:r>
    </w:p>
    <w:p w14:paraId="7D00D57D" w14:textId="77777777" w:rsidR="00612085" w:rsidRPr="002A7C3B" w:rsidRDefault="00612085" w:rsidP="00612085">
      <w:pPr>
        <w:spacing w:before="240" w:after="0"/>
        <w:ind w:left="720"/>
        <w:rPr>
          <w:b/>
        </w:rPr>
      </w:pPr>
      <w:r w:rsidRPr="002A7C3B">
        <w:rPr>
          <w:b/>
        </w:rPr>
        <w:t>Industry:</w:t>
      </w:r>
    </w:p>
    <w:p w14:paraId="240B2169" w14:textId="593D056C" w:rsidR="00612085" w:rsidRPr="002A7C3B" w:rsidRDefault="002B5C50" w:rsidP="00612085">
      <w:pPr>
        <w:pStyle w:val="ListParagraph"/>
        <w:numPr>
          <w:ilvl w:val="0"/>
          <w:numId w:val="27"/>
        </w:numPr>
        <w:spacing w:after="0" w:line="259" w:lineRule="auto"/>
        <w:contextualSpacing/>
        <w:jc w:val="left"/>
      </w:pPr>
      <w:r>
        <w:t xml:space="preserve">None </w:t>
      </w:r>
    </w:p>
    <w:p w14:paraId="5A0D7C81" w14:textId="77777777" w:rsidR="00612085" w:rsidRPr="002A7C3B" w:rsidRDefault="00612085" w:rsidP="00612085">
      <w:pPr>
        <w:spacing w:before="240" w:after="0"/>
        <w:ind w:left="720"/>
        <w:rPr>
          <w:b/>
        </w:rPr>
      </w:pPr>
      <w:r w:rsidRPr="002A7C3B">
        <w:rPr>
          <w:b/>
        </w:rPr>
        <w:t>Advisory:</w:t>
      </w:r>
    </w:p>
    <w:p w14:paraId="526E4604" w14:textId="72822949" w:rsidR="00612085" w:rsidRDefault="002B5C50" w:rsidP="00612085">
      <w:pPr>
        <w:pStyle w:val="ListParagraph"/>
        <w:numPr>
          <w:ilvl w:val="0"/>
          <w:numId w:val="27"/>
        </w:numPr>
        <w:spacing w:after="0" w:line="259" w:lineRule="auto"/>
        <w:contextualSpacing/>
        <w:jc w:val="left"/>
      </w:pPr>
      <w:r>
        <w:t>The FALS Chair requested that the item be assigned to FALS for further development.</w:t>
      </w:r>
    </w:p>
    <w:p w14:paraId="6B80E988" w14:textId="77777777" w:rsidR="00612085" w:rsidRPr="00E025F9" w:rsidRDefault="00612085" w:rsidP="00612085">
      <w:pPr>
        <w:spacing w:before="240" w:after="0"/>
        <w:rPr>
          <w:b/>
        </w:rPr>
      </w:pPr>
      <w:r w:rsidRPr="002A7C3B">
        <w:rPr>
          <w:b/>
        </w:rPr>
        <w:t>Item Develop</w:t>
      </w:r>
      <w:r w:rsidRPr="00E025F9">
        <w:rPr>
          <w:b/>
        </w:rPr>
        <w:t>ment:</w:t>
      </w:r>
    </w:p>
    <w:p w14:paraId="4B8BFDB1" w14:textId="6FDF9B02" w:rsidR="00612085" w:rsidRDefault="000835DD" w:rsidP="00612085">
      <w:r>
        <w:t>New Proposal</w:t>
      </w:r>
    </w:p>
    <w:p w14:paraId="0BEAD5D9" w14:textId="33BC13F6" w:rsidR="00232A7C" w:rsidRDefault="00232A7C" w:rsidP="00346B96">
      <w:pPr>
        <w:keepNext/>
        <w:keepLines/>
        <w:rPr>
          <w:szCs w:val="20"/>
          <w:u w:val="single"/>
        </w:rPr>
      </w:pPr>
      <w:r w:rsidRPr="00960A2B">
        <w:rPr>
          <w:szCs w:val="20"/>
          <w:u w:val="single"/>
        </w:rPr>
        <w:lastRenderedPageBreak/>
        <w:t>NCWM 202</w:t>
      </w:r>
      <w:r>
        <w:rPr>
          <w:szCs w:val="20"/>
          <w:u w:val="single"/>
        </w:rPr>
        <w:t>6</w:t>
      </w:r>
      <w:r w:rsidRPr="00960A2B">
        <w:rPr>
          <w:szCs w:val="20"/>
          <w:u w:val="single"/>
        </w:rPr>
        <w:t xml:space="preserve"> Interim</w:t>
      </w:r>
      <w:proofErr w:type="gramStart"/>
      <w:r w:rsidRPr="00960A2B">
        <w:rPr>
          <w:szCs w:val="20"/>
          <w:u w:val="single"/>
        </w:rPr>
        <w:t>:</w:t>
      </w:r>
      <w:r w:rsidRPr="00C15922">
        <w:rPr>
          <w:szCs w:val="20"/>
        </w:rPr>
        <w:t xml:space="preserve">  The</w:t>
      </w:r>
      <w:proofErr w:type="gramEnd"/>
      <w:r w:rsidRPr="00C15922">
        <w:rPr>
          <w:szCs w:val="20"/>
        </w:rPr>
        <w:t xml:space="preserve"> Committee assigned this item to FALS</w:t>
      </w:r>
      <w:r w:rsidR="00C15922">
        <w:rPr>
          <w:szCs w:val="20"/>
        </w:rPr>
        <w:t xml:space="preserve"> for further development</w:t>
      </w:r>
      <w:r w:rsidRPr="00C15922">
        <w:rPr>
          <w:szCs w:val="20"/>
        </w:rPr>
        <w:t>.</w:t>
      </w:r>
    </w:p>
    <w:p w14:paraId="54904FBC" w14:textId="77777777" w:rsidR="00612085" w:rsidRPr="00E025F9" w:rsidRDefault="00612085" w:rsidP="00346B96">
      <w:pPr>
        <w:keepNext/>
        <w:rPr>
          <w:b/>
        </w:rPr>
      </w:pPr>
      <w:r w:rsidRPr="00E025F9">
        <w:rPr>
          <w:b/>
        </w:rPr>
        <w:t>Regional Associations’ Comments:</w:t>
      </w:r>
    </w:p>
    <w:p w14:paraId="0824E2E4" w14:textId="036596AE" w:rsidR="00B55C17" w:rsidRDefault="00B6288F" w:rsidP="00346B96">
      <w:pPr>
        <w:keepNext/>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69DAF0DF" w14:textId="25626C71" w:rsidR="007F2EE6" w:rsidRDefault="007F2EE6" w:rsidP="007B2872">
      <w:pPr>
        <w:rPr>
          <w:rFonts w:eastAsia="Times New Roman"/>
          <w:szCs w:val="24"/>
        </w:rPr>
      </w:pPr>
      <w:r>
        <w:rPr>
          <w:rFonts w:eastAsia="Times New Roman"/>
          <w:szCs w:val="24"/>
        </w:rPr>
        <w:t>The WWMA L&amp;R Committee Chair Mr. Scott Wagner recused himself from the L&amp;R working session for this item as he represents the submitter of this item.</w:t>
      </w:r>
    </w:p>
    <w:p w14:paraId="2A69B283" w14:textId="7D4F6F03" w:rsidR="007F2EE6" w:rsidRDefault="007F2EE6" w:rsidP="007B2872">
      <w:pPr>
        <w:rPr>
          <w:rFonts w:eastAsia="Times New Roman"/>
          <w:szCs w:val="24"/>
        </w:rPr>
      </w:pPr>
      <w:r w:rsidRPr="006963C8">
        <w:rPr>
          <w:rFonts w:eastAsia="Times New Roman"/>
          <w:szCs w:val="24"/>
        </w:rPr>
        <w:t>Mr. Mahesh Albuquerque (Colorado Division of Oil and Public Safety)</w:t>
      </w:r>
      <w:r>
        <w:rPr>
          <w:rFonts w:eastAsia="Times New Roman"/>
          <w:szCs w:val="24"/>
        </w:rPr>
        <w:t xml:space="preserve"> stated that </w:t>
      </w:r>
      <w:r w:rsidRPr="00A02345">
        <w:rPr>
          <w:rFonts w:eastAsia="Times New Roman"/>
          <w:szCs w:val="24"/>
        </w:rPr>
        <w:t>Dr. Jenny Tabbert (Colorado)</w:t>
      </w:r>
      <w:r>
        <w:rPr>
          <w:rFonts w:eastAsia="Times New Roman"/>
          <w:szCs w:val="24"/>
        </w:rPr>
        <w:t xml:space="preserve"> submitted this item and considers it a cleanup item which has been vetted by a focus group with FALS.</w:t>
      </w:r>
    </w:p>
    <w:p w14:paraId="6BF19A5D" w14:textId="33984E4C" w:rsidR="007F2EE6" w:rsidRDefault="007F2EE6" w:rsidP="007B2872">
      <w:pPr>
        <w:rPr>
          <w:rFonts w:eastAsia="Times New Roman"/>
          <w:szCs w:val="24"/>
        </w:rPr>
      </w:pPr>
      <w:r>
        <w:rPr>
          <w:rFonts w:eastAsia="Times New Roman"/>
          <w:szCs w:val="24"/>
        </w:rPr>
        <w:t>Mr. Matt Douglas (Representing the WWMA L&amp;R Committee) asked a clarifying question regarding the omission of language regarding “…less than the legal minimum limits...” which appears in the current language but not in the proposal.</w:t>
      </w:r>
    </w:p>
    <w:p w14:paraId="75A63D96" w14:textId="612BA079" w:rsidR="007F2EE6" w:rsidRDefault="007F2EE6" w:rsidP="007B2872">
      <w:pPr>
        <w:rPr>
          <w:rFonts w:eastAsia="Times New Roman"/>
          <w:szCs w:val="24"/>
        </w:rPr>
      </w:pPr>
      <w:r>
        <w:rPr>
          <w:rFonts w:eastAsia="Times New Roman"/>
          <w:szCs w:val="24"/>
        </w:rPr>
        <w:t xml:space="preserve">Mr. Randy Jennings (Vice Chair for FALS – temporarily performing the duties of the FALS Chair) responded to Mr. Douglas clarifying that the word “exceeding” is intended to be inclusive of “above” or “below” the legal limits. Mr. Jennings then provided comments that he was a participant in the </w:t>
      </w:r>
      <w:r w:rsidRPr="0062461D">
        <w:rPr>
          <w:rFonts w:eastAsia="Times New Roman"/>
          <w:szCs w:val="24"/>
        </w:rPr>
        <w:t>7.2 Reproducibility Limits Focus Group</w:t>
      </w:r>
      <w:r>
        <w:rPr>
          <w:rFonts w:eastAsia="Times New Roman"/>
          <w:szCs w:val="24"/>
        </w:rPr>
        <w:t xml:space="preserve"> which held several meetings in the development of the proposed language. The Focus Group supports the </w:t>
      </w:r>
      <w:proofErr w:type="gramStart"/>
      <w:r>
        <w:rPr>
          <w:rFonts w:eastAsia="Times New Roman"/>
          <w:szCs w:val="24"/>
        </w:rPr>
        <w:t>item</w:t>
      </w:r>
      <w:proofErr w:type="gramEnd"/>
      <w:r>
        <w:rPr>
          <w:rFonts w:eastAsia="Times New Roman"/>
          <w:szCs w:val="24"/>
        </w:rPr>
        <w:t xml:space="preserve"> and it is his intention to meet with FALS after the regional meetings to seek consensus from FALS on this item. Mr. Jennings supported a voting status for this item.</w:t>
      </w:r>
    </w:p>
    <w:p w14:paraId="5884D7AF" w14:textId="692EC990" w:rsidR="007F2EE6" w:rsidRDefault="007F2EE6" w:rsidP="007B2872">
      <w:pPr>
        <w:rPr>
          <w:rFonts w:eastAsia="Times New Roman"/>
          <w:szCs w:val="24"/>
        </w:rPr>
      </w:pPr>
      <w:r>
        <w:rPr>
          <w:rFonts w:eastAsia="Times New Roman"/>
          <w:szCs w:val="24"/>
        </w:rPr>
        <w:t>Mr. Russ Lewis (Marathon Petroleum) stated that the “exceeding” language was reviewed by counsel as part of the development of the item and supported a voting status.</w:t>
      </w:r>
    </w:p>
    <w:p w14:paraId="422DFE69" w14:textId="454C24CE" w:rsidR="007F2EE6" w:rsidRPr="00A43BF4" w:rsidRDefault="007F2EE6" w:rsidP="007B2872">
      <w:pPr>
        <w:rPr>
          <w:rFonts w:eastAsia="Times New Roman"/>
          <w:szCs w:val="24"/>
        </w:rPr>
      </w:pPr>
      <w:r>
        <w:rPr>
          <w:rFonts w:eastAsia="Times New Roman"/>
          <w:szCs w:val="24"/>
        </w:rPr>
        <w:t>Mr. Matt Sheehan (Chevron) and Matt Douglas (California Division of Measurement Standards) also supported a voting status for this item.</w:t>
      </w:r>
    </w:p>
    <w:p w14:paraId="0FFF8513" w14:textId="6E1191A8" w:rsidR="00D641FF" w:rsidRPr="007F2EE6" w:rsidRDefault="007F2EE6" w:rsidP="00B6288F">
      <w:pPr>
        <w:spacing w:after="0"/>
        <w:rPr>
          <w:rFonts w:eastAsia="Times New Roman"/>
          <w:szCs w:val="24"/>
        </w:rPr>
      </w:pPr>
      <w:r>
        <w:rPr>
          <w:rFonts w:eastAsia="Times New Roman"/>
          <w:szCs w:val="24"/>
        </w:rPr>
        <w:t xml:space="preserve">The WWMA L&amp;R Committee recommends </w:t>
      </w:r>
      <w:proofErr w:type="gramStart"/>
      <w:r>
        <w:rPr>
          <w:rFonts w:eastAsia="Times New Roman"/>
          <w:szCs w:val="24"/>
        </w:rPr>
        <w:t>a voting</w:t>
      </w:r>
      <w:proofErr w:type="gramEnd"/>
      <w:r>
        <w:rPr>
          <w:rFonts w:eastAsia="Times New Roman"/>
          <w:szCs w:val="24"/>
        </w:rPr>
        <w:t xml:space="preserve"> status.</w:t>
      </w:r>
    </w:p>
    <w:p w14:paraId="361A3E93" w14:textId="77777777" w:rsidR="007B2C09" w:rsidRDefault="007B2C09" w:rsidP="00FD00AF">
      <w:pPr>
        <w:spacing w:after="0"/>
        <w:rPr>
          <w:rFonts w:eastAsia="Times New Roman"/>
          <w:szCs w:val="24"/>
          <w:u w:val="single"/>
        </w:rPr>
      </w:pPr>
    </w:p>
    <w:p w14:paraId="10302753" w14:textId="6E85AA87" w:rsidR="00B6288F" w:rsidRDefault="00B6288F" w:rsidP="00B6288F">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A60E61">
        <w:rPr>
          <w:rFonts w:eastAsia="Times New Roman"/>
          <w:szCs w:val="24"/>
          <w:u w:val="single"/>
        </w:rPr>
        <w:t>Interim</w:t>
      </w:r>
      <w:r w:rsidRPr="0051426D">
        <w:rPr>
          <w:rFonts w:eastAsia="Times New Roman"/>
          <w:szCs w:val="24"/>
          <w:u w:val="single"/>
        </w:rPr>
        <w:t xml:space="preserve"> Meeting:</w:t>
      </w:r>
    </w:p>
    <w:p w14:paraId="0DAF70C1" w14:textId="073DC25C" w:rsidR="00BC482E" w:rsidRDefault="00A52889" w:rsidP="00B6288F">
      <w:pPr>
        <w:rPr>
          <w:rFonts w:eastAsia="Times New Roman"/>
          <w:szCs w:val="24"/>
        </w:rPr>
      </w:pPr>
      <w:r>
        <w:rPr>
          <w:rFonts w:eastAsia="Times New Roman"/>
          <w:szCs w:val="24"/>
        </w:rPr>
        <w:t>Ron Hayes, Retired, said the new language has become too specific and may change what FALS intended the language to be.</w:t>
      </w:r>
    </w:p>
    <w:p w14:paraId="74980531" w14:textId="53AD5C9C" w:rsidR="00A52889" w:rsidRDefault="00A52889" w:rsidP="00B6288F">
      <w:pPr>
        <w:rPr>
          <w:rFonts w:eastAsia="Times New Roman"/>
          <w:szCs w:val="24"/>
          <w:u w:val="single"/>
        </w:rPr>
      </w:pPr>
      <w:r>
        <w:rPr>
          <w:rFonts w:eastAsia="Times New Roman"/>
          <w:szCs w:val="24"/>
        </w:rPr>
        <w:t xml:space="preserve">The CWMA L&amp;R Committee recommends an informational status for this item. </w:t>
      </w:r>
    </w:p>
    <w:p w14:paraId="51856DBE" w14:textId="77777777" w:rsidR="00033390" w:rsidRDefault="00B6288F" w:rsidP="00B6288F">
      <w:pPr>
        <w:jc w:val="left"/>
        <w:rPr>
          <w:u w:val="single"/>
        </w:rPr>
      </w:pPr>
      <w:r w:rsidRPr="006C7BFB">
        <w:rPr>
          <w:u w:val="single"/>
        </w:rPr>
        <w:t>NEWMA 202</w:t>
      </w:r>
      <w:r>
        <w:rPr>
          <w:u w:val="single"/>
        </w:rPr>
        <w:t>5</w:t>
      </w:r>
      <w:r w:rsidRPr="006C7BFB">
        <w:rPr>
          <w:u w:val="single"/>
        </w:rPr>
        <w:t xml:space="preserve"> Interim Meeting:</w:t>
      </w:r>
    </w:p>
    <w:p w14:paraId="3FCA524D" w14:textId="682E3DCC" w:rsidR="005942C0" w:rsidRDefault="005942C0" w:rsidP="007B2872">
      <w:pPr>
        <w:rPr>
          <w:rFonts w:eastAsia="Times New Roman"/>
          <w:szCs w:val="24"/>
        </w:rPr>
      </w:pPr>
      <w:r>
        <w:rPr>
          <w:rFonts w:eastAsia="Times New Roman"/>
          <w:szCs w:val="24"/>
        </w:rPr>
        <w:t xml:space="preserve">No comments were heard during open hearings.  The committee received a late submission of a supporting document indicating opposition to the item.  The supporting document was not reviewed by the </w:t>
      </w:r>
      <w:r w:rsidR="00E43A79">
        <w:rPr>
          <w:rFonts w:eastAsia="Times New Roman"/>
          <w:szCs w:val="24"/>
        </w:rPr>
        <w:t>committee but</w:t>
      </w:r>
      <w:r>
        <w:rPr>
          <w:rFonts w:eastAsia="Times New Roman"/>
          <w:szCs w:val="24"/>
        </w:rPr>
        <w:t xml:space="preserve"> was subsequently posted to the NEWMA website.</w:t>
      </w:r>
    </w:p>
    <w:p w14:paraId="54CBF8FC" w14:textId="77777777" w:rsidR="007B2872" w:rsidRDefault="005942C0" w:rsidP="007B2872">
      <w:pPr>
        <w:spacing w:before="240"/>
        <w:jc w:val="left"/>
        <w:rPr>
          <w:u w:val="single"/>
        </w:rPr>
      </w:pPr>
      <w:r>
        <w:rPr>
          <w:rFonts w:eastAsia="Times New Roman"/>
          <w:szCs w:val="24"/>
        </w:rPr>
        <w:t>As no comments were heard from the floor and the late supporting documents were not reviewed, the committee did not recommend a status for this item, and the body concurred.</w:t>
      </w:r>
    </w:p>
    <w:p w14:paraId="5F3E6272" w14:textId="1391A0A1" w:rsidR="00A831C4" w:rsidRDefault="00B6288F" w:rsidP="007B2872">
      <w:pPr>
        <w:spacing w:before="240"/>
        <w:jc w:val="left"/>
        <w:rPr>
          <w:u w:val="single"/>
        </w:rPr>
      </w:pPr>
      <w:r>
        <w:rPr>
          <w:u w:val="single"/>
        </w:rPr>
        <w:t>S</w:t>
      </w:r>
      <w:r w:rsidRPr="00EF1ACC">
        <w:rPr>
          <w:u w:val="single"/>
        </w:rPr>
        <w:t>WMA 202</w:t>
      </w:r>
      <w:r>
        <w:rPr>
          <w:u w:val="single"/>
        </w:rPr>
        <w:t>5</w:t>
      </w:r>
      <w:r w:rsidRPr="00EF1ACC">
        <w:rPr>
          <w:u w:val="single"/>
        </w:rPr>
        <w:t xml:space="preserve"> </w:t>
      </w:r>
      <w:r w:rsidR="00A60E61">
        <w:rPr>
          <w:u w:val="single"/>
        </w:rPr>
        <w:t>Annual</w:t>
      </w:r>
      <w:r w:rsidRPr="00EF1ACC">
        <w:rPr>
          <w:u w:val="single"/>
        </w:rPr>
        <w:t xml:space="preserve"> Meeting</w:t>
      </w:r>
      <w:r>
        <w:rPr>
          <w:u w:val="single"/>
        </w:rPr>
        <w:t>:</w:t>
      </w:r>
    </w:p>
    <w:p w14:paraId="4F413F5A" w14:textId="687C02D2" w:rsidR="00A831C4" w:rsidRDefault="00A831C4" w:rsidP="007B2872">
      <w:pPr>
        <w:rPr>
          <w:rFonts w:eastAsia="Times New Roman"/>
          <w:szCs w:val="24"/>
        </w:rPr>
      </w:pPr>
      <w:r>
        <w:rPr>
          <w:rFonts w:eastAsia="Times New Roman"/>
          <w:szCs w:val="24"/>
        </w:rPr>
        <w:t xml:space="preserve">Mr. </w:t>
      </w:r>
      <w:r w:rsidRPr="00BB33A1">
        <w:rPr>
          <w:rFonts w:eastAsia="Times New Roman"/>
          <w:szCs w:val="24"/>
        </w:rPr>
        <w:t>Randy Jennings, Vice-Chair of FALS, also temporarily performing the duties of FALS Chair, and a participant on the 7.2 Reproducibility Limits Focus Group</w:t>
      </w:r>
      <w:r>
        <w:rPr>
          <w:rFonts w:eastAsia="Times New Roman"/>
          <w:szCs w:val="24"/>
        </w:rPr>
        <w:t xml:space="preserve"> commented that the</w:t>
      </w:r>
      <w:r w:rsidRPr="00BB33A1">
        <w:rPr>
          <w:rFonts w:eastAsia="Times New Roman"/>
          <w:szCs w:val="24"/>
        </w:rPr>
        <w:t xml:space="preserve"> Focus group chair Jenny Tabbert, CO, held several virtual meetings this semester that resulted in the development of the language as presented.  The Focus Group Members support the amendment as presented and </w:t>
      </w:r>
      <w:proofErr w:type="gramStart"/>
      <w:r w:rsidRPr="00BB33A1">
        <w:rPr>
          <w:rFonts w:eastAsia="Times New Roman"/>
          <w:szCs w:val="24"/>
        </w:rPr>
        <w:t>recommend</w:t>
      </w:r>
      <w:r>
        <w:rPr>
          <w:rFonts w:eastAsia="Times New Roman"/>
          <w:szCs w:val="24"/>
        </w:rPr>
        <w:t>s</w:t>
      </w:r>
      <w:proofErr w:type="gramEnd"/>
      <w:r w:rsidRPr="00BB33A1">
        <w:rPr>
          <w:rFonts w:eastAsia="Times New Roman"/>
          <w:szCs w:val="24"/>
        </w:rPr>
        <w:t xml:space="preserve"> a Voting Status.  It i</w:t>
      </w:r>
      <w:r>
        <w:rPr>
          <w:rFonts w:eastAsia="Times New Roman"/>
          <w:szCs w:val="24"/>
        </w:rPr>
        <w:t>s Mr. Jennings</w:t>
      </w:r>
      <w:r w:rsidRPr="00BB33A1">
        <w:rPr>
          <w:rFonts w:eastAsia="Times New Roman"/>
          <w:szCs w:val="24"/>
        </w:rPr>
        <w:t xml:space="preserve"> intent to convene a FALS virtual meeting after the Fall Regional meetings and prior to the NCWM Interim.  The aim of this meeting will </w:t>
      </w:r>
      <w:r w:rsidRPr="00BB33A1">
        <w:rPr>
          <w:rFonts w:eastAsia="Times New Roman"/>
          <w:szCs w:val="24"/>
        </w:rPr>
        <w:lastRenderedPageBreak/>
        <w:t xml:space="preserve">be to seek consensus on this item from </w:t>
      </w:r>
      <w:proofErr w:type="gramStart"/>
      <w:r w:rsidRPr="00BB33A1">
        <w:rPr>
          <w:rFonts w:eastAsia="Times New Roman"/>
          <w:szCs w:val="24"/>
        </w:rPr>
        <w:t>FALS as a whole</w:t>
      </w:r>
      <w:proofErr w:type="gramEnd"/>
      <w:r w:rsidRPr="00BB33A1">
        <w:rPr>
          <w:rFonts w:eastAsia="Times New Roman"/>
          <w:szCs w:val="24"/>
        </w:rPr>
        <w:t xml:space="preserve">.  </w:t>
      </w:r>
      <w:proofErr w:type="gramStart"/>
      <w:r w:rsidRPr="00BB33A1">
        <w:rPr>
          <w:rFonts w:eastAsia="Times New Roman"/>
          <w:szCs w:val="24"/>
        </w:rPr>
        <w:t xml:space="preserve">With that being said, </w:t>
      </w:r>
      <w:r>
        <w:rPr>
          <w:rFonts w:eastAsia="Times New Roman"/>
          <w:szCs w:val="24"/>
        </w:rPr>
        <w:t>Mr. Jennings</w:t>
      </w:r>
      <w:proofErr w:type="gramEnd"/>
      <w:r>
        <w:rPr>
          <w:rFonts w:eastAsia="Times New Roman"/>
          <w:szCs w:val="24"/>
        </w:rPr>
        <w:t xml:space="preserve"> commented that they</w:t>
      </w:r>
      <w:r w:rsidRPr="00BB33A1">
        <w:rPr>
          <w:rFonts w:eastAsia="Times New Roman"/>
          <w:szCs w:val="24"/>
        </w:rPr>
        <w:t xml:space="preserve"> have received feedback from one FALS member expressing concerns with the amended language so this will need vetting within FALS and we will report the subcommittee status at the Interim.</w:t>
      </w:r>
    </w:p>
    <w:p w14:paraId="59F98B2B" w14:textId="51241062" w:rsidR="005942C0" w:rsidRPr="005942C0" w:rsidRDefault="00A831C4" w:rsidP="007B2872">
      <w:pPr>
        <w:rPr>
          <w:rFonts w:eastAsia="Times New Roman"/>
          <w:szCs w:val="24"/>
        </w:rPr>
      </w:pPr>
      <w:r>
        <w:rPr>
          <w:rFonts w:eastAsia="Times New Roman"/>
          <w:szCs w:val="24"/>
        </w:rPr>
        <w:t xml:space="preserve">Based on the comments made from the floor the Committee recommends this </w:t>
      </w:r>
      <w:proofErr w:type="gramStart"/>
      <w:r>
        <w:rPr>
          <w:rFonts w:eastAsia="Times New Roman"/>
          <w:szCs w:val="24"/>
        </w:rPr>
        <w:t>item</w:t>
      </w:r>
      <w:proofErr w:type="gramEnd"/>
      <w:r>
        <w:rPr>
          <w:rFonts w:eastAsia="Times New Roman"/>
          <w:szCs w:val="24"/>
        </w:rPr>
        <w:t xml:space="preserve"> an Assigned </w:t>
      </w:r>
      <w:proofErr w:type="gramStart"/>
      <w:r>
        <w:rPr>
          <w:rFonts w:eastAsia="Times New Roman"/>
          <w:szCs w:val="24"/>
        </w:rPr>
        <w:t>status</w:t>
      </w:r>
      <w:proofErr w:type="gramEnd"/>
      <w:r>
        <w:rPr>
          <w:rFonts w:eastAsia="Times New Roman"/>
          <w:szCs w:val="24"/>
        </w:rPr>
        <w:t>.</w:t>
      </w:r>
    </w:p>
    <w:p w14:paraId="199D21B5" w14:textId="28E1EB66" w:rsidR="00A93033" w:rsidRDefault="00612085" w:rsidP="000835DD">
      <w:r>
        <w:t xml:space="preserve">Additional letters, </w:t>
      </w:r>
      <w:r w:rsidR="00E43A79">
        <w:t>presentations</w:t>
      </w:r>
      <w:r>
        <w:t xml:space="preserve"> and data may have been submitted for consideration with this item.  Please refer to </w:t>
      </w:r>
      <w:hyperlink r:id="rId35" w:history="1">
        <w:r w:rsidRPr="002A1164">
          <w:rPr>
            <w:rStyle w:val="Hyperlink"/>
          </w:rPr>
          <w:t>https://www.ncwm.com/publication-15</w:t>
        </w:r>
      </w:hyperlink>
      <w:r>
        <w:t xml:space="preserve"> to </w:t>
      </w:r>
      <w:proofErr w:type="gramStart"/>
      <w:r w:rsidRPr="00E43A79">
        <w:t>review these documents</w:t>
      </w:r>
      <w:r>
        <w:t>.</w:t>
      </w:r>
      <w:proofErr w:type="gramEnd"/>
    </w:p>
    <w:p w14:paraId="3DF65830" w14:textId="563DA6C8" w:rsidR="00DB197E" w:rsidRDefault="00726A96" w:rsidP="00DB197E">
      <w:pPr>
        <w:pStyle w:val="Heading1"/>
      </w:pPr>
      <w:bookmarkStart w:id="151" w:name="_Toc224019622"/>
      <w:r>
        <w:t>ecm</w:t>
      </w:r>
      <w:r w:rsidR="00DB197E" w:rsidRPr="00281428">
        <w:t xml:space="preserve"> – </w:t>
      </w:r>
      <w:r>
        <w:t>uniform e-</w:t>
      </w:r>
      <w:r w:rsidR="001205DB">
        <w:t>commerce regulation</w:t>
      </w:r>
      <w:bookmarkEnd w:id="151"/>
      <w:r w:rsidR="00DB197E" w:rsidRPr="00281428">
        <w:t xml:space="preserve"> </w:t>
      </w:r>
    </w:p>
    <w:p w14:paraId="08E31A13" w14:textId="3739F9D0" w:rsidR="00DB197E" w:rsidRPr="003C355F" w:rsidRDefault="001205DB" w:rsidP="00DB197E">
      <w:pPr>
        <w:pStyle w:val="ItemHeading"/>
      </w:pPr>
      <w:bookmarkStart w:id="152" w:name="_Toc224019623"/>
      <w:bookmarkStart w:id="153" w:name="_Hlk143506855"/>
      <w:bookmarkStart w:id="154" w:name="_Hlk143515249"/>
      <w:r>
        <w:t>ECM-26.1</w:t>
      </w:r>
      <w:r w:rsidR="00DB197E" w:rsidRPr="003C355F">
        <w:tab/>
      </w:r>
      <w:r w:rsidR="007F6E65">
        <w:t>V</w:t>
      </w:r>
      <w:r w:rsidR="00DB197E" w:rsidRPr="003C355F">
        <w:tab/>
      </w:r>
      <w:r w:rsidR="006A47BB">
        <w:t>Section 2. Definitions</w:t>
      </w:r>
      <w:r w:rsidR="00D158CA">
        <w:t xml:space="preserve">, </w:t>
      </w:r>
      <w:r w:rsidR="00973755">
        <w:t>Section 3. Required Declarations for E-commerce Sites Offering Products for Sale</w:t>
      </w:r>
      <w:r w:rsidR="001D0F5C">
        <w:t xml:space="preserve">, </w:t>
      </w:r>
      <w:r w:rsidR="00E057A6">
        <w:t>Section 5</w:t>
      </w:r>
      <w:r w:rsidR="00D22ABA">
        <w:t xml:space="preserve">. Unit Pricing Requirements on E-Commerce Sites for Products Offered </w:t>
      </w:r>
      <w:r w:rsidR="00B851F5">
        <w:t>fo</w:t>
      </w:r>
      <w:r w:rsidR="009720F2">
        <w:t>r</w:t>
      </w:r>
      <w:r w:rsidR="00B851F5">
        <w:t xml:space="preserve"> Sale, </w:t>
      </w:r>
      <w:r w:rsidR="00630825">
        <w:t xml:space="preserve">Section 10. </w:t>
      </w:r>
      <w:r w:rsidR="00931A3B">
        <w:t>Prominence and Placement of Required Information on E-commerce Sites: Offering E-commerce Products for Sale</w:t>
      </w:r>
      <w:bookmarkEnd w:id="152"/>
    </w:p>
    <w:p w14:paraId="0B6BFF6E" w14:textId="77777777" w:rsidR="00DB197E" w:rsidRDefault="00DB197E" w:rsidP="00DB197E">
      <w:pPr>
        <w:spacing w:after="0"/>
      </w:pPr>
    </w:p>
    <w:p w14:paraId="4932DF19" w14:textId="77777777" w:rsidR="00DB197E" w:rsidRPr="00E025F9" w:rsidRDefault="00DB197E" w:rsidP="00DB197E">
      <w:pPr>
        <w:spacing w:after="0"/>
        <w:rPr>
          <w:b/>
        </w:rPr>
      </w:pPr>
      <w:r w:rsidRPr="00E025F9">
        <w:rPr>
          <w:b/>
        </w:rPr>
        <w:t>Source:</w:t>
      </w:r>
    </w:p>
    <w:p w14:paraId="3FA5AE81" w14:textId="5FA046A4" w:rsidR="00DB197E" w:rsidRDefault="00A05496" w:rsidP="00DB197E">
      <w:r>
        <w:t>NIST Office of Weights and Measures</w:t>
      </w:r>
    </w:p>
    <w:p w14:paraId="52245E55" w14:textId="77777777" w:rsidR="00DB197E" w:rsidRPr="00E025F9" w:rsidRDefault="00DB197E" w:rsidP="00DB197E">
      <w:pPr>
        <w:spacing w:after="0"/>
        <w:rPr>
          <w:b/>
        </w:rPr>
      </w:pPr>
      <w:r w:rsidRPr="00E025F9">
        <w:rPr>
          <w:b/>
        </w:rPr>
        <w:t>Purpose:</w:t>
      </w:r>
    </w:p>
    <w:p w14:paraId="5843CA0E" w14:textId="72E51D07" w:rsidR="00DB197E" w:rsidRPr="00F310A4" w:rsidRDefault="00351453" w:rsidP="00F310A4">
      <w:r w:rsidRPr="00F310A4">
        <w:t>Adding unit pricing to e-commerce websites helps shoppers make more informed and cost-effective purchasing decisions by displaying the price per standardized unit of measure, such as per ounce, liter, or count, alongside the total product price. This transparency allows customers to easily compare the value of different product sizes, brands, and package types, ultimately fostering trust in the retailer. By simplifying comparison shopping, unit pricing can improve the user experience, encourage customer loyalty, and support better purchasing choices, while also aligning the platform with consumer protection best practices and potential regulatory requirements.</w:t>
      </w:r>
    </w:p>
    <w:p w14:paraId="45353FF2" w14:textId="77777777" w:rsidR="008277B9" w:rsidRDefault="008277B9" w:rsidP="00DB197E">
      <w:pPr>
        <w:spacing w:after="0"/>
        <w:rPr>
          <w:b/>
        </w:rPr>
      </w:pPr>
    </w:p>
    <w:p w14:paraId="3BAB597F" w14:textId="741ADA4A" w:rsidR="00DB197E" w:rsidRPr="00E025F9" w:rsidRDefault="00DB197E" w:rsidP="00DB197E">
      <w:pPr>
        <w:spacing w:after="0"/>
        <w:rPr>
          <w:b/>
        </w:rPr>
      </w:pPr>
      <w:r w:rsidRPr="00E025F9">
        <w:rPr>
          <w:b/>
        </w:rPr>
        <w:t>Item under Consideration:</w:t>
      </w:r>
    </w:p>
    <w:p w14:paraId="379531E2" w14:textId="130C4BEE" w:rsidR="00DB197E" w:rsidRDefault="001D0F5C" w:rsidP="00DB197E">
      <w:r>
        <w:t xml:space="preserve">Amend the Uniform </w:t>
      </w:r>
      <w:r w:rsidR="007A3298">
        <w:t xml:space="preserve">E-commerce </w:t>
      </w:r>
      <w:r>
        <w:t>Regulation</w:t>
      </w:r>
      <w:r w:rsidR="007A3298">
        <w:t xml:space="preserve"> </w:t>
      </w:r>
      <w:r>
        <w:t>as follows:</w:t>
      </w:r>
    </w:p>
    <w:p w14:paraId="00D6E650" w14:textId="36E7F6F3" w:rsidR="0040195D" w:rsidRDefault="00DF32ED" w:rsidP="001A610A">
      <w:pPr>
        <w:ind w:left="360"/>
        <w:rPr>
          <w:b/>
          <w:bCs/>
        </w:rPr>
      </w:pPr>
      <w:r>
        <w:rPr>
          <w:b/>
          <w:bCs/>
        </w:rPr>
        <w:t>Section 2. Definitions</w:t>
      </w:r>
    </w:p>
    <w:p w14:paraId="61B83275" w14:textId="1218F47E" w:rsidR="001A610A" w:rsidRDefault="001A610A" w:rsidP="001A610A">
      <w:pPr>
        <w:rPr>
          <w:b/>
          <w:bCs/>
        </w:rPr>
      </w:pPr>
      <w:r>
        <w:rPr>
          <w:b/>
          <w:bCs/>
        </w:rPr>
        <w:t>…</w:t>
      </w:r>
    </w:p>
    <w:p w14:paraId="7373F135" w14:textId="77777777" w:rsidR="00A003AF" w:rsidRPr="00D92AF4" w:rsidRDefault="00A003AF" w:rsidP="00A003AF">
      <w:pPr>
        <w:tabs>
          <w:tab w:val="left" w:pos="360"/>
        </w:tabs>
        <w:ind w:left="360"/>
        <w:rPr>
          <w:rFonts w:eastAsia="Times New Roman"/>
          <w:b/>
          <w:iCs/>
          <w:color w:val="000000"/>
          <w:szCs w:val="20"/>
          <w:u w:val="single"/>
        </w:rPr>
      </w:pPr>
      <w:r w:rsidRPr="00D92AF4">
        <w:rPr>
          <w:rFonts w:cs="Arial"/>
          <w:b/>
          <w:bCs/>
          <w:szCs w:val="20"/>
          <w:u w:val="single"/>
        </w:rPr>
        <w:t>2.21</w:t>
      </w:r>
      <w:r w:rsidRPr="00D92AF4">
        <w:rPr>
          <w:rFonts w:cs="Arial"/>
          <w:szCs w:val="20"/>
        </w:rPr>
        <w:t xml:space="preserve">. </w:t>
      </w:r>
      <w:r w:rsidRPr="00D92AF4">
        <w:rPr>
          <w:rFonts w:eastAsia="Times New Roman"/>
          <w:b/>
          <w:iCs/>
          <w:color w:val="000000"/>
          <w:szCs w:val="20"/>
          <w:u w:val="single"/>
        </w:rPr>
        <w:t>Unit Price</w:t>
      </w:r>
      <w:r w:rsidRPr="00D92AF4">
        <w:rPr>
          <w:rFonts w:eastAsia="Times New Roman"/>
          <w:b/>
          <w:i/>
          <w:color w:val="000000"/>
          <w:szCs w:val="20"/>
          <w:u w:val="single"/>
        </w:rPr>
        <w:t xml:space="preserve"> – </w:t>
      </w:r>
      <w:r w:rsidRPr="00D92AF4">
        <w:rPr>
          <w:rFonts w:eastAsia="Times New Roman"/>
          <w:b/>
          <w:iCs/>
          <w:color w:val="000000"/>
          <w:szCs w:val="20"/>
          <w:u w:val="single"/>
        </w:rPr>
        <w:t>A</w:t>
      </w:r>
      <w:r w:rsidRPr="00D92AF4">
        <w:rPr>
          <w:rFonts w:eastAsia="Times New Roman"/>
          <w:b/>
          <w:i/>
          <w:color w:val="000000"/>
          <w:szCs w:val="20"/>
          <w:u w:val="single"/>
        </w:rPr>
        <w:t xml:space="preserve"> </w:t>
      </w:r>
      <w:r w:rsidRPr="00D92AF4">
        <w:rPr>
          <w:rFonts w:eastAsia="Times New Roman"/>
          <w:b/>
          <w:iCs/>
          <w:color w:val="000000"/>
          <w:szCs w:val="20"/>
          <w:u w:val="single"/>
        </w:rPr>
        <w:t>Unit price is the cost per unit of measure of products, such as the cost per milliliter or per ounce.</w:t>
      </w:r>
    </w:p>
    <w:p w14:paraId="41F97158" w14:textId="77777777" w:rsidR="00A003AF" w:rsidRPr="00D92AF4" w:rsidRDefault="00A003AF" w:rsidP="00A003AF">
      <w:pPr>
        <w:tabs>
          <w:tab w:val="left" w:pos="360"/>
          <w:tab w:val="left" w:pos="540"/>
        </w:tabs>
        <w:ind w:left="360"/>
        <w:rPr>
          <w:iCs/>
          <w:color w:val="000000"/>
          <w:szCs w:val="20"/>
        </w:rPr>
      </w:pPr>
      <w:r w:rsidRPr="00D92AF4">
        <w:rPr>
          <w:b/>
          <w:bCs/>
          <w:iCs/>
          <w:color w:val="000000"/>
          <w:szCs w:val="20"/>
        </w:rPr>
        <w:t>(Amended 202X)</w:t>
      </w:r>
    </w:p>
    <w:p w14:paraId="718D06FC" w14:textId="1A752D86" w:rsidR="001A610A" w:rsidRPr="00DF32ED" w:rsidRDefault="00947308" w:rsidP="00947308">
      <w:pPr>
        <w:rPr>
          <w:b/>
          <w:bCs/>
        </w:rPr>
      </w:pPr>
      <w:r>
        <w:rPr>
          <w:b/>
          <w:bCs/>
        </w:rPr>
        <w:t>…</w:t>
      </w:r>
    </w:p>
    <w:p w14:paraId="2782D8E4" w14:textId="77777777" w:rsidR="0040195D" w:rsidRPr="00DF32ED" w:rsidRDefault="0040195D" w:rsidP="00DF32ED">
      <w:pPr>
        <w:ind w:left="360"/>
        <w:rPr>
          <w:b/>
          <w:bCs/>
        </w:rPr>
      </w:pPr>
      <w:bookmarkStart w:id="155" w:name="_Toc178174932"/>
      <w:bookmarkStart w:id="156" w:name="_Toc178174933"/>
      <w:r w:rsidRPr="00DF32ED">
        <w:rPr>
          <w:b/>
          <w:bCs/>
        </w:rPr>
        <w:t>Section 3.  Required Declarations for E-commerce Sites Offering Products for Sale</w:t>
      </w:r>
      <w:bookmarkEnd w:id="155"/>
      <w:r w:rsidRPr="00DF32ED">
        <w:rPr>
          <w:b/>
          <w:bCs/>
        </w:rPr>
        <w:t xml:space="preserve"> </w:t>
      </w:r>
    </w:p>
    <w:p w14:paraId="58867879" w14:textId="57C4F22E" w:rsidR="00A55583" w:rsidRPr="00D519B2" w:rsidRDefault="00A55583" w:rsidP="00A55583">
      <w:pPr>
        <w:tabs>
          <w:tab w:val="left" w:pos="360"/>
          <w:tab w:val="left" w:pos="446"/>
          <w:tab w:val="left" w:pos="540"/>
        </w:tabs>
        <w:ind w:left="360"/>
        <w:outlineLvl w:val="1"/>
        <w:rPr>
          <w:b/>
          <w:bCs/>
          <w:iCs/>
          <w:vanish/>
          <w:color w:val="000000"/>
        </w:rPr>
      </w:pPr>
      <w:r w:rsidRPr="00D519B2">
        <w:rPr>
          <w:b/>
          <w:bCs/>
          <w:color w:val="000000"/>
        </w:rPr>
        <w:t>3.1. E-commerce Site Requirements for Standard Packages.</w:t>
      </w:r>
      <w:bookmarkEnd w:id="156"/>
    </w:p>
    <w:p w14:paraId="39C8A93A" w14:textId="77777777" w:rsidR="00A55583" w:rsidRPr="00D519B2" w:rsidRDefault="00A55583" w:rsidP="00A55583">
      <w:pPr>
        <w:tabs>
          <w:tab w:val="left" w:pos="360"/>
          <w:tab w:val="left" w:pos="540"/>
        </w:tabs>
        <w:ind w:left="360"/>
        <w:rPr>
          <w:iCs/>
          <w:color w:val="000000"/>
        </w:rPr>
      </w:pPr>
      <w:r w:rsidRPr="00D519B2">
        <w:rPr>
          <w:i/>
          <w:iCs/>
          <w:color w:val="000000"/>
        </w:rPr>
        <w:t xml:space="preserve"> – </w:t>
      </w:r>
      <w:r w:rsidRPr="00D519B2">
        <w:rPr>
          <w:iCs/>
          <w:color w:val="000000"/>
        </w:rPr>
        <w:t>The following shall apply to e-commerce sites on which standard packages are offered for sale:</w:t>
      </w:r>
    </w:p>
    <w:p w14:paraId="6210E5CB" w14:textId="77777777" w:rsidR="00A55583" w:rsidRPr="00D519B2" w:rsidRDefault="00A55583" w:rsidP="0076491B">
      <w:pPr>
        <w:numPr>
          <w:ilvl w:val="0"/>
          <w:numId w:val="48"/>
        </w:numPr>
        <w:tabs>
          <w:tab w:val="left" w:pos="360"/>
        </w:tabs>
        <w:ind w:left="1080"/>
        <w:jc w:val="left"/>
        <w:rPr>
          <w:iCs/>
          <w:color w:val="000000"/>
        </w:rPr>
      </w:pPr>
      <w:r w:rsidRPr="00D519B2">
        <w:rPr>
          <w:b/>
          <w:bCs/>
          <w:iCs/>
          <w:color w:val="000000"/>
        </w:rPr>
        <w:t>Declaration of Identity.</w:t>
      </w:r>
      <w:r w:rsidRPr="00D519B2">
        <w:rPr>
          <w:iCs/>
          <w:color w:val="000000"/>
        </w:rPr>
        <w:t xml:space="preserve"> – The product declaration of identity shall appear on the e-commerce site in a conspicuous and prominent location.  Wherever applicable, the product brand name or manufacturer/distributor name shall be combined with the declaration of identity.  This information </w:t>
      </w:r>
      <w:r w:rsidRPr="00D519B2">
        <w:rPr>
          <w:iCs/>
          <w:color w:val="000000"/>
        </w:rPr>
        <w:lastRenderedPageBreak/>
        <w:t>shall be provided separately from and in addition to any picture or image of the product (See Section 7 Declaration of Identity: E-commerce Products for additional information.)</w:t>
      </w:r>
    </w:p>
    <w:p w14:paraId="3D4C80C7" w14:textId="17EF3B0B" w:rsidR="00A55583" w:rsidRPr="00D519B2" w:rsidRDefault="00A55583" w:rsidP="0076491B">
      <w:pPr>
        <w:numPr>
          <w:ilvl w:val="0"/>
          <w:numId w:val="48"/>
        </w:numPr>
        <w:tabs>
          <w:tab w:val="left" w:pos="360"/>
        </w:tabs>
        <w:ind w:left="1080"/>
        <w:jc w:val="left"/>
        <w:rPr>
          <w:b/>
          <w:bCs/>
          <w:iCs/>
          <w:color w:val="000000"/>
          <w:u w:val="single"/>
        </w:rPr>
      </w:pPr>
      <w:r w:rsidRPr="00D519B2">
        <w:rPr>
          <w:b/>
          <w:bCs/>
          <w:iCs/>
          <w:color w:val="000000"/>
          <w:u w:val="single"/>
        </w:rPr>
        <w:t xml:space="preserve">Declaration of Unit Price - The unit price of the product shall appear on the e-commerce site in a conspicuous and prominent location.  This information shall be provided separately from and in addition to any picture or image of the product (See Section 5.  Unit Pricing Requirements on E-Commerce Sites for Products Offered for Sale for additional information).  </w:t>
      </w:r>
    </w:p>
    <w:p w14:paraId="3AF51894" w14:textId="77777777" w:rsidR="00A55583" w:rsidRPr="00D519B2" w:rsidRDefault="00A55583" w:rsidP="00712C69">
      <w:pPr>
        <w:keepNext/>
        <w:keepLines/>
        <w:numPr>
          <w:ilvl w:val="0"/>
          <w:numId w:val="48"/>
        </w:numPr>
        <w:tabs>
          <w:tab w:val="left" w:pos="360"/>
        </w:tabs>
        <w:ind w:left="1080"/>
        <w:jc w:val="left"/>
        <w:rPr>
          <w:iCs/>
          <w:color w:val="000000"/>
        </w:rPr>
      </w:pPr>
      <w:r w:rsidRPr="00D519B2">
        <w:rPr>
          <w:b/>
          <w:bCs/>
          <w:iCs/>
          <w:color w:val="000000"/>
        </w:rPr>
        <w:t>Declaration of Net Quantity.</w:t>
      </w:r>
      <w:r w:rsidRPr="00D519B2">
        <w:rPr>
          <w:iCs/>
          <w:color w:val="000000"/>
        </w:rPr>
        <w:t xml:space="preserve"> – The declaration of net quantity shall appear on the e-commerce site in a prominent location and in a conspicuous manner which clearly communicates the package net quantity.  This information shall be provided separately from and in addition to any picture or image of the product.  This information shall be provided in both U.S. customary and SI units for products subject to the Fair Packaging and Labeling Act or as mandated for products under other Federal </w:t>
      </w:r>
      <w:proofErr w:type="gramStart"/>
      <w:r w:rsidRPr="00D519B2">
        <w:rPr>
          <w:iCs/>
          <w:color w:val="000000"/>
        </w:rPr>
        <w:t>regulations  (</w:t>
      </w:r>
      <w:proofErr w:type="gramEnd"/>
      <w:r w:rsidRPr="00D519B2">
        <w:rPr>
          <w:iCs/>
          <w:color w:val="000000"/>
        </w:rPr>
        <w:t xml:space="preserve">See Section 6. Declaration of Quantity – E-commerce Products for additional information.)  </w:t>
      </w:r>
    </w:p>
    <w:p w14:paraId="67BCA7C6" w14:textId="77777777" w:rsidR="00A55583" w:rsidRPr="00D519B2" w:rsidRDefault="00A55583" w:rsidP="0076491B">
      <w:pPr>
        <w:numPr>
          <w:ilvl w:val="0"/>
          <w:numId w:val="48"/>
        </w:numPr>
        <w:tabs>
          <w:tab w:val="left" w:pos="360"/>
        </w:tabs>
        <w:ind w:left="1080"/>
        <w:jc w:val="left"/>
        <w:rPr>
          <w:iCs/>
          <w:color w:val="000000"/>
        </w:rPr>
      </w:pPr>
      <w:r w:rsidRPr="00D519B2">
        <w:rPr>
          <w:b/>
          <w:bCs/>
          <w:iCs/>
          <w:color w:val="000000"/>
        </w:rPr>
        <w:t>Product Price.</w:t>
      </w:r>
      <w:r w:rsidRPr="00D519B2">
        <w:rPr>
          <w:iCs/>
          <w:color w:val="000000"/>
        </w:rPr>
        <w:t xml:space="preserve"> – The price of the product shall appear on the e-commerce site in a conspicuous and prominent location. Added cost information (if any) for shipping, delivery, taxes, and other services shall be provided to the customer prior to the completion of check-out and payment.  </w:t>
      </w:r>
    </w:p>
    <w:p w14:paraId="4B7D581B" w14:textId="77777777" w:rsidR="00A55583" w:rsidRPr="00D519B2" w:rsidRDefault="00A55583" w:rsidP="0076491B">
      <w:pPr>
        <w:numPr>
          <w:ilvl w:val="0"/>
          <w:numId w:val="48"/>
        </w:numPr>
        <w:tabs>
          <w:tab w:val="left" w:pos="360"/>
        </w:tabs>
        <w:ind w:left="1080"/>
        <w:jc w:val="left"/>
        <w:rPr>
          <w:iCs/>
          <w:color w:val="000000"/>
        </w:rPr>
      </w:pPr>
      <w:r w:rsidRPr="00D519B2">
        <w:rPr>
          <w:b/>
          <w:bCs/>
          <w:iCs/>
          <w:color w:val="000000"/>
        </w:rPr>
        <w:t>Product Photo or Visual Product Representation/Image.</w:t>
      </w:r>
      <w:r w:rsidRPr="00D519B2">
        <w:rPr>
          <w:iCs/>
          <w:color w:val="000000"/>
        </w:rPr>
        <w:t xml:space="preserve"> – The e-commerce site shall provide a photo or visual representation (image) of the product to help consumers confirm the identity of the item they intend to purchase.  While a product photo or image may show certain required information, required information shall appear separately from the picture/representation. Any information provided in the picture/image shall not conflict with information required by this </w:t>
      </w:r>
      <w:proofErr w:type="gramStart"/>
      <w:r w:rsidRPr="00D519B2">
        <w:rPr>
          <w:iCs/>
          <w:color w:val="000000"/>
        </w:rPr>
        <w:t>regulation  (</w:t>
      </w:r>
      <w:proofErr w:type="gramEnd"/>
      <w:r w:rsidRPr="00D519B2">
        <w:rPr>
          <w:iCs/>
          <w:color w:val="000000"/>
        </w:rPr>
        <w:t>See Section 9. Product Photograph or Accurate Product Depiction/Representation: E-commerce Site Requirements for additional information).</w:t>
      </w:r>
    </w:p>
    <w:p w14:paraId="22A9E358" w14:textId="77777777" w:rsidR="00A55583" w:rsidRPr="00D519B2" w:rsidRDefault="00A55583" w:rsidP="0076491B">
      <w:pPr>
        <w:numPr>
          <w:ilvl w:val="0"/>
          <w:numId w:val="48"/>
        </w:numPr>
        <w:tabs>
          <w:tab w:val="left" w:pos="360"/>
        </w:tabs>
        <w:ind w:left="1080"/>
        <w:jc w:val="left"/>
        <w:rPr>
          <w:iCs/>
          <w:color w:val="000000"/>
        </w:rPr>
      </w:pPr>
      <w:r w:rsidRPr="00D519B2">
        <w:rPr>
          <w:b/>
          <w:bCs/>
          <w:iCs/>
          <w:color w:val="000000"/>
        </w:rPr>
        <w:t>Brand Name or Product Manufacturer.</w:t>
      </w:r>
      <w:r w:rsidRPr="00D519B2">
        <w:rPr>
          <w:iCs/>
          <w:color w:val="000000"/>
        </w:rPr>
        <w:t xml:space="preserve"> – The e-commerce site shall provide the name of the manufacturer, distributor or the brand of any product offered for sale, where applicable (See Section 8. Declaration of Responsible Person: E-commerce Products for additional information.) </w:t>
      </w:r>
    </w:p>
    <w:p w14:paraId="10B047EC" w14:textId="78B7D2A0" w:rsidR="007A3298" w:rsidRPr="0068281F" w:rsidRDefault="00A55583" w:rsidP="0068281F">
      <w:pPr>
        <w:ind w:left="360"/>
        <w:rPr>
          <w:u w:val="single"/>
        </w:rPr>
      </w:pPr>
      <w:r w:rsidRPr="0068281F">
        <w:rPr>
          <w:iCs/>
          <w:color w:val="000000"/>
          <w:u w:val="single"/>
        </w:rPr>
        <w:t xml:space="preserve"> </w:t>
      </w:r>
      <w:r w:rsidRPr="0068281F">
        <w:rPr>
          <w:b/>
          <w:bCs/>
          <w:iCs/>
          <w:color w:val="000000"/>
          <w:u w:val="single"/>
        </w:rPr>
        <w:t>(Amended 20</w:t>
      </w:r>
      <w:r w:rsidR="0068281F" w:rsidRPr="0068281F">
        <w:rPr>
          <w:b/>
          <w:bCs/>
          <w:iCs/>
          <w:color w:val="000000"/>
          <w:u w:val="single"/>
        </w:rPr>
        <w:t>XX</w:t>
      </w:r>
      <w:r w:rsidRPr="0068281F">
        <w:rPr>
          <w:b/>
          <w:bCs/>
          <w:iCs/>
          <w:color w:val="000000"/>
          <w:u w:val="single"/>
        </w:rPr>
        <w:t>)</w:t>
      </w:r>
    </w:p>
    <w:p w14:paraId="74EA0AC3" w14:textId="27205EE4" w:rsidR="008A3119" w:rsidRPr="008A3119" w:rsidRDefault="00B851F5" w:rsidP="008A3119">
      <w:pPr>
        <w:keepNext/>
        <w:rPr>
          <w:b/>
        </w:rPr>
      </w:pPr>
      <w:r>
        <w:rPr>
          <w:b/>
        </w:rPr>
        <w:t>…</w:t>
      </w:r>
    </w:p>
    <w:p w14:paraId="69E31661" w14:textId="77777777" w:rsidR="008561B3" w:rsidRPr="00F310A4" w:rsidRDefault="008561B3" w:rsidP="008561B3">
      <w:pPr>
        <w:keepNext/>
        <w:keepLines/>
        <w:spacing w:before="400" w:after="180"/>
        <w:ind w:left="360"/>
        <w:outlineLvl w:val="0"/>
        <w:rPr>
          <w:rFonts w:eastAsia="MS Gothic"/>
          <w:b/>
        </w:rPr>
      </w:pPr>
      <w:bookmarkStart w:id="157" w:name="_Toc178174942"/>
      <w:r w:rsidRPr="00F310A4">
        <w:rPr>
          <w:rFonts w:eastAsia="MS Gothic"/>
          <w:b/>
        </w:rPr>
        <w:t>Section 5.  Unit Pricing Requirements on E-Commerce Sites for Products Offered for Sale</w:t>
      </w:r>
      <w:bookmarkEnd w:id="157"/>
    </w:p>
    <w:p w14:paraId="47DE7AA1" w14:textId="77777777" w:rsidR="008561B3" w:rsidRPr="00F310A4" w:rsidRDefault="008561B3" w:rsidP="008561B3">
      <w:pPr>
        <w:tabs>
          <w:tab w:val="left" w:pos="360"/>
          <w:tab w:val="left" w:pos="446"/>
          <w:tab w:val="left" w:pos="540"/>
        </w:tabs>
        <w:ind w:left="360"/>
        <w:outlineLvl w:val="1"/>
        <w:rPr>
          <w:b/>
          <w:bCs/>
          <w:color w:val="000000"/>
        </w:rPr>
      </w:pPr>
      <w:bookmarkStart w:id="158" w:name="_Toc178174943"/>
      <w:r w:rsidRPr="00F310A4">
        <w:rPr>
          <w:b/>
          <w:bCs/>
          <w:color w:val="000000"/>
        </w:rPr>
        <w:t>5.1. Products Subject to Unit Pricing on E-commerce Sites.</w:t>
      </w:r>
      <w:bookmarkEnd w:id="158"/>
      <w:r w:rsidRPr="00F310A4">
        <w:rPr>
          <w:b/>
          <w:bCs/>
          <w:color w:val="000000"/>
        </w:rPr>
        <w:t xml:space="preserve"> </w:t>
      </w:r>
    </w:p>
    <w:p w14:paraId="3D1341D6" w14:textId="77777777" w:rsidR="008561B3" w:rsidRPr="00F432D0" w:rsidRDefault="008561B3" w:rsidP="0076491B">
      <w:pPr>
        <w:numPr>
          <w:ilvl w:val="0"/>
          <w:numId w:val="49"/>
        </w:numPr>
        <w:tabs>
          <w:tab w:val="left" w:pos="360"/>
          <w:tab w:val="left" w:pos="540"/>
        </w:tabs>
        <w:spacing w:after="0"/>
        <w:ind w:left="1080"/>
        <w:jc w:val="left"/>
        <w:rPr>
          <w:iCs/>
          <w:color w:val="000000"/>
        </w:rPr>
      </w:pPr>
      <w:r w:rsidRPr="00F432D0">
        <w:rPr>
          <w:iCs/>
          <w:color w:val="000000"/>
        </w:rPr>
        <w:t xml:space="preserve">Unit price information is required for bulk products </w:t>
      </w:r>
      <w:proofErr w:type="spellStart"/>
      <w:proofErr w:type="gramStart"/>
      <w:r w:rsidRPr="00F432D0">
        <w:rPr>
          <w:iCs/>
          <w:strike/>
          <w:color w:val="000000"/>
        </w:rPr>
        <w:t>and</w:t>
      </w:r>
      <w:r w:rsidRPr="00F432D0">
        <w:rPr>
          <w:b/>
          <w:bCs/>
          <w:iCs/>
          <w:color w:val="000000"/>
          <w:u w:val="single"/>
        </w:rPr>
        <w:t>along</w:t>
      </w:r>
      <w:proofErr w:type="spellEnd"/>
      <w:proofErr w:type="gramEnd"/>
      <w:r w:rsidRPr="00F432D0">
        <w:rPr>
          <w:b/>
          <w:bCs/>
          <w:iCs/>
          <w:color w:val="000000"/>
          <w:u w:val="single"/>
        </w:rPr>
        <w:t xml:space="preserve"> </w:t>
      </w:r>
      <w:r w:rsidRPr="00F432D0">
        <w:rPr>
          <w:iCs/>
          <w:color w:val="000000"/>
        </w:rPr>
        <w:t xml:space="preserve">with </w:t>
      </w:r>
      <w:r w:rsidRPr="00F432D0">
        <w:rPr>
          <w:b/>
          <w:bCs/>
          <w:iCs/>
          <w:color w:val="000000"/>
          <w:u w:val="single"/>
        </w:rPr>
        <w:t>standard and</w:t>
      </w:r>
      <w:r w:rsidRPr="00F432D0">
        <w:rPr>
          <w:iCs/>
          <w:color w:val="000000"/>
        </w:rPr>
        <w:t xml:space="preserve"> random packages offered for sale on an e-commerce site.  </w:t>
      </w:r>
    </w:p>
    <w:p w14:paraId="26D1964C" w14:textId="71BE399A" w:rsidR="008561B3" w:rsidRPr="00351A64" w:rsidRDefault="008561B3" w:rsidP="00351A64">
      <w:pPr>
        <w:tabs>
          <w:tab w:val="left" w:pos="360"/>
          <w:tab w:val="left" w:pos="540"/>
        </w:tabs>
        <w:ind w:left="720"/>
        <w:rPr>
          <w:b/>
          <w:bCs/>
          <w:iCs/>
          <w:color w:val="000000"/>
          <w:u w:val="single"/>
        </w:rPr>
      </w:pPr>
      <w:r w:rsidRPr="00351A64">
        <w:rPr>
          <w:b/>
          <w:bCs/>
          <w:iCs/>
          <w:color w:val="000000"/>
          <w:u w:val="single"/>
        </w:rPr>
        <w:t>(Amended 2</w:t>
      </w:r>
      <w:r w:rsidR="00351A64" w:rsidRPr="00351A64">
        <w:rPr>
          <w:b/>
          <w:bCs/>
          <w:iCs/>
          <w:color w:val="000000"/>
          <w:u w:val="single"/>
        </w:rPr>
        <w:t>0XX</w:t>
      </w:r>
      <w:r w:rsidRPr="00351A64">
        <w:rPr>
          <w:b/>
          <w:bCs/>
          <w:iCs/>
          <w:color w:val="000000"/>
          <w:u w:val="single"/>
        </w:rPr>
        <w:t>)</w:t>
      </w:r>
    </w:p>
    <w:p w14:paraId="517F9622" w14:textId="77777777" w:rsidR="008561B3" w:rsidRPr="005C7F3B" w:rsidRDefault="008561B3" w:rsidP="0076491B">
      <w:pPr>
        <w:numPr>
          <w:ilvl w:val="0"/>
          <w:numId w:val="49"/>
        </w:numPr>
        <w:tabs>
          <w:tab w:val="left" w:pos="360"/>
          <w:tab w:val="left" w:pos="540"/>
        </w:tabs>
        <w:ind w:left="1080"/>
        <w:jc w:val="left"/>
        <w:rPr>
          <w:b/>
          <w:bCs/>
          <w:iCs/>
          <w:strike/>
          <w:color w:val="000000"/>
        </w:rPr>
      </w:pPr>
      <w:r w:rsidRPr="005C7F3B">
        <w:rPr>
          <w:b/>
          <w:bCs/>
          <w:iCs/>
          <w:strike/>
          <w:color w:val="000000"/>
        </w:rPr>
        <w:t xml:space="preserve">Unit price information is optional for standard packages offered for sale on e-commerce sites. </w:t>
      </w:r>
    </w:p>
    <w:p w14:paraId="26AF7CDB" w14:textId="77777777" w:rsidR="008561B3" w:rsidRPr="00F432D0" w:rsidRDefault="008561B3" w:rsidP="005C7F3B">
      <w:pPr>
        <w:tabs>
          <w:tab w:val="left" w:pos="360"/>
          <w:tab w:val="left" w:pos="446"/>
          <w:tab w:val="left" w:pos="540"/>
        </w:tabs>
        <w:ind w:left="360"/>
        <w:outlineLvl w:val="1"/>
        <w:rPr>
          <w:b/>
          <w:bCs/>
          <w:vanish/>
          <w:color w:val="000000"/>
        </w:rPr>
      </w:pPr>
      <w:bookmarkStart w:id="159" w:name="_Toc178174944"/>
      <w:r w:rsidRPr="00F432D0">
        <w:rPr>
          <w:b/>
          <w:bCs/>
          <w:color w:val="000000"/>
        </w:rPr>
        <w:t>5.2. Required Unit Price Information.</w:t>
      </w:r>
      <w:bookmarkEnd w:id="159"/>
    </w:p>
    <w:p w14:paraId="3555A39E" w14:textId="77777777" w:rsidR="008561B3" w:rsidRPr="00F432D0" w:rsidRDefault="008561B3" w:rsidP="008561B3">
      <w:pPr>
        <w:tabs>
          <w:tab w:val="left" w:pos="360"/>
          <w:tab w:val="left" w:pos="540"/>
        </w:tabs>
        <w:rPr>
          <w:rFonts w:cs="Arial"/>
          <w:szCs w:val="20"/>
        </w:rPr>
      </w:pPr>
      <w:r w:rsidRPr="00F432D0">
        <w:rPr>
          <w:rFonts w:cs="Arial"/>
          <w:szCs w:val="20"/>
        </w:rPr>
        <w:t xml:space="preserve"> – The unit price shall be consistent with the required method of sale for the product.  An e-commerce site shall determine the most effective units for ensuring value comparison of similar products with varying product sizes.  Unit prices shall employ consistent units of measure for similar or competing products posted on the same e-commerce site (e.g., price per ounce, price per inch, etc.) </w:t>
      </w:r>
      <w:r w:rsidRPr="00F432D0">
        <w:rPr>
          <w:rFonts w:cs="Arial"/>
          <w:b/>
          <w:bCs/>
          <w:szCs w:val="20"/>
          <w:u w:val="single"/>
        </w:rPr>
        <w:t>(See Notes 1 &amp; 2)</w:t>
      </w:r>
    </w:p>
    <w:p w14:paraId="3172B7DF" w14:textId="77777777" w:rsidR="008561B3" w:rsidRPr="00F432D0" w:rsidRDefault="008561B3" w:rsidP="0076491B">
      <w:pPr>
        <w:numPr>
          <w:ilvl w:val="0"/>
          <w:numId w:val="50"/>
        </w:numPr>
        <w:tabs>
          <w:tab w:val="left" w:pos="360"/>
        </w:tabs>
        <w:ind w:left="1080"/>
        <w:jc w:val="left"/>
        <w:rPr>
          <w:iCs/>
          <w:color w:val="000000"/>
        </w:rPr>
      </w:pPr>
      <w:r w:rsidRPr="00F432D0">
        <w:rPr>
          <w:iCs/>
          <w:color w:val="000000"/>
        </w:rPr>
        <w:t xml:space="preserve">The declaration of the unit price of a particular commodity in all package sizes offered for sale </w:t>
      </w:r>
      <w:proofErr w:type="gramStart"/>
      <w:r w:rsidRPr="00F432D0">
        <w:rPr>
          <w:iCs/>
          <w:color w:val="000000"/>
        </w:rPr>
        <w:t>on  an</w:t>
      </w:r>
      <w:proofErr w:type="gramEnd"/>
      <w:r w:rsidRPr="00F432D0">
        <w:rPr>
          <w:iCs/>
          <w:color w:val="000000"/>
        </w:rPr>
        <w:t xml:space="preserve"> e-commerce site shall be uniformly and consistently expressed in terms of:</w:t>
      </w:r>
    </w:p>
    <w:p w14:paraId="1904A6D4" w14:textId="77777777" w:rsidR="008561B3" w:rsidRPr="00F432D0" w:rsidRDefault="008561B3" w:rsidP="0076491B">
      <w:pPr>
        <w:numPr>
          <w:ilvl w:val="0"/>
          <w:numId w:val="51"/>
        </w:numPr>
        <w:tabs>
          <w:tab w:val="left" w:pos="360"/>
        </w:tabs>
        <w:jc w:val="left"/>
        <w:rPr>
          <w:iCs/>
          <w:color w:val="000000"/>
        </w:rPr>
      </w:pPr>
      <w:r w:rsidRPr="00F432D0">
        <w:rPr>
          <w:iCs/>
          <w:color w:val="000000"/>
        </w:rPr>
        <w:lastRenderedPageBreak/>
        <w:t>Price per kilogram or 100 g, or price per pound or ounce, if the net quantity of contents of the product is in terms of weight.</w:t>
      </w:r>
    </w:p>
    <w:p w14:paraId="6280CB0F" w14:textId="77777777" w:rsidR="008561B3" w:rsidRPr="00F432D0" w:rsidRDefault="008561B3" w:rsidP="0076491B">
      <w:pPr>
        <w:numPr>
          <w:ilvl w:val="0"/>
          <w:numId w:val="51"/>
        </w:numPr>
        <w:tabs>
          <w:tab w:val="left" w:pos="360"/>
        </w:tabs>
        <w:jc w:val="left"/>
        <w:rPr>
          <w:iCs/>
          <w:color w:val="000000"/>
        </w:rPr>
      </w:pPr>
      <w:r w:rsidRPr="00F432D0">
        <w:rPr>
          <w:iCs/>
          <w:color w:val="000000"/>
        </w:rPr>
        <w:t xml:space="preserve">Price per liter, or 100 mL, </w:t>
      </w:r>
      <w:r w:rsidRPr="00F432D0">
        <w:rPr>
          <w:b/>
          <w:bCs/>
          <w:iCs/>
          <w:color w:val="000000"/>
          <w:u w:val="single"/>
        </w:rPr>
        <w:t>cubic meter, cubic decimeter, or cubic centimeter,</w:t>
      </w:r>
      <w:r w:rsidRPr="00F432D0">
        <w:rPr>
          <w:iCs/>
          <w:color w:val="000000"/>
        </w:rPr>
        <w:t xml:space="preserve"> or price per dry quart, or dry pint</w:t>
      </w:r>
      <w:r w:rsidRPr="00F432D0">
        <w:rPr>
          <w:b/>
          <w:bCs/>
          <w:iCs/>
          <w:color w:val="000000"/>
          <w:u w:val="single"/>
        </w:rPr>
        <w:t>, cubic yard, cubic foot, or cubic inch</w:t>
      </w:r>
      <w:r w:rsidRPr="00F432D0">
        <w:rPr>
          <w:iCs/>
          <w:color w:val="000000"/>
        </w:rPr>
        <w:t xml:space="preserve"> if the net quantity of contents of the product is in terms of dry measure or volume.</w:t>
      </w:r>
    </w:p>
    <w:p w14:paraId="01FAF98F" w14:textId="77777777" w:rsidR="008561B3" w:rsidRPr="00F432D0" w:rsidRDefault="008561B3" w:rsidP="0076491B">
      <w:pPr>
        <w:numPr>
          <w:ilvl w:val="0"/>
          <w:numId w:val="51"/>
        </w:numPr>
        <w:tabs>
          <w:tab w:val="left" w:pos="360"/>
        </w:tabs>
        <w:jc w:val="left"/>
        <w:rPr>
          <w:iCs/>
          <w:color w:val="000000"/>
        </w:rPr>
      </w:pPr>
      <w:r w:rsidRPr="00F432D0">
        <w:rPr>
          <w:iCs/>
          <w:color w:val="000000"/>
        </w:rPr>
        <w:t>Price per liter or 100 mL, or price per gallon, quart, pint, or fluid ounce, if the net quantity of contents of the product is in terms of liquid volume.</w:t>
      </w:r>
    </w:p>
    <w:p w14:paraId="1444A723" w14:textId="77777777" w:rsidR="008561B3" w:rsidRPr="00F432D0" w:rsidRDefault="008561B3" w:rsidP="0076491B">
      <w:pPr>
        <w:numPr>
          <w:ilvl w:val="0"/>
          <w:numId w:val="51"/>
        </w:numPr>
        <w:tabs>
          <w:tab w:val="left" w:pos="360"/>
        </w:tabs>
        <w:jc w:val="left"/>
        <w:rPr>
          <w:iCs/>
          <w:color w:val="000000"/>
        </w:rPr>
      </w:pPr>
      <w:r w:rsidRPr="00F432D0">
        <w:rPr>
          <w:iCs/>
          <w:color w:val="000000"/>
        </w:rPr>
        <w:t>Price per individual unit or multiple units if the net quantity of contents of the product is in terms of count.</w:t>
      </w:r>
    </w:p>
    <w:p w14:paraId="13BAA4CD" w14:textId="77777777" w:rsidR="00251B29" w:rsidRDefault="008561B3" w:rsidP="00251B29">
      <w:pPr>
        <w:numPr>
          <w:ilvl w:val="0"/>
          <w:numId w:val="51"/>
        </w:numPr>
        <w:tabs>
          <w:tab w:val="left" w:pos="360"/>
        </w:tabs>
        <w:jc w:val="left"/>
        <w:rPr>
          <w:iCs/>
          <w:color w:val="000000"/>
        </w:rPr>
      </w:pPr>
      <w:r w:rsidRPr="00F432D0">
        <w:rPr>
          <w:iCs/>
          <w:color w:val="000000"/>
        </w:rPr>
        <w:t xml:space="preserve">Price per square meter, square decimeter, or square centimeter, or price per </w:t>
      </w:r>
      <w:r w:rsidRPr="00F432D0">
        <w:rPr>
          <w:b/>
          <w:bCs/>
          <w:iCs/>
          <w:color w:val="000000"/>
          <w:u w:val="single"/>
        </w:rPr>
        <w:t>100 square feet,</w:t>
      </w:r>
      <w:r w:rsidRPr="00F432D0">
        <w:rPr>
          <w:iCs/>
          <w:color w:val="000000"/>
        </w:rPr>
        <w:t xml:space="preserve"> square yard, square foot, or square inch, if the net quantity of contents of the product is in terms of area.</w:t>
      </w:r>
    </w:p>
    <w:p w14:paraId="4C65DC9F" w14:textId="1FE79E8F" w:rsidR="00251B29" w:rsidRPr="00251B29" w:rsidRDefault="008561B3" w:rsidP="00251B29">
      <w:pPr>
        <w:numPr>
          <w:ilvl w:val="0"/>
          <w:numId w:val="51"/>
        </w:numPr>
        <w:tabs>
          <w:tab w:val="left" w:pos="360"/>
        </w:tabs>
        <w:jc w:val="left"/>
        <w:rPr>
          <w:iCs/>
          <w:color w:val="000000"/>
        </w:rPr>
      </w:pPr>
      <w:r w:rsidRPr="00251B29">
        <w:rPr>
          <w:iCs/>
          <w:color w:val="000000"/>
        </w:rPr>
        <w:t>Price per meter, decimeter, centimeter, or price per yard, foot, 100-feet, or inch if the net quantity of contents of the product is in terms of length.</w:t>
      </w:r>
      <w:r w:rsidR="00251B29" w:rsidRPr="00251B29">
        <w:rPr>
          <w:b/>
          <w:bCs/>
          <w:iCs/>
          <w:color w:val="000000"/>
          <w:szCs w:val="24"/>
          <w:u w:val="single"/>
        </w:rPr>
        <w:t xml:space="preserve"> </w:t>
      </w:r>
    </w:p>
    <w:p w14:paraId="00488F67" w14:textId="77777777" w:rsidR="00251B29" w:rsidRPr="00251B29" w:rsidRDefault="00251B29" w:rsidP="00251B29">
      <w:pPr>
        <w:pStyle w:val="ListParagraph"/>
        <w:numPr>
          <w:ilvl w:val="0"/>
          <w:numId w:val="51"/>
        </w:numPr>
        <w:tabs>
          <w:tab w:val="left" w:pos="360"/>
        </w:tabs>
        <w:spacing w:after="60"/>
        <w:jc w:val="left"/>
        <w:rPr>
          <w:b/>
          <w:bCs/>
          <w:iCs/>
          <w:color w:val="000000"/>
          <w:szCs w:val="24"/>
          <w:u w:val="single"/>
        </w:rPr>
      </w:pPr>
      <w:r w:rsidRPr="00251B29">
        <w:rPr>
          <w:b/>
          <w:bCs/>
          <w:iCs/>
          <w:color w:val="000000"/>
          <w:szCs w:val="24"/>
          <w:u w:val="single"/>
        </w:rPr>
        <w:t>Products such as wine and spirits must be unit priced in metric only in accordance with federal law.</w:t>
      </w:r>
    </w:p>
    <w:p w14:paraId="4E667613" w14:textId="4F986166" w:rsidR="008561B3" w:rsidRPr="00251B29" w:rsidRDefault="00251B29" w:rsidP="00251B29">
      <w:pPr>
        <w:numPr>
          <w:ilvl w:val="0"/>
          <w:numId w:val="51"/>
        </w:numPr>
        <w:tabs>
          <w:tab w:val="left" w:pos="360"/>
        </w:tabs>
        <w:jc w:val="left"/>
        <w:rPr>
          <w:iCs/>
          <w:color w:val="000000"/>
        </w:rPr>
      </w:pPr>
      <w:r>
        <w:rPr>
          <w:b/>
          <w:bCs/>
          <w:iCs/>
          <w:color w:val="000000"/>
          <w:szCs w:val="20"/>
          <w:u w:val="single"/>
        </w:rPr>
        <w:t>Unit pricing based on non-standard or ambiguous measures (e.g., “uses”, “servings”) is prohibited.</w:t>
      </w:r>
    </w:p>
    <w:p w14:paraId="4BCCA93E" w14:textId="77777777" w:rsidR="008561B3" w:rsidRPr="00F432D0" w:rsidRDefault="008561B3" w:rsidP="0076491B">
      <w:pPr>
        <w:numPr>
          <w:ilvl w:val="0"/>
          <w:numId w:val="50"/>
        </w:numPr>
        <w:tabs>
          <w:tab w:val="left" w:pos="360"/>
        </w:tabs>
        <w:ind w:left="1080"/>
        <w:jc w:val="left"/>
        <w:rPr>
          <w:iCs/>
          <w:color w:val="000000"/>
        </w:rPr>
      </w:pPr>
      <w:r w:rsidRPr="00F432D0">
        <w:rPr>
          <w:iCs/>
          <w:color w:val="000000"/>
        </w:rPr>
        <w:t>The following exemptions from unit pricing requirements above are permitted:</w:t>
      </w:r>
    </w:p>
    <w:p w14:paraId="05859069" w14:textId="77777777" w:rsidR="008561B3" w:rsidRPr="00F432D0" w:rsidRDefault="008561B3" w:rsidP="0076491B">
      <w:pPr>
        <w:numPr>
          <w:ilvl w:val="0"/>
          <w:numId w:val="52"/>
        </w:numPr>
        <w:tabs>
          <w:tab w:val="left" w:pos="360"/>
        </w:tabs>
        <w:ind w:left="1440"/>
        <w:jc w:val="left"/>
        <w:rPr>
          <w:iCs/>
          <w:strike/>
          <w:color w:val="000000"/>
        </w:rPr>
      </w:pPr>
      <w:r w:rsidRPr="00F432D0">
        <w:rPr>
          <w:b/>
          <w:bCs/>
          <w:iCs/>
          <w:strike/>
          <w:color w:val="000000"/>
        </w:rPr>
        <w:t>Small Packages.</w:t>
      </w:r>
      <w:r w:rsidRPr="00F432D0">
        <w:rPr>
          <w:iCs/>
          <w:strike/>
          <w:color w:val="000000"/>
        </w:rPr>
        <w:t xml:space="preserve"> – Products shall be exempt from these provisions when packaged in quantities of less than 28 g (1 oz) or 29 mL (1 </w:t>
      </w:r>
      <w:proofErr w:type="spellStart"/>
      <w:r w:rsidRPr="00F432D0">
        <w:rPr>
          <w:iCs/>
          <w:strike/>
          <w:color w:val="000000"/>
        </w:rPr>
        <w:t>fl</w:t>
      </w:r>
      <w:proofErr w:type="spellEnd"/>
      <w:r w:rsidRPr="00F432D0">
        <w:rPr>
          <w:iCs/>
          <w:strike/>
          <w:color w:val="000000"/>
        </w:rPr>
        <w:t xml:space="preserve"> oz) or when the total retail price is 50 cents ($0.50) or less.</w:t>
      </w:r>
    </w:p>
    <w:p w14:paraId="7001BA4C" w14:textId="77777777" w:rsidR="008561B3" w:rsidRPr="00F432D0" w:rsidRDefault="008561B3" w:rsidP="0076491B">
      <w:pPr>
        <w:numPr>
          <w:ilvl w:val="0"/>
          <w:numId w:val="52"/>
        </w:numPr>
        <w:tabs>
          <w:tab w:val="left" w:pos="360"/>
        </w:tabs>
        <w:ind w:left="1440"/>
        <w:jc w:val="left"/>
        <w:rPr>
          <w:iCs/>
          <w:strike/>
          <w:color w:val="000000"/>
        </w:rPr>
      </w:pPr>
      <w:r w:rsidRPr="00F432D0">
        <w:rPr>
          <w:b/>
          <w:bCs/>
          <w:iCs/>
          <w:strike/>
          <w:color w:val="000000"/>
        </w:rPr>
        <w:t>Single Items.</w:t>
      </w:r>
      <w:r w:rsidRPr="00F432D0">
        <w:rPr>
          <w:iCs/>
          <w:strike/>
          <w:color w:val="000000"/>
        </w:rPr>
        <w:t xml:space="preserve"> – Products shall be exempt from these provisions when only one brand in only one size is offered for sale in a particular retail establishment.</w:t>
      </w:r>
    </w:p>
    <w:p w14:paraId="0D54F19E" w14:textId="77777777" w:rsidR="008561B3" w:rsidRPr="00F432D0" w:rsidRDefault="008561B3" w:rsidP="0076491B">
      <w:pPr>
        <w:numPr>
          <w:ilvl w:val="0"/>
          <w:numId w:val="52"/>
        </w:numPr>
        <w:tabs>
          <w:tab w:val="left" w:pos="360"/>
        </w:tabs>
        <w:ind w:left="1440"/>
        <w:jc w:val="left"/>
        <w:rPr>
          <w:iCs/>
          <w:color w:val="000000"/>
        </w:rPr>
      </w:pPr>
      <w:r w:rsidRPr="00F432D0">
        <w:rPr>
          <w:b/>
          <w:bCs/>
          <w:iCs/>
          <w:color w:val="000000"/>
        </w:rPr>
        <w:t>Infant Formula.</w:t>
      </w:r>
      <w:r w:rsidRPr="00F432D0">
        <w:rPr>
          <w:iCs/>
          <w:color w:val="000000"/>
        </w:rPr>
        <w:t xml:space="preserve"> – For “infant formula,” unit price information may be based on the reconstituted volume.  “Infant formula” means a food that is represented for special dietary use solely as a food for infants by reason of its simulation of human milk or suitability as a complete or partial substitute for human milk.</w:t>
      </w:r>
    </w:p>
    <w:p w14:paraId="0EC6058E" w14:textId="77777777" w:rsidR="008561B3" w:rsidRPr="00F432D0" w:rsidRDefault="008561B3" w:rsidP="0076491B">
      <w:pPr>
        <w:numPr>
          <w:ilvl w:val="0"/>
          <w:numId w:val="52"/>
        </w:numPr>
        <w:tabs>
          <w:tab w:val="left" w:pos="360"/>
        </w:tabs>
        <w:ind w:left="1440"/>
        <w:jc w:val="left"/>
        <w:rPr>
          <w:iCs/>
          <w:color w:val="000000"/>
        </w:rPr>
      </w:pPr>
      <w:r w:rsidRPr="00F432D0">
        <w:rPr>
          <w:b/>
          <w:bCs/>
          <w:iCs/>
          <w:color w:val="000000"/>
        </w:rPr>
        <w:t>Variety and Combination Packages.</w:t>
      </w:r>
      <w:r w:rsidRPr="00F432D0">
        <w:rPr>
          <w:iCs/>
          <w:color w:val="000000"/>
        </w:rPr>
        <w:t xml:space="preserve"> – Variety and Combination Packages as defined in Section 2.9. Combination Package and Section 2.10. Variety Package in the UPLR </w:t>
      </w:r>
      <w:r w:rsidRPr="00F432D0">
        <w:rPr>
          <w:iCs/>
          <w:color w:val="000000"/>
          <w:vertAlign w:val="superscript"/>
        </w:rPr>
        <w:t xml:space="preserve">[see </w:t>
      </w:r>
      <w:r w:rsidRPr="00F432D0">
        <w:rPr>
          <w:b/>
          <w:bCs/>
          <w:iCs/>
          <w:color w:val="000000"/>
          <w:vertAlign w:val="superscript"/>
        </w:rPr>
        <w:t xml:space="preserve">Section 5. </w:t>
      </w:r>
      <w:r w:rsidRPr="00F432D0">
        <w:rPr>
          <w:b/>
          <w:bCs/>
          <w:i/>
          <w:iCs/>
          <w:color w:val="000000"/>
          <w:vertAlign w:val="superscript"/>
        </w:rPr>
        <w:t>NOTE</w:t>
      </w:r>
      <w:r w:rsidRPr="00F432D0">
        <w:rPr>
          <w:iCs/>
          <w:color w:val="000000"/>
          <w:vertAlign w:val="superscript"/>
        </w:rPr>
        <w:t>]</w:t>
      </w:r>
      <w:r w:rsidRPr="00F432D0">
        <w:rPr>
          <w:iCs/>
          <w:color w:val="000000"/>
        </w:rPr>
        <w:t xml:space="preserve"> shall be exempt from these provisions.</w:t>
      </w:r>
    </w:p>
    <w:p w14:paraId="5DCFD32E" w14:textId="77777777" w:rsidR="008561B3" w:rsidRPr="00F432D0" w:rsidRDefault="008561B3" w:rsidP="0076491B">
      <w:pPr>
        <w:numPr>
          <w:ilvl w:val="0"/>
          <w:numId w:val="50"/>
        </w:numPr>
        <w:tabs>
          <w:tab w:val="left" w:pos="360"/>
        </w:tabs>
        <w:ind w:left="1080"/>
        <w:jc w:val="left"/>
        <w:rPr>
          <w:iCs/>
          <w:color w:val="000000"/>
        </w:rPr>
      </w:pPr>
      <w:r w:rsidRPr="00F432D0">
        <w:rPr>
          <w:iCs/>
          <w:color w:val="000000"/>
        </w:rPr>
        <w:t>Unit pricing expressions shall be listed to the nearest cent when it is a dollar or more.  If the unit price is under a dollar, it shall be listed to the tenth of a cent or the whole cent, but both methods cannot be used simultaneously.  The e-commerce site shall be accurate and consistently use the same method of rounding to compute the unit price to the whole cent.</w:t>
      </w:r>
    </w:p>
    <w:p w14:paraId="08E56734" w14:textId="77777777" w:rsidR="008561B3" w:rsidRPr="00F432D0" w:rsidRDefault="008561B3" w:rsidP="0076491B">
      <w:pPr>
        <w:numPr>
          <w:ilvl w:val="0"/>
          <w:numId w:val="50"/>
        </w:numPr>
        <w:tabs>
          <w:tab w:val="left" w:pos="360"/>
        </w:tabs>
        <w:ind w:left="1080"/>
        <w:jc w:val="left"/>
        <w:rPr>
          <w:iCs/>
          <w:color w:val="000000"/>
        </w:rPr>
      </w:pPr>
      <w:r w:rsidRPr="00F432D0">
        <w:rPr>
          <w:iCs/>
          <w:color w:val="000000"/>
        </w:rPr>
        <w:t xml:space="preserve">The unit price information shall be displayed adjacent to the product pricing information. </w:t>
      </w:r>
    </w:p>
    <w:p w14:paraId="63B4E10C" w14:textId="77777777" w:rsidR="008561B3" w:rsidRPr="00F432D0" w:rsidRDefault="008561B3" w:rsidP="005C7F3B">
      <w:pPr>
        <w:tabs>
          <w:tab w:val="left" w:pos="360"/>
        </w:tabs>
        <w:ind w:left="360"/>
        <w:rPr>
          <w:iCs/>
          <w:color w:val="000000"/>
        </w:rPr>
      </w:pPr>
      <w:r w:rsidRPr="00F432D0">
        <w:rPr>
          <w:b/>
          <w:bCs/>
          <w:i/>
          <w:color w:val="000000"/>
        </w:rPr>
        <w:t>Section 5. NOTE</w:t>
      </w:r>
      <w:r w:rsidRPr="00F432D0">
        <w:rPr>
          <w:b/>
          <w:bCs/>
          <w:i/>
          <w:color w:val="000000"/>
          <w:u w:val="single"/>
        </w:rPr>
        <w:t xml:space="preserve"> 1</w:t>
      </w:r>
      <w:proofErr w:type="gramStart"/>
      <w:r w:rsidRPr="00F432D0">
        <w:rPr>
          <w:b/>
          <w:bCs/>
          <w:i/>
          <w:color w:val="000000"/>
        </w:rPr>
        <w:t>:</w:t>
      </w:r>
      <w:r w:rsidRPr="00F432D0">
        <w:rPr>
          <w:iCs/>
          <w:color w:val="000000"/>
        </w:rPr>
        <w:t xml:space="preserve">  See</w:t>
      </w:r>
      <w:proofErr w:type="gramEnd"/>
      <w:r w:rsidRPr="00F432D0">
        <w:rPr>
          <w:iCs/>
          <w:color w:val="000000"/>
        </w:rPr>
        <w:t xml:space="preserve"> NIST Handbook 130, Uniform Packaging and Labeling Regulation.</w:t>
      </w:r>
    </w:p>
    <w:p w14:paraId="2D2A7B2D" w14:textId="77777777" w:rsidR="008561B3" w:rsidRPr="00F432D0" w:rsidRDefault="008561B3" w:rsidP="005C7F3B">
      <w:pPr>
        <w:tabs>
          <w:tab w:val="left" w:pos="360"/>
        </w:tabs>
        <w:ind w:left="360"/>
        <w:rPr>
          <w:b/>
          <w:bCs/>
          <w:iCs/>
          <w:color w:val="000000"/>
          <w:u w:val="single"/>
        </w:rPr>
      </w:pPr>
      <w:r w:rsidRPr="00F432D0">
        <w:rPr>
          <w:b/>
          <w:bCs/>
          <w:i/>
          <w:color w:val="000000"/>
          <w:u w:val="single"/>
        </w:rPr>
        <w:t>Section 5</w:t>
      </w:r>
      <w:r w:rsidRPr="00F432D0">
        <w:rPr>
          <w:b/>
          <w:bCs/>
          <w:iCs/>
          <w:color w:val="000000"/>
          <w:u w:val="single"/>
        </w:rPr>
        <w:t xml:space="preserve">. </w:t>
      </w:r>
      <w:r w:rsidRPr="00F432D0">
        <w:rPr>
          <w:b/>
          <w:bCs/>
          <w:i/>
          <w:color w:val="000000"/>
          <w:u w:val="single"/>
        </w:rPr>
        <w:t>NOTE 2</w:t>
      </w:r>
      <w:r w:rsidRPr="00F432D0">
        <w:rPr>
          <w:b/>
          <w:bCs/>
          <w:iCs/>
          <w:color w:val="000000"/>
          <w:u w:val="single"/>
        </w:rPr>
        <w:t>: See NIST Handbook 130 Uniform Unit Price Regulations.</w:t>
      </w:r>
    </w:p>
    <w:p w14:paraId="33103F43" w14:textId="51C443D0" w:rsidR="00840983" w:rsidRDefault="008561B3" w:rsidP="005C7F3B">
      <w:pPr>
        <w:keepNext/>
        <w:ind w:left="360"/>
        <w:rPr>
          <w:b/>
          <w:bCs/>
          <w:iCs/>
          <w:color w:val="000000"/>
          <w:u w:val="single"/>
        </w:rPr>
      </w:pPr>
      <w:r w:rsidRPr="00F432D0">
        <w:rPr>
          <w:b/>
          <w:bCs/>
          <w:iCs/>
          <w:color w:val="000000"/>
          <w:u w:val="single"/>
        </w:rPr>
        <w:lastRenderedPageBreak/>
        <w:t>(Amended 202X)</w:t>
      </w:r>
    </w:p>
    <w:p w14:paraId="5E3CBFD4" w14:textId="6F614067" w:rsidR="005C7F3B" w:rsidRDefault="00825042" w:rsidP="00825042">
      <w:pPr>
        <w:keepNext/>
        <w:rPr>
          <w:iCs/>
          <w:color w:val="000000"/>
          <w:u w:val="single"/>
        </w:rPr>
      </w:pPr>
      <w:r>
        <w:rPr>
          <w:iCs/>
          <w:color w:val="000000"/>
          <w:u w:val="single"/>
        </w:rPr>
        <w:t>…</w:t>
      </w:r>
    </w:p>
    <w:p w14:paraId="0341F581" w14:textId="77777777" w:rsidR="008A3119" w:rsidRPr="000B7F42" w:rsidRDefault="008A3119" w:rsidP="000B7F42">
      <w:pPr>
        <w:ind w:left="360"/>
        <w:rPr>
          <w:b/>
          <w:bCs/>
        </w:rPr>
      </w:pPr>
      <w:bookmarkStart w:id="160" w:name="_Toc178174968"/>
      <w:r w:rsidRPr="000B7F42">
        <w:rPr>
          <w:b/>
          <w:bCs/>
        </w:rPr>
        <w:t>Section 10.  Prominence and Placement of Required Information on E-commerce Sites</w:t>
      </w:r>
      <w:proofErr w:type="gramStart"/>
      <w:r w:rsidRPr="000B7F42">
        <w:rPr>
          <w:b/>
          <w:bCs/>
        </w:rPr>
        <w:t>:  Offering</w:t>
      </w:r>
      <w:proofErr w:type="gramEnd"/>
      <w:r w:rsidRPr="000B7F42">
        <w:rPr>
          <w:b/>
          <w:bCs/>
        </w:rPr>
        <w:t xml:space="preserve"> E-commerce Products for Sale</w:t>
      </w:r>
      <w:bookmarkEnd w:id="160"/>
    </w:p>
    <w:p w14:paraId="14741734" w14:textId="77777777" w:rsidR="008A3119" w:rsidRPr="00CF32AE" w:rsidRDefault="008A3119" w:rsidP="000B7F42">
      <w:pPr>
        <w:pStyle w:val="Heading2"/>
        <w:keepNext w:val="0"/>
        <w:keepLines w:val="0"/>
        <w:ind w:left="360" w:firstLine="0"/>
        <w:rPr>
          <w:rFonts w:ascii="Times New Roman" w:hAnsi="Times New Roman"/>
          <w:b/>
          <w:bCs/>
          <w:vanish/>
          <w:sz w:val="20"/>
          <w:szCs w:val="20"/>
          <w:specVanish/>
        </w:rPr>
      </w:pPr>
      <w:bookmarkStart w:id="161" w:name="_Toc178174969"/>
      <w:r w:rsidRPr="00CF32AE">
        <w:rPr>
          <w:rFonts w:ascii="Times New Roman" w:hAnsi="Times New Roman"/>
          <w:b/>
          <w:bCs/>
          <w:sz w:val="20"/>
          <w:szCs w:val="20"/>
        </w:rPr>
        <w:t>10.1. General Requirements.</w:t>
      </w:r>
      <w:bookmarkEnd w:id="161"/>
    </w:p>
    <w:p w14:paraId="44AAE85B" w14:textId="77777777" w:rsidR="008A3119" w:rsidRPr="009C75DF" w:rsidRDefault="008A3119" w:rsidP="000B7F42">
      <w:pPr>
        <w:pStyle w:val="BodyText"/>
        <w:tabs>
          <w:tab w:val="left" w:pos="360"/>
          <w:tab w:val="left" w:pos="540"/>
        </w:tabs>
      </w:pPr>
      <w:r w:rsidRPr="00CF32AE">
        <w:rPr>
          <w:b/>
          <w:bCs/>
          <w:szCs w:val="20"/>
        </w:rPr>
        <w:t xml:space="preserve"> –</w:t>
      </w:r>
      <w:r w:rsidRPr="00CF32AE">
        <w:t xml:space="preserve"> </w:t>
      </w:r>
      <w:r w:rsidRPr="009C75DF">
        <w:t>All information required to appear on the e-commerce site which offers products for sale shall appear thereon in the English language and shall be prominent, definite, plain, and conspicuous as to size and style of letters and numbers and as to color of letters and numbers in contrast to color of background.  Any required information that is either in hand lettering or hand script shall be entirely clear and equal to printing in legibility.</w:t>
      </w:r>
    </w:p>
    <w:p w14:paraId="6BA0B9F5" w14:textId="77777777" w:rsidR="008A3119" w:rsidRPr="000A2A1F" w:rsidRDefault="008A3119" w:rsidP="008A3119">
      <w:pPr>
        <w:pStyle w:val="BodyText"/>
        <w:tabs>
          <w:tab w:val="left" w:pos="360"/>
          <w:tab w:val="left" w:pos="540"/>
        </w:tabs>
        <w:ind w:left="360"/>
        <w:rPr>
          <w:rStyle w:val="BodyTextChar"/>
          <w:szCs w:val="20"/>
        </w:rPr>
      </w:pPr>
      <w:r w:rsidRPr="000A2A1F">
        <w:rPr>
          <w:rStyle w:val="BodyTextChar"/>
          <w:b/>
          <w:bCs/>
          <w:szCs w:val="20"/>
        </w:rPr>
        <w:t>Location.</w:t>
      </w:r>
      <w:r w:rsidRPr="000A2A1F">
        <w:rPr>
          <w:rStyle w:val="BodyTextChar"/>
          <w:szCs w:val="20"/>
        </w:rPr>
        <w:t xml:space="preserve"> – The </w:t>
      </w:r>
      <w:r w:rsidRPr="00DC133F">
        <w:t>required</w:t>
      </w:r>
      <w:r w:rsidRPr="000A2A1F">
        <w:rPr>
          <w:rStyle w:val="BodyTextChar"/>
          <w:szCs w:val="20"/>
        </w:rPr>
        <w:t xml:space="preserve"> e-commerce site declarations below shall be present in the top 50 % the screen in which the product is offered for sale:</w:t>
      </w:r>
    </w:p>
    <w:p w14:paraId="100AD01D" w14:textId="77777777" w:rsidR="008A3119" w:rsidRPr="009C75DF" w:rsidRDefault="008A3119" w:rsidP="0076491B">
      <w:pPr>
        <w:pStyle w:val="BodyText"/>
        <w:numPr>
          <w:ilvl w:val="0"/>
          <w:numId w:val="53"/>
        </w:numPr>
        <w:tabs>
          <w:tab w:val="left" w:pos="360"/>
        </w:tabs>
        <w:ind w:left="1440"/>
        <w:jc w:val="left"/>
      </w:pPr>
      <w:r w:rsidRPr="009C75DF">
        <w:t>identity;</w:t>
      </w:r>
    </w:p>
    <w:p w14:paraId="09DE8F6D" w14:textId="77777777" w:rsidR="008A3119" w:rsidRPr="009C75DF" w:rsidRDefault="008A3119" w:rsidP="0076491B">
      <w:pPr>
        <w:pStyle w:val="BodyText"/>
        <w:numPr>
          <w:ilvl w:val="0"/>
          <w:numId w:val="53"/>
        </w:numPr>
        <w:tabs>
          <w:tab w:val="left" w:pos="360"/>
        </w:tabs>
        <w:ind w:left="1440"/>
        <w:jc w:val="left"/>
      </w:pPr>
      <w:r w:rsidRPr="009C75DF">
        <w:t xml:space="preserve">net quantity;  </w:t>
      </w:r>
    </w:p>
    <w:p w14:paraId="3A31067D" w14:textId="77777777" w:rsidR="008A3119" w:rsidRPr="009C75DF" w:rsidRDefault="008A3119" w:rsidP="0076491B">
      <w:pPr>
        <w:pStyle w:val="BodyText"/>
        <w:numPr>
          <w:ilvl w:val="0"/>
          <w:numId w:val="53"/>
        </w:numPr>
        <w:tabs>
          <w:tab w:val="left" w:pos="360"/>
        </w:tabs>
        <w:ind w:left="1440"/>
        <w:jc w:val="left"/>
      </w:pPr>
      <w:r w:rsidRPr="009C75DF">
        <w:t xml:space="preserve">product price; </w:t>
      </w:r>
    </w:p>
    <w:p w14:paraId="05D2C49A" w14:textId="77777777" w:rsidR="008A3119" w:rsidRPr="009C75DF" w:rsidRDefault="008A3119" w:rsidP="0076491B">
      <w:pPr>
        <w:pStyle w:val="BodyText"/>
        <w:numPr>
          <w:ilvl w:val="0"/>
          <w:numId w:val="53"/>
        </w:numPr>
        <w:tabs>
          <w:tab w:val="left" w:pos="360"/>
        </w:tabs>
        <w:ind w:left="1440"/>
        <w:jc w:val="left"/>
      </w:pPr>
      <w:r w:rsidRPr="009C75DF">
        <w:t xml:space="preserve">brand or manufacturer name; and </w:t>
      </w:r>
    </w:p>
    <w:p w14:paraId="01CCFD99" w14:textId="77777777" w:rsidR="008A3119" w:rsidRDefault="008A3119" w:rsidP="0076491B">
      <w:pPr>
        <w:pStyle w:val="BodyText"/>
        <w:numPr>
          <w:ilvl w:val="0"/>
          <w:numId w:val="53"/>
        </w:numPr>
        <w:tabs>
          <w:tab w:val="left" w:pos="360"/>
        </w:tabs>
        <w:ind w:left="1440"/>
        <w:jc w:val="left"/>
      </w:pPr>
      <w:r w:rsidRPr="009C75DF">
        <w:t xml:space="preserve">package picture or photographic representation/depiction. </w:t>
      </w:r>
    </w:p>
    <w:p w14:paraId="30298C28" w14:textId="77777777" w:rsidR="008A3119" w:rsidRPr="006D018D" w:rsidRDefault="008A3119" w:rsidP="0076491B">
      <w:pPr>
        <w:pStyle w:val="BodyText"/>
        <w:numPr>
          <w:ilvl w:val="0"/>
          <w:numId w:val="53"/>
        </w:numPr>
        <w:tabs>
          <w:tab w:val="left" w:pos="360"/>
        </w:tabs>
        <w:ind w:left="1440"/>
        <w:jc w:val="left"/>
        <w:rPr>
          <w:b/>
          <w:bCs/>
          <w:u w:val="single"/>
        </w:rPr>
      </w:pPr>
      <w:r w:rsidRPr="006D018D">
        <w:rPr>
          <w:b/>
          <w:bCs/>
          <w:u w:val="single"/>
        </w:rPr>
        <w:t xml:space="preserve">Unit Price </w:t>
      </w:r>
    </w:p>
    <w:p w14:paraId="44F2AF81" w14:textId="77777777" w:rsidR="008A3119" w:rsidRPr="009C75DF" w:rsidRDefault="008A3119" w:rsidP="0076491B">
      <w:pPr>
        <w:pStyle w:val="BodyText"/>
        <w:numPr>
          <w:ilvl w:val="0"/>
          <w:numId w:val="54"/>
        </w:numPr>
        <w:tabs>
          <w:tab w:val="left" w:pos="360"/>
        </w:tabs>
        <w:ind w:left="1080"/>
        <w:jc w:val="left"/>
      </w:pPr>
      <w:r w:rsidRPr="000A2A1F">
        <w:rPr>
          <w:b/>
          <w:bCs/>
        </w:rPr>
        <w:t>Style of Type or Lettering</w:t>
      </w:r>
      <w:r>
        <w:rPr>
          <w:b/>
          <w:bCs/>
        </w:rPr>
        <w:t>.</w:t>
      </w:r>
      <w:r w:rsidRPr="009C75DF">
        <w:t xml:space="preserve"> – The required e-commerce site declarations shall be in such a style of type or lettering as to be boldly, clearly, and conspicuously presented with respect to other type, lettering, or graphic material on the screen.  </w:t>
      </w:r>
    </w:p>
    <w:p w14:paraId="72504BD1" w14:textId="77777777" w:rsidR="008A3119" w:rsidRDefault="008A3119" w:rsidP="0076491B">
      <w:pPr>
        <w:pStyle w:val="BodyText"/>
        <w:keepNext/>
        <w:numPr>
          <w:ilvl w:val="0"/>
          <w:numId w:val="54"/>
        </w:numPr>
        <w:tabs>
          <w:tab w:val="left" w:pos="360"/>
        </w:tabs>
        <w:ind w:left="1080"/>
        <w:jc w:val="left"/>
      </w:pPr>
      <w:r w:rsidRPr="008A3119">
        <w:rPr>
          <w:b/>
          <w:bCs/>
        </w:rPr>
        <w:t>Color Contrast.</w:t>
      </w:r>
      <w:r w:rsidRPr="009C75DF">
        <w:t xml:space="preserve"> – The required e-commerce site declarations shall be in a color that contrasts conspicuously with its background. </w:t>
      </w:r>
    </w:p>
    <w:p w14:paraId="697F885D" w14:textId="0ABCAB0D" w:rsidR="00825042" w:rsidRDefault="008A3119" w:rsidP="0076491B">
      <w:pPr>
        <w:pStyle w:val="BodyText"/>
        <w:keepNext/>
        <w:numPr>
          <w:ilvl w:val="0"/>
          <w:numId w:val="54"/>
        </w:numPr>
        <w:tabs>
          <w:tab w:val="left" w:pos="360"/>
        </w:tabs>
        <w:ind w:left="1080"/>
        <w:jc w:val="left"/>
      </w:pPr>
      <w:r w:rsidRPr="008A3119">
        <w:rPr>
          <w:b/>
          <w:bCs/>
        </w:rPr>
        <w:t>Package Picture or Photographic Representation.</w:t>
      </w:r>
      <w:r w:rsidRPr="009C75DF">
        <w:t xml:space="preserve"> – The product picture or photographic depiction shall be in the actual colors of the package or product.  Slight variations in color shading are acceptable</w:t>
      </w:r>
      <w:r w:rsidR="00DB1DA9">
        <w:t>.</w:t>
      </w:r>
    </w:p>
    <w:p w14:paraId="363261D1" w14:textId="5B035A82" w:rsidR="008A3119" w:rsidRPr="00825042" w:rsidRDefault="00805B21" w:rsidP="008A3119">
      <w:pPr>
        <w:pStyle w:val="BodyText"/>
        <w:keepNext/>
        <w:tabs>
          <w:tab w:val="left" w:pos="360"/>
        </w:tabs>
        <w:ind w:left="360"/>
        <w:jc w:val="left"/>
      </w:pPr>
      <w:r>
        <w:rPr>
          <w:b/>
          <w:bCs/>
        </w:rPr>
        <w:t>(Amended 20XX)</w:t>
      </w:r>
    </w:p>
    <w:p w14:paraId="71A76F49" w14:textId="18465C5B" w:rsidR="00DB197E" w:rsidRDefault="00DB197E" w:rsidP="00DB197E">
      <w:pPr>
        <w:keepNext/>
        <w:spacing w:after="0"/>
      </w:pPr>
      <w:r w:rsidRPr="00E025F9">
        <w:rPr>
          <w:b/>
        </w:rPr>
        <w:t xml:space="preserve">Previous </w:t>
      </w:r>
      <w:r>
        <w:rPr>
          <w:b/>
        </w:rPr>
        <w:t>Status</w:t>
      </w:r>
      <w:r w:rsidRPr="00E025F9">
        <w:rPr>
          <w:b/>
        </w:rPr>
        <w:t>:</w:t>
      </w:r>
    </w:p>
    <w:p w14:paraId="71E816B3" w14:textId="417F4919" w:rsidR="00DB197E" w:rsidRDefault="00C0358E" w:rsidP="00C0358E">
      <w:r>
        <w:t>New Proposal</w:t>
      </w:r>
    </w:p>
    <w:p w14:paraId="6FBBCC5B" w14:textId="77777777" w:rsidR="00DB197E" w:rsidRPr="00AB010B" w:rsidRDefault="00DB197E" w:rsidP="00DB197E">
      <w:pPr>
        <w:keepNext/>
        <w:spacing w:after="0"/>
        <w:rPr>
          <w:b/>
        </w:rPr>
      </w:pPr>
      <w:r w:rsidRPr="00AB010B">
        <w:rPr>
          <w:b/>
        </w:rPr>
        <w:t>Original Justification:</w:t>
      </w:r>
    </w:p>
    <w:p w14:paraId="129BBEAA" w14:textId="0E119C54" w:rsidR="00DB197E" w:rsidRPr="000978F5" w:rsidRDefault="00DB1DA9" w:rsidP="000978F5">
      <w:r w:rsidRPr="000978F5">
        <w:t>Including unit pricing on e-commerce websites is justified because it</w:t>
      </w:r>
      <w:r w:rsidR="000F7957" w:rsidRPr="000978F5">
        <w:t xml:space="preserve"> </w:t>
      </w:r>
      <w:r w:rsidRPr="000978F5">
        <w:t>directly addresses the common challenge consumers face in comparing product value across varying package sizes and brands. Without a standardized cost per unit, shoppers may unintentionally overpay or overlook better-value options. Unit pricing eliminates ambiguity, enabling data-driven purchasing decisions that can lead to increased customer satisfaction and stronger brand loyalty. Additionally, many consumer advocacy groups and regulatory bodies promote or mandate unit pricing as a best practice, meaning its adoption can help ensure legal compliance while signaling a retailer’s commitment to transparency and fairness in pricing.</w:t>
      </w:r>
    </w:p>
    <w:p w14:paraId="1DABE616" w14:textId="3219EDFC" w:rsidR="00531B2B" w:rsidRPr="000978F5" w:rsidRDefault="00531B2B" w:rsidP="000978F5">
      <w:r w:rsidRPr="000978F5">
        <w:lastRenderedPageBreak/>
        <w:t xml:space="preserve">The submitter acknowledged that </w:t>
      </w:r>
      <w:r w:rsidR="00195193" w:rsidRPr="000978F5">
        <w:t>integrating</w:t>
      </w:r>
      <w:r w:rsidR="00CD48DE" w:rsidRPr="000978F5">
        <w:t xml:space="preserve"> accurate unit pricing can be complex, especially across thousands of products with varying packaging sizes and units. Ensuring consistency and correctness may require significant technical investment, increasing retailers' operational costs.</w:t>
      </w:r>
    </w:p>
    <w:p w14:paraId="6D15B4FC" w14:textId="05FC2E5F" w:rsidR="000F7957" w:rsidRPr="003B4520" w:rsidRDefault="000F7957" w:rsidP="000978F5">
      <w:r w:rsidRPr="000978F5">
        <w:t>The submitter requested Voting status in 2026</w:t>
      </w:r>
      <w:r w:rsidR="001F4B9D" w:rsidRPr="000978F5">
        <w:t>.</w:t>
      </w:r>
    </w:p>
    <w:p w14:paraId="7BEE401E" w14:textId="77777777" w:rsidR="00DB197E" w:rsidRPr="002A7C3B" w:rsidRDefault="00DB197E" w:rsidP="00DB197E">
      <w:pPr>
        <w:keepNext/>
        <w:rPr>
          <w:b/>
        </w:rPr>
      </w:pPr>
      <w:r>
        <w:rPr>
          <w:b/>
        </w:rPr>
        <w:t>Comments</w:t>
      </w:r>
      <w:r w:rsidRPr="002A7C3B">
        <w:rPr>
          <w:b/>
        </w:rPr>
        <w:t xml:space="preserve"> in Favor:</w:t>
      </w:r>
    </w:p>
    <w:p w14:paraId="7E1EC039" w14:textId="4FB8CE51" w:rsidR="00DB197E" w:rsidRPr="002A7C3B" w:rsidRDefault="0042639E" w:rsidP="00DB197E">
      <w:pPr>
        <w:keepNext/>
        <w:spacing w:after="0"/>
        <w:ind w:left="720"/>
        <w:rPr>
          <w:b/>
        </w:rPr>
      </w:pPr>
      <w:r>
        <w:rPr>
          <w:b/>
        </w:rPr>
        <w:t>Weights and Measures Officials</w:t>
      </w:r>
      <w:r w:rsidR="00DB197E" w:rsidRPr="002A7C3B">
        <w:rPr>
          <w:b/>
        </w:rPr>
        <w:t>:</w:t>
      </w:r>
    </w:p>
    <w:p w14:paraId="7CC13853" w14:textId="7D25F671" w:rsidR="00DB197E" w:rsidRPr="002A7C3B" w:rsidRDefault="00624DB9" w:rsidP="00DB197E">
      <w:pPr>
        <w:pStyle w:val="ListParagraph"/>
        <w:numPr>
          <w:ilvl w:val="0"/>
          <w:numId w:val="26"/>
        </w:numPr>
        <w:spacing w:after="0" w:line="259" w:lineRule="auto"/>
        <w:contextualSpacing/>
        <w:jc w:val="left"/>
      </w:pPr>
      <w:r>
        <w:t xml:space="preserve">Two </w:t>
      </w:r>
      <w:r w:rsidR="001B29F9" w:rsidRPr="00FD3A16">
        <w:t>w</w:t>
      </w:r>
      <w:r w:rsidRPr="001B29F9">
        <w:t xml:space="preserve">eights and </w:t>
      </w:r>
      <w:r w:rsidR="001B29F9" w:rsidRPr="00FD3A16">
        <w:t>m</w:t>
      </w:r>
      <w:r w:rsidRPr="001B29F9">
        <w:t xml:space="preserve">easures </w:t>
      </w:r>
      <w:r w:rsidR="00717B6E" w:rsidRPr="001B29F9">
        <w:t>officials</w:t>
      </w:r>
      <w:r>
        <w:t xml:space="preserve"> </w:t>
      </w:r>
      <w:r w:rsidR="00E64565">
        <w:t>recommended</w:t>
      </w:r>
      <w:r w:rsidR="00C15922">
        <w:t xml:space="preserve"> putting it forward as Voting</w:t>
      </w:r>
      <w:r w:rsidR="00E64565">
        <w:t>.</w:t>
      </w:r>
    </w:p>
    <w:p w14:paraId="1B9ABE77" w14:textId="77777777" w:rsidR="00DB197E" w:rsidRPr="002A7C3B" w:rsidRDefault="00DB197E" w:rsidP="00DB197E">
      <w:pPr>
        <w:spacing w:before="240" w:after="0"/>
        <w:ind w:left="720"/>
        <w:rPr>
          <w:b/>
        </w:rPr>
      </w:pPr>
      <w:r w:rsidRPr="002A7C3B">
        <w:rPr>
          <w:b/>
        </w:rPr>
        <w:t>Industry:</w:t>
      </w:r>
    </w:p>
    <w:p w14:paraId="1A89ADE1" w14:textId="064F0DD4" w:rsidR="00DB197E" w:rsidRPr="002A7C3B" w:rsidRDefault="00E64565" w:rsidP="00DB197E">
      <w:pPr>
        <w:pStyle w:val="ListParagraph"/>
        <w:numPr>
          <w:ilvl w:val="0"/>
          <w:numId w:val="26"/>
        </w:numPr>
        <w:spacing w:after="0" w:line="259" w:lineRule="auto"/>
        <w:contextualSpacing/>
        <w:jc w:val="left"/>
      </w:pPr>
      <w:r>
        <w:t>None</w:t>
      </w:r>
    </w:p>
    <w:p w14:paraId="2EE051A1" w14:textId="77777777" w:rsidR="00DB197E" w:rsidRPr="002A7C3B" w:rsidRDefault="00DB197E" w:rsidP="00DB197E">
      <w:pPr>
        <w:spacing w:before="240" w:after="0"/>
        <w:ind w:left="720"/>
        <w:rPr>
          <w:b/>
        </w:rPr>
      </w:pPr>
      <w:r w:rsidRPr="002A7C3B">
        <w:rPr>
          <w:b/>
        </w:rPr>
        <w:t>Advisory:</w:t>
      </w:r>
    </w:p>
    <w:p w14:paraId="6EA84C80" w14:textId="2DD363C7" w:rsidR="00DB197E" w:rsidRPr="002A7C3B" w:rsidRDefault="00E64565" w:rsidP="00DB197E">
      <w:pPr>
        <w:pStyle w:val="ListParagraph"/>
        <w:numPr>
          <w:ilvl w:val="0"/>
          <w:numId w:val="26"/>
        </w:numPr>
        <w:spacing w:after="0" w:line="259" w:lineRule="auto"/>
        <w:contextualSpacing/>
        <w:jc w:val="left"/>
      </w:pPr>
      <w:r>
        <w:t xml:space="preserve">The </w:t>
      </w:r>
      <w:r w:rsidR="00E643F0">
        <w:t>r</w:t>
      </w:r>
      <w:r>
        <w:t xml:space="preserve">epresentative </w:t>
      </w:r>
      <w:proofErr w:type="gramStart"/>
      <w:r>
        <w:t>of  NIST</w:t>
      </w:r>
      <w:proofErr w:type="gramEnd"/>
      <w:r>
        <w:t xml:space="preserve"> OWM recommended </w:t>
      </w:r>
      <w:r w:rsidR="00C15922">
        <w:t>putting it forward as Voting</w:t>
      </w:r>
      <w:r>
        <w:t>.</w:t>
      </w:r>
    </w:p>
    <w:p w14:paraId="498BC17C" w14:textId="77777777" w:rsidR="00DB197E" w:rsidRPr="002A7C3B" w:rsidRDefault="00DB197E" w:rsidP="00DB197E">
      <w:pPr>
        <w:spacing w:before="240"/>
        <w:rPr>
          <w:b/>
        </w:rPr>
      </w:pPr>
      <w:r>
        <w:rPr>
          <w:b/>
        </w:rPr>
        <w:t>Comments</w:t>
      </w:r>
      <w:r w:rsidRPr="002A7C3B">
        <w:rPr>
          <w:b/>
        </w:rPr>
        <w:t xml:space="preserve"> Against:</w:t>
      </w:r>
    </w:p>
    <w:p w14:paraId="118A9CF9" w14:textId="62A68C59" w:rsidR="00DB197E" w:rsidRPr="002A7C3B" w:rsidRDefault="0042639E" w:rsidP="00DB197E">
      <w:pPr>
        <w:spacing w:after="0"/>
        <w:ind w:left="720"/>
        <w:rPr>
          <w:b/>
        </w:rPr>
      </w:pPr>
      <w:r>
        <w:rPr>
          <w:b/>
        </w:rPr>
        <w:t>Weights and Measures Officials</w:t>
      </w:r>
      <w:r w:rsidR="00DB197E" w:rsidRPr="002A7C3B">
        <w:rPr>
          <w:b/>
        </w:rPr>
        <w:t>:</w:t>
      </w:r>
    </w:p>
    <w:p w14:paraId="0DB4B7A7" w14:textId="635A64F6" w:rsidR="00DB197E" w:rsidRPr="002A7C3B" w:rsidRDefault="00654FB0" w:rsidP="00DB197E">
      <w:pPr>
        <w:pStyle w:val="ListParagraph"/>
        <w:numPr>
          <w:ilvl w:val="0"/>
          <w:numId w:val="27"/>
        </w:numPr>
        <w:spacing w:after="0" w:line="259" w:lineRule="auto"/>
        <w:contextualSpacing/>
        <w:jc w:val="left"/>
      </w:pPr>
      <w:r>
        <w:t>None</w:t>
      </w:r>
    </w:p>
    <w:p w14:paraId="68F6482C" w14:textId="77777777" w:rsidR="00DB197E" w:rsidRPr="002A7C3B" w:rsidRDefault="00DB197E" w:rsidP="00DB197E">
      <w:pPr>
        <w:spacing w:before="240" w:after="0"/>
        <w:ind w:left="720"/>
        <w:rPr>
          <w:b/>
        </w:rPr>
      </w:pPr>
      <w:r w:rsidRPr="002A7C3B">
        <w:rPr>
          <w:b/>
        </w:rPr>
        <w:t>Industry:</w:t>
      </w:r>
    </w:p>
    <w:p w14:paraId="4B3BBD44" w14:textId="64AA760F" w:rsidR="00DB197E" w:rsidRPr="002A7C3B" w:rsidRDefault="00654FB0" w:rsidP="00DB197E">
      <w:pPr>
        <w:pStyle w:val="ListParagraph"/>
        <w:numPr>
          <w:ilvl w:val="0"/>
          <w:numId w:val="27"/>
        </w:numPr>
        <w:spacing w:after="0" w:line="259" w:lineRule="auto"/>
        <w:contextualSpacing/>
        <w:jc w:val="left"/>
      </w:pPr>
      <w:r>
        <w:t>None</w:t>
      </w:r>
    </w:p>
    <w:p w14:paraId="4DD8A827" w14:textId="77777777" w:rsidR="00DB197E" w:rsidRPr="00AC5B86" w:rsidRDefault="00DB197E" w:rsidP="00DB197E">
      <w:pPr>
        <w:spacing w:before="240" w:after="0"/>
        <w:ind w:left="720"/>
        <w:rPr>
          <w:b/>
        </w:rPr>
      </w:pPr>
      <w:r w:rsidRPr="002A7C3B">
        <w:rPr>
          <w:b/>
        </w:rPr>
        <w:t>Advisory:</w:t>
      </w:r>
    </w:p>
    <w:p w14:paraId="0BB7C0D4" w14:textId="613CB3EC" w:rsidR="00DB197E" w:rsidRDefault="00654FB0" w:rsidP="00DB197E">
      <w:pPr>
        <w:pStyle w:val="ListParagraph"/>
        <w:numPr>
          <w:ilvl w:val="0"/>
          <w:numId w:val="27"/>
        </w:numPr>
        <w:spacing w:after="0" w:line="259" w:lineRule="auto"/>
        <w:contextualSpacing/>
        <w:jc w:val="left"/>
      </w:pPr>
      <w:r>
        <w:t>None</w:t>
      </w:r>
    </w:p>
    <w:p w14:paraId="236D44A2" w14:textId="77777777" w:rsidR="00DB197E" w:rsidRPr="002A7C3B" w:rsidRDefault="00DB197E" w:rsidP="00DB197E">
      <w:pPr>
        <w:spacing w:before="240"/>
        <w:rPr>
          <w:b/>
        </w:rPr>
      </w:pPr>
      <w:r>
        <w:rPr>
          <w:b/>
        </w:rPr>
        <w:t>Neutral Comments</w:t>
      </w:r>
      <w:r w:rsidRPr="002A7C3B">
        <w:rPr>
          <w:b/>
        </w:rPr>
        <w:t>:</w:t>
      </w:r>
    </w:p>
    <w:p w14:paraId="31EEB67F" w14:textId="2A631DDB" w:rsidR="00DB197E" w:rsidRPr="002A7C3B" w:rsidRDefault="0042639E" w:rsidP="00DB197E">
      <w:pPr>
        <w:spacing w:after="0"/>
        <w:ind w:left="720"/>
        <w:rPr>
          <w:b/>
        </w:rPr>
      </w:pPr>
      <w:r>
        <w:rPr>
          <w:b/>
        </w:rPr>
        <w:t>Weights and Measures Officials</w:t>
      </w:r>
      <w:r w:rsidR="00DB197E" w:rsidRPr="002A7C3B">
        <w:rPr>
          <w:b/>
        </w:rPr>
        <w:t>:</w:t>
      </w:r>
    </w:p>
    <w:p w14:paraId="2DDBF018" w14:textId="5D66C2FE" w:rsidR="00DB197E" w:rsidRPr="002A7C3B" w:rsidRDefault="00654FB0" w:rsidP="00DB197E">
      <w:pPr>
        <w:pStyle w:val="ListParagraph"/>
        <w:numPr>
          <w:ilvl w:val="0"/>
          <w:numId w:val="27"/>
        </w:numPr>
        <w:spacing w:after="0" w:line="259" w:lineRule="auto"/>
        <w:contextualSpacing/>
        <w:jc w:val="left"/>
      </w:pPr>
      <w:r>
        <w:t>None</w:t>
      </w:r>
    </w:p>
    <w:p w14:paraId="699686E8" w14:textId="77777777" w:rsidR="00DB197E" w:rsidRPr="002A7C3B" w:rsidRDefault="00DB197E" w:rsidP="00F10657">
      <w:pPr>
        <w:keepNext/>
        <w:keepLines/>
        <w:spacing w:before="240" w:after="0"/>
        <w:ind w:left="720"/>
        <w:rPr>
          <w:b/>
        </w:rPr>
      </w:pPr>
      <w:r w:rsidRPr="002A7C3B">
        <w:rPr>
          <w:b/>
        </w:rPr>
        <w:t>Industry:</w:t>
      </w:r>
    </w:p>
    <w:p w14:paraId="4EC26957" w14:textId="124D7F30" w:rsidR="00DB197E" w:rsidRPr="002A7C3B" w:rsidRDefault="00654FB0" w:rsidP="00F10657">
      <w:pPr>
        <w:pStyle w:val="ListParagraph"/>
        <w:keepNext/>
        <w:keepLines/>
        <w:numPr>
          <w:ilvl w:val="0"/>
          <w:numId w:val="27"/>
        </w:numPr>
        <w:spacing w:after="0" w:line="259" w:lineRule="auto"/>
        <w:contextualSpacing/>
        <w:jc w:val="left"/>
      </w:pPr>
      <w:r>
        <w:t>None</w:t>
      </w:r>
    </w:p>
    <w:p w14:paraId="13502080" w14:textId="77777777" w:rsidR="00DB197E" w:rsidRPr="002A7C3B" w:rsidRDefault="00DB197E" w:rsidP="00DB197E">
      <w:pPr>
        <w:spacing w:before="240" w:after="0"/>
        <w:ind w:left="720"/>
        <w:rPr>
          <w:b/>
        </w:rPr>
      </w:pPr>
      <w:r w:rsidRPr="002A7C3B">
        <w:rPr>
          <w:b/>
        </w:rPr>
        <w:t>Advisory:</w:t>
      </w:r>
    </w:p>
    <w:p w14:paraId="03FB8594" w14:textId="22EE20ED" w:rsidR="00DB197E" w:rsidRDefault="00654FB0" w:rsidP="00DB197E">
      <w:pPr>
        <w:pStyle w:val="ListParagraph"/>
        <w:numPr>
          <w:ilvl w:val="0"/>
          <w:numId w:val="27"/>
        </w:numPr>
        <w:spacing w:after="0" w:line="259" w:lineRule="auto"/>
        <w:contextualSpacing/>
        <w:jc w:val="left"/>
      </w:pPr>
      <w:r>
        <w:t>None</w:t>
      </w:r>
    </w:p>
    <w:p w14:paraId="63401F48" w14:textId="77777777" w:rsidR="00DB197E" w:rsidRPr="00E025F9" w:rsidRDefault="00DB197E" w:rsidP="00DB197E">
      <w:pPr>
        <w:spacing w:before="240" w:after="0"/>
        <w:rPr>
          <w:b/>
        </w:rPr>
      </w:pPr>
      <w:r w:rsidRPr="002A7C3B">
        <w:rPr>
          <w:b/>
        </w:rPr>
        <w:t>Item Develop</w:t>
      </w:r>
      <w:r w:rsidRPr="00E025F9">
        <w:rPr>
          <w:b/>
        </w:rPr>
        <w:t>ment:</w:t>
      </w:r>
    </w:p>
    <w:p w14:paraId="2DFD06EB" w14:textId="0A3496F2" w:rsidR="00DB197E" w:rsidRDefault="001F4B9D" w:rsidP="00DB197E">
      <w:r>
        <w:t>New Proposal</w:t>
      </w:r>
      <w:r w:rsidR="005F2F22">
        <w:t xml:space="preserve"> 2026</w:t>
      </w:r>
    </w:p>
    <w:p w14:paraId="1793797E" w14:textId="7DA4CB93" w:rsidR="00251B29" w:rsidRDefault="005F2F22" w:rsidP="006158B6">
      <w:pPr>
        <w:tabs>
          <w:tab w:val="left" w:pos="360"/>
        </w:tabs>
        <w:spacing w:after="60"/>
        <w:jc w:val="left"/>
        <w:rPr>
          <w:szCs w:val="20"/>
        </w:rPr>
      </w:pPr>
      <w:r w:rsidRPr="006158B6">
        <w:rPr>
          <w:szCs w:val="20"/>
          <w:u w:val="single"/>
        </w:rPr>
        <w:t>NCWM 2026 Interim:</w:t>
      </w:r>
      <w:r w:rsidR="001F33AC" w:rsidRPr="006158B6">
        <w:rPr>
          <w:szCs w:val="20"/>
          <w:u w:val="single"/>
        </w:rPr>
        <w:t xml:space="preserve"> </w:t>
      </w:r>
      <w:r w:rsidR="001F33AC" w:rsidRPr="006158B6">
        <w:rPr>
          <w:szCs w:val="20"/>
        </w:rPr>
        <w:t>The Committee assigned Voting status to this item as it is fully developed and ready for a vote.</w:t>
      </w:r>
      <w:r w:rsidR="00251B29" w:rsidRPr="006158B6">
        <w:rPr>
          <w:szCs w:val="20"/>
        </w:rPr>
        <w:t xml:space="preserve">  The Committee amended the item to align with the language in the</w:t>
      </w:r>
      <w:r w:rsidR="007E1BB2">
        <w:rPr>
          <w:szCs w:val="20"/>
        </w:rPr>
        <w:t xml:space="preserve"> Uniform Pricing Regulation</w:t>
      </w:r>
      <w:r w:rsidR="001965C5">
        <w:rPr>
          <w:szCs w:val="20"/>
        </w:rPr>
        <w:t>s</w:t>
      </w:r>
      <w:r w:rsidR="00251B29" w:rsidRPr="006158B6">
        <w:rPr>
          <w:szCs w:val="20"/>
        </w:rPr>
        <w:t xml:space="preserve"> by adding </w:t>
      </w:r>
      <w:r w:rsidR="00B4544D">
        <w:rPr>
          <w:szCs w:val="20"/>
        </w:rPr>
        <w:t xml:space="preserve">numerals </w:t>
      </w:r>
      <w:r w:rsidR="00C7655E">
        <w:rPr>
          <w:szCs w:val="20"/>
        </w:rPr>
        <w:t xml:space="preserve">(7) and (8) </w:t>
      </w:r>
      <w:r w:rsidR="007E5497">
        <w:rPr>
          <w:szCs w:val="20"/>
        </w:rPr>
        <w:t xml:space="preserve">to section 5.2.(a) with </w:t>
      </w:r>
      <w:r w:rsidR="00251B29" w:rsidRPr="006158B6">
        <w:rPr>
          <w:szCs w:val="20"/>
        </w:rPr>
        <w:t xml:space="preserve">the following language:  </w:t>
      </w:r>
    </w:p>
    <w:p w14:paraId="1C1200E4" w14:textId="77777777" w:rsidR="00FD3D3C" w:rsidRPr="006158B6" w:rsidRDefault="00FD3D3C" w:rsidP="00346B96">
      <w:pPr>
        <w:suppressLineNumbers/>
        <w:tabs>
          <w:tab w:val="left" w:pos="360"/>
        </w:tabs>
        <w:spacing w:after="60"/>
        <w:jc w:val="left"/>
        <w:rPr>
          <w:szCs w:val="20"/>
        </w:rPr>
      </w:pPr>
    </w:p>
    <w:p w14:paraId="388A3465" w14:textId="1634F2B2" w:rsidR="00251B29" w:rsidRPr="006158B6" w:rsidRDefault="00A32AF8" w:rsidP="006158B6">
      <w:pPr>
        <w:tabs>
          <w:tab w:val="left" w:pos="360"/>
        </w:tabs>
        <w:spacing w:after="60"/>
        <w:jc w:val="left"/>
        <w:rPr>
          <w:iCs/>
          <w:color w:val="000000"/>
          <w:szCs w:val="24"/>
        </w:rPr>
      </w:pPr>
      <w:r>
        <w:rPr>
          <w:iCs/>
          <w:color w:val="000000"/>
          <w:szCs w:val="24"/>
        </w:rPr>
        <w:t>(7)</w:t>
      </w:r>
      <w:r w:rsidR="00FD3D3C">
        <w:rPr>
          <w:iCs/>
          <w:color w:val="000000"/>
          <w:szCs w:val="24"/>
        </w:rPr>
        <w:tab/>
      </w:r>
      <w:r w:rsidR="00251B29" w:rsidRPr="006158B6">
        <w:rPr>
          <w:iCs/>
          <w:color w:val="000000"/>
          <w:szCs w:val="24"/>
        </w:rPr>
        <w:t xml:space="preserve">“Products such as wine and spirits must be unit priced in metric only in accordance with federal law.” </w:t>
      </w:r>
    </w:p>
    <w:p w14:paraId="2464E86F" w14:textId="03C54676" w:rsidR="005F2F22" w:rsidRPr="00251B29" w:rsidRDefault="00A32AF8" w:rsidP="006158B6">
      <w:pPr>
        <w:tabs>
          <w:tab w:val="left" w:pos="360"/>
        </w:tabs>
        <w:jc w:val="left"/>
        <w:rPr>
          <w:iCs/>
          <w:color w:val="000000"/>
        </w:rPr>
      </w:pPr>
      <w:r>
        <w:rPr>
          <w:iCs/>
          <w:color w:val="000000"/>
          <w:szCs w:val="20"/>
        </w:rPr>
        <w:t>(8)</w:t>
      </w:r>
      <w:r w:rsidR="00FD3D3C">
        <w:rPr>
          <w:iCs/>
          <w:color w:val="000000"/>
          <w:szCs w:val="20"/>
        </w:rPr>
        <w:tab/>
      </w:r>
      <w:r w:rsidR="00251B29">
        <w:rPr>
          <w:iCs/>
          <w:color w:val="000000"/>
          <w:szCs w:val="20"/>
        </w:rPr>
        <w:t>“</w:t>
      </w:r>
      <w:r w:rsidR="00251B29" w:rsidRPr="00251B29">
        <w:rPr>
          <w:iCs/>
          <w:color w:val="000000"/>
          <w:szCs w:val="20"/>
        </w:rPr>
        <w:t>Unit pricing based on non-standard or ambiguous measures (e.g., “uses”, “servings”) is prohibited.</w:t>
      </w:r>
      <w:r w:rsidR="00251B29">
        <w:rPr>
          <w:iCs/>
          <w:color w:val="000000"/>
          <w:szCs w:val="20"/>
        </w:rPr>
        <w:t>”</w:t>
      </w:r>
    </w:p>
    <w:p w14:paraId="2D9C1835" w14:textId="30E7E75F" w:rsidR="008277B9" w:rsidRPr="0058574D" w:rsidRDefault="00DB197E" w:rsidP="0058574D">
      <w:pPr>
        <w:spacing w:after="0"/>
        <w:rPr>
          <w:b/>
        </w:rPr>
      </w:pPr>
      <w:r w:rsidRPr="00E025F9">
        <w:rPr>
          <w:b/>
        </w:rPr>
        <w:t>Regional Associations’ Comments:</w:t>
      </w:r>
      <w:bookmarkEnd w:id="153"/>
    </w:p>
    <w:p w14:paraId="4E91AFD8" w14:textId="1D53A98C" w:rsidR="00B55C17" w:rsidRDefault="00A43044" w:rsidP="007B2872">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46155584" w14:textId="39309D3B" w:rsidR="009720F2" w:rsidRPr="00A43BF4" w:rsidRDefault="009720F2" w:rsidP="007B2872">
      <w:pPr>
        <w:rPr>
          <w:rFonts w:eastAsia="Times New Roman"/>
          <w:szCs w:val="24"/>
        </w:rPr>
      </w:pPr>
      <w:r>
        <w:rPr>
          <w:rFonts w:eastAsia="Times New Roman"/>
          <w:szCs w:val="24"/>
        </w:rPr>
        <w:lastRenderedPageBreak/>
        <w:t xml:space="preserve">Mr. Kurt Floren (County of Los Angeles, California) made a statement recognizing that this item for unit pricing in e-commerce is being considered for adoption while unit pricing for physical retail locations is not uniformly adopted; however, there is a difference in the ease of making sufficient and adequate cost comparisons in-person as opposed to online. For that reason, he supports the item. </w:t>
      </w:r>
    </w:p>
    <w:p w14:paraId="7F38B9BE" w14:textId="4A16BC3B" w:rsidR="009720F2" w:rsidRDefault="009720F2" w:rsidP="007B2872">
      <w:pPr>
        <w:rPr>
          <w:rFonts w:eastAsia="Times New Roman"/>
          <w:szCs w:val="24"/>
        </w:rPr>
      </w:pPr>
      <w:r>
        <w:rPr>
          <w:rFonts w:eastAsia="Times New Roman"/>
          <w:szCs w:val="24"/>
        </w:rPr>
        <w:t xml:space="preserve">Mr. Jose Arriaga (County of Orange, California), </w:t>
      </w:r>
      <w:r w:rsidRPr="00E20652">
        <w:rPr>
          <w:rFonts w:eastAsia="Times New Roman"/>
          <w:szCs w:val="24"/>
        </w:rPr>
        <w:t>Mr. Aaron Yanker (Colorado Department of Agriculture, Weights and Measures)</w:t>
      </w:r>
      <w:r>
        <w:rPr>
          <w:rFonts w:eastAsia="Times New Roman"/>
          <w:szCs w:val="24"/>
        </w:rPr>
        <w:t>, and Mr. Matt Douglas (California Division of Measurement Standards) all joined in supporting the item for voting status.</w:t>
      </w:r>
    </w:p>
    <w:p w14:paraId="4C6307C4" w14:textId="470E9C3B" w:rsidR="00A43044" w:rsidRPr="00A43BF4" w:rsidRDefault="009720F2" w:rsidP="007B2872">
      <w:pPr>
        <w:rPr>
          <w:rFonts w:eastAsia="Times New Roman"/>
          <w:szCs w:val="24"/>
        </w:rPr>
      </w:pPr>
      <w:r>
        <w:rPr>
          <w:rFonts w:eastAsia="Times New Roman"/>
          <w:szCs w:val="24"/>
        </w:rPr>
        <w:t>The W</w:t>
      </w:r>
      <w:r w:rsidR="007B2872">
        <w:rPr>
          <w:rFonts w:eastAsia="Times New Roman"/>
          <w:szCs w:val="24"/>
        </w:rPr>
        <w:t>W</w:t>
      </w:r>
      <w:r>
        <w:rPr>
          <w:rFonts w:eastAsia="Times New Roman"/>
          <w:szCs w:val="24"/>
        </w:rPr>
        <w:t xml:space="preserve">MA L&amp;R Committee recommends </w:t>
      </w:r>
      <w:proofErr w:type="gramStart"/>
      <w:r>
        <w:rPr>
          <w:rFonts w:eastAsia="Times New Roman"/>
          <w:szCs w:val="24"/>
        </w:rPr>
        <w:t>a voting</w:t>
      </w:r>
      <w:proofErr w:type="gramEnd"/>
      <w:r>
        <w:rPr>
          <w:rFonts w:eastAsia="Times New Roman"/>
          <w:szCs w:val="24"/>
        </w:rPr>
        <w:t xml:space="preserve"> status.</w:t>
      </w:r>
    </w:p>
    <w:p w14:paraId="0E2DD474" w14:textId="2BBAA972" w:rsidR="00A43044" w:rsidRDefault="00A43044" w:rsidP="00A43044">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CF15BC">
        <w:rPr>
          <w:rFonts w:eastAsia="Times New Roman"/>
          <w:szCs w:val="24"/>
          <w:u w:val="single"/>
        </w:rPr>
        <w:t>Interim</w:t>
      </w:r>
      <w:r w:rsidRPr="0051426D">
        <w:rPr>
          <w:rFonts w:eastAsia="Times New Roman"/>
          <w:szCs w:val="24"/>
          <w:u w:val="single"/>
        </w:rPr>
        <w:t xml:space="preserve"> Meeting:</w:t>
      </w:r>
    </w:p>
    <w:p w14:paraId="348961B8" w14:textId="183E6E04" w:rsidR="005E0EA4" w:rsidRPr="0080149A" w:rsidRDefault="005E0EA4" w:rsidP="007B2872">
      <w:pPr>
        <w:rPr>
          <w:rFonts w:eastAsia="Times New Roman"/>
          <w:szCs w:val="24"/>
        </w:rPr>
      </w:pPr>
      <w:r>
        <w:rPr>
          <w:rFonts w:eastAsia="Times New Roman"/>
          <w:szCs w:val="24"/>
        </w:rPr>
        <w:t xml:space="preserve">Ivan Hankins, IA, and Shelly Miller, WI-Retired, both supported this </w:t>
      </w:r>
      <w:r w:rsidR="00C15922">
        <w:rPr>
          <w:rFonts w:eastAsia="Times New Roman"/>
          <w:szCs w:val="24"/>
        </w:rPr>
        <w:t>item.</w:t>
      </w:r>
      <w:r w:rsidR="00C15922" w:rsidRPr="0080149A">
        <w:rPr>
          <w:rFonts w:eastAsia="Times New Roman"/>
          <w:szCs w:val="24"/>
        </w:rPr>
        <w:t xml:space="preserve"> The</w:t>
      </w:r>
      <w:r w:rsidR="0080149A" w:rsidRPr="0080149A">
        <w:rPr>
          <w:rFonts w:eastAsia="Times New Roman"/>
          <w:szCs w:val="24"/>
        </w:rPr>
        <w:t xml:space="preserve"> CWMA L&amp;R Committee recommends a voting status for this item.</w:t>
      </w:r>
    </w:p>
    <w:p w14:paraId="5BF5243F" w14:textId="77777777" w:rsidR="00D7756D" w:rsidRDefault="00A43044" w:rsidP="00712C69">
      <w:pPr>
        <w:keepNext/>
        <w:keepLines/>
        <w:tabs>
          <w:tab w:val="left" w:pos="3270"/>
        </w:tabs>
        <w:jc w:val="left"/>
        <w:rPr>
          <w:u w:val="single"/>
        </w:rPr>
      </w:pPr>
      <w:r w:rsidRPr="006C7BFB">
        <w:rPr>
          <w:u w:val="single"/>
        </w:rPr>
        <w:t>NEWMA 202</w:t>
      </w:r>
      <w:r>
        <w:rPr>
          <w:u w:val="single"/>
        </w:rPr>
        <w:t>5</w:t>
      </w:r>
      <w:r w:rsidRPr="006C7BFB">
        <w:rPr>
          <w:u w:val="single"/>
        </w:rPr>
        <w:t xml:space="preserve"> Interim Meeting:</w:t>
      </w:r>
    </w:p>
    <w:p w14:paraId="4EC1A06B" w14:textId="0164F2B1" w:rsidR="00D7756D" w:rsidRDefault="00D7756D" w:rsidP="00712C69">
      <w:pPr>
        <w:keepNext/>
        <w:keepLines/>
        <w:rPr>
          <w:rFonts w:eastAsia="Times New Roman"/>
          <w:szCs w:val="24"/>
        </w:rPr>
      </w:pPr>
      <w:r>
        <w:rPr>
          <w:rFonts w:eastAsia="Times New Roman"/>
          <w:szCs w:val="24"/>
        </w:rPr>
        <w:t>Regulators from Vermont and New York commented that they support the item.  A regulator from New Jersey commented that the item has merit and keeping the online spaced consistent with the brick-and-mortar space is always a good idea.  However, the only issue envisioned is continuity of enforcement with states that have separate unit pricing regulations that may not be in line with this model regulation.  New Jersey recommended a Developing status.</w:t>
      </w:r>
    </w:p>
    <w:p w14:paraId="165A25A9" w14:textId="77777777" w:rsidR="007B2872" w:rsidRDefault="00D7756D" w:rsidP="007B2872">
      <w:pPr>
        <w:rPr>
          <w:rFonts w:eastAsia="Times New Roman"/>
          <w:szCs w:val="24"/>
        </w:rPr>
      </w:pPr>
      <w:r>
        <w:rPr>
          <w:rFonts w:eastAsia="Times New Roman"/>
          <w:szCs w:val="24"/>
        </w:rPr>
        <w:t>After hearing comments from the floor, the committee recommended a Developing status, and the body concurred.</w:t>
      </w:r>
    </w:p>
    <w:p w14:paraId="1D804519" w14:textId="42A6DC31" w:rsidR="00806BFF" w:rsidRDefault="00A43044" w:rsidP="007B2872">
      <w:pPr>
        <w:rPr>
          <w:u w:val="single"/>
        </w:rPr>
      </w:pPr>
      <w:r>
        <w:rPr>
          <w:u w:val="single"/>
        </w:rPr>
        <w:t>S</w:t>
      </w:r>
      <w:r w:rsidRPr="00EF1ACC">
        <w:rPr>
          <w:u w:val="single"/>
        </w:rPr>
        <w:t>WMA 202</w:t>
      </w:r>
      <w:r>
        <w:rPr>
          <w:u w:val="single"/>
        </w:rPr>
        <w:t>5</w:t>
      </w:r>
      <w:r w:rsidRPr="00EF1ACC">
        <w:rPr>
          <w:u w:val="single"/>
        </w:rPr>
        <w:t xml:space="preserve"> </w:t>
      </w:r>
      <w:r w:rsidR="00CF15BC">
        <w:rPr>
          <w:u w:val="single"/>
        </w:rPr>
        <w:t>Annual</w:t>
      </w:r>
      <w:r w:rsidRPr="00EF1ACC">
        <w:rPr>
          <w:u w:val="single"/>
        </w:rPr>
        <w:t xml:space="preserve"> Meeting</w:t>
      </w:r>
      <w:r>
        <w:rPr>
          <w:u w:val="single"/>
        </w:rPr>
        <w:t>:</w:t>
      </w:r>
    </w:p>
    <w:p w14:paraId="4B41799E" w14:textId="580E5C01" w:rsidR="00806BFF" w:rsidRDefault="00806BFF" w:rsidP="007B2872">
      <w:pPr>
        <w:rPr>
          <w:rFonts w:eastAsia="Times New Roman"/>
          <w:szCs w:val="24"/>
        </w:rPr>
      </w:pPr>
      <w:r>
        <w:rPr>
          <w:rFonts w:eastAsia="Times New Roman"/>
          <w:szCs w:val="24"/>
        </w:rPr>
        <w:t>The Committee received no comments made during open hearing.</w:t>
      </w:r>
    </w:p>
    <w:p w14:paraId="12FB72E8" w14:textId="67F9B9F5" w:rsidR="00D7756D" w:rsidRPr="00D7756D" w:rsidRDefault="00806BFF" w:rsidP="007B2872">
      <w:pPr>
        <w:rPr>
          <w:rFonts w:eastAsia="Times New Roman"/>
          <w:szCs w:val="24"/>
        </w:rPr>
      </w:pPr>
      <w:r>
        <w:rPr>
          <w:rFonts w:eastAsia="Times New Roman"/>
          <w:szCs w:val="24"/>
        </w:rPr>
        <w:t xml:space="preserve">The Committee heard no opposing </w:t>
      </w:r>
      <w:proofErr w:type="gramStart"/>
      <w:r>
        <w:rPr>
          <w:rFonts w:eastAsia="Times New Roman"/>
          <w:szCs w:val="24"/>
        </w:rPr>
        <w:t>nor</w:t>
      </w:r>
      <w:proofErr w:type="gramEnd"/>
      <w:r>
        <w:rPr>
          <w:rFonts w:eastAsia="Times New Roman"/>
          <w:szCs w:val="24"/>
        </w:rPr>
        <w:t xml:space="preserve"> supporting comments during open hearings. The submitter was not present. The Committee believes this item needs to be further vetted by the NCWM membership and recommends a Developing status. </w:t>
      </w:r>
    </w:p>
    <w:p w14:paraId="25BF6CF6" w14:textId="77777777" w:rsidR="00DB197E" w:rsidRDefault="00DB197E" w:rsidP="00DB197E">
      <w:r>
        <w:t xml:space="preserve">Additional letters, </w:t>
      </w:r>
      <w:proofErr w:type="gramStart"/>
      <w:r>
        <w:t>presentation</w:t>
      </w:r>
      <w:proofErr w:type="gramEnd"/>
      <w:r>
        <w:t xml:space="preserve"> and data may have been submitted for consideration with this item.  Please refer to </w:t>
      </w:r>
      <w:hyperlink r:id="rId36" w:history="1">
        <w:r w:rsidRPr="002A1164">
          <w:rPr>
            <w:rStyle w:val="Hyperlink"/>
          </w:rPr>
          <w:t>https://www.ncwm.com/publication-15</w:t>
        </w:r>
      </w:hyperlink>
      <w:r>
        <w:t xml:space="preserve"> to </w:t>
      </w:r>
      <w:proofErr w:type="gramStart"/>
      <w:r>
        <w:t>review these documents.</w:t>
      </w:r>
      <w:bookmarkEnd w:id="154"/>
      <w:proofErr w:type="gramEnd"/>
    </w:p>
    <w:p w14:paraId="597ED629" w14:textId="6A33110E" w:rsidR="00C039A0" w:rsidRDefault="00C039A0" w:rsidP="00CC6B4E">
      <w:pPr>
        <w:pStyle w:val="Heading1"/>
      </w:pPr>
      <w:bookmarkStart w:id="162" w:name="_Toc464054896"/>
      <w:bookmarkStart w:id="163" w:name="_Toc464055294"/>
      <w:bookmarkStart w:id="164" w:name="_Toc464055905"/>
      <w:bookmarkStart w:id="165" w:name="_Toc464056153"/>
      <w:bookmarkStart w:id="166" w:name="_Toc464056398"/>
      <w:bookmarkStart w:id="167" w:name="_Toc464056648"/>
      <w:bookmarkStart w:id="168" w:name="_Toc464108963"/>
      <w:bookmarkStart w:id="169" w:name="_Toc464109311"/>
      <w:bookmarkStart w:id="170" w:name="_Toc464109788"/>
      <w:bookmarkStart w:id="171" w:name="_Toc464123864"/>
      <w:bookmarkStart w:id="172" w:name="_Toc464124106"/>
      <w:bookmarkStart w:id="173" w:name="_Toc464124590"/>
      <w:bookmarkStart w:id="174" w:name="_Toc487504885"/>
      <w:bookmarkStart w:id="175" w:name="_Toc487504888"/>
      <w:bookmarkStart w:id="176" w:name="_Toc464482691"/>
      <w:bookmarkStart w:id="177" w:name="_Toc464482957"/>
      <w:bookmarkStart w:id="178" w:name="_Toc464483217"/>
      <w:bookmarkStart w:id="179" w:name="_Toc464483483"/>
      <w:bookmarkStart w:id="180" w:name="_Toc464483755"/>
      <w:bookmarkStart w:id="181" w:name="_Toc464484021"/>
      <w:bookmarkStart w:id="182" w:name="_Toc464484460"/>
      <w:bookmarkStart w:id="183" w:name="_Toc464484741"/>
      <w:bookmarkStart w:id="184" w:name="_Toc464488193"/>
      <w:bookmarkStart w:id="185" w:name="_Toc464743065"/>
      <w:bookmarkStart w:id="186" w:name="_Toc464743697"/>
      <w:bookmarkStart w:id="187" w:name="_Toc464744927"/>
      <w:bookmarkStart w:id="188" w:name="_Toc464745476"/>
      <w:bookmarkStart w:id="189" w:name="_Toc464745985"/>
      <w:bookmarkStart w:id="190" w:name="_Toc464747011"/>
      <w:bookmarkStart w:id="191" w:name="_Toc464747289"/>
      <w:bookmarkStart w:id="192" w:name="_Toc464747573"/>
      <w:bookmarkStart w:id="193" w:name="_Toc464747845"/>
      <w:bookmarkStart w:id="194" w:name="_Toc464748596"/>
      <w:bookmarkStart w:id="195" w:name="_Toc464749328"/>
      <w:bookmarkStart w:id="196" w:name="_Toc465148910"/>
      <w:bookmarkStart w:id="197" w:name="_Toc465167911"/>
      <w:bookmarkStart w:id="198" w:name="_Toc489943192"/>
      <w:bookmarkStart w:id="199" w:name="_Toc489943482"/>
      <w:bookmarkStart w:id="200" w:name="_Toc489943772"/>
      <w:bookmarkStart w:id="201" w:name="_Toc491156257"/>
      <w:bookmarkStart w:id="202" w:name="_Toc491157107"/>
      <w:bookmarkStart w:id="203" w:name="_Toc491157402"/>
      <w:bookmarkStart w:id="204" w:name="_Toc491157696"/>
      <w:bookmarkStart w:id="205" w:name="_Toc491157988"/>
      <w:bookmarkStart w:id="206" w:name="_Toc491178429"/>
      <w:bookmarkStart w:id="207" w:name="_Toc491180101"/>
      <w:bookmarkStart w:id="208" w:name="_Toc491180395"/>
      <w:bookmarkStart w:id="209" w:name="_Toc491180771"/>
      <w:bookmarkStart w:id="210" w:name="_Toc491181491"/>
      <w:bookmarkStart w:id="211" w:name="_Toc491183100"/>
      <w:bookmarkStart w:id="212" w:name="_Toc491183384"/>
      <w:bookmarkStart w:id="213" w:name="_Toc491184622"/>
      <w:bookmarkStart w:id="214" w:name="_Toc491184907"/>
      <w:bookmarkStart w:id="215" w:name="_Toc491185187"/>
      <w:bookmarkStart w:id="216" w:name="_Toc491185463"/>
      <w:bookmarkStart w:id="217" w:name="_Toc491250077"/>
      <w:bookmarkStart w:id="218" w:name="_Toc491261934"/>
      <w:bookmarkStart w:id="219" w:name="_Toc491263439"/>
      <w:bookmarkStart w:id="220" w:name="_Toc491265474"/>
      <w:bookmarkStart w:id="221" w:name="_Toc491265768"/>
      <w:bookmarkStart w:id="222" w:name="_Toc491266062"/>
      <w:bookmarkStart w:id="223" w:name="_Toc491267221"/>
      <w:bookmarkStart w:id="224" w:name="_Toc491268006"/>
      <w:bookmarkStart w:id="225" w:name="_Toc491268515"/>
      <w:bookmarkStart w:id="226" w:name="_Toc491324843"/>
      <w:bookmarkStart w:id="227" w:name="_Toc491325261"/>
      <w:bookmarkStart w:id="228" w:name="_Toc491325532"/>
      <w:bookmarkStart w:id="229" w:name="_Toc491325804"/>
      <w:bookmarkStart w:id="230" w:name="_Toc491326227"/>
      <w:bookmarkStart w:id="231" w:name="_Toc491326640"/>
      <w:bookmarkStart w:id="232" w:name="_Toc491326910"/>
      <w:bookmarkStart w:id="233" w:name="_Toc491327182"/>
      <w:bookmarkStart w:id="234" w:name="_Toc491775752"/>
      <w:bookmarkStart w:id="235" w:name="_Toc491776420"/>
      <w:bookmarkStart w:id="236" w:name="_Toc491776878"/>
      <w:bookmarkStart w:id="237" w:name="_Toc491777680"/>
      <w:bookmarkStart w:id="238" w:name="_Toc491777972"/>
      <w:bookmarkStart w:id="239" w:name="_Toc491778263"/>
      <w:bookmarkStart w:id="240" w:name="_Toc491843075"/>
      <w:bookmarkStart w:id="241" w:name="_Toc492389563"/>
      <w:bookmarkStart w:id="242" w:name="_Toc492568412"/>
      <w:bookmarkStart w:id="243" w:name="_Toc492982164"/>
      <w:bookmarkStart w:id="244" w:name="_Toc492982462"/>
      <w:bookmarkStart w:id="245" w:name="_Toc492983024"/>
      <w:bookmarkStart w:id="246" w:name="_Toc492983542"/>
      <w:bookmarkStart w:id="247" w:name="_Toc492984211"/>
      <w:bookmarkStart w:id="248" w:name="_Toc492984510"/>
      <w:bookmarkStart w:id="249" w:name="_Toc492984809"/>
      <w:bookmarkStart w:id="250" w:name="_Toc493079154"/>
      <w:bookmarkStart w:id="251" w:name="_Toc493079452"/>
      <w:bookmarkStart w:id="252" w:name="_Toc493079751"/>
      <w:bookmarkStart w:id="253" w:name="_Toc493162476"/>
      <w:bookmarkStart w:id="254" w:name="_Toc493162779"/>
      <w:bookmarkStart w:id="255" w:name="_Toc494097139"/>
      <w:bookmarkStart w:id="256" w:name="_Toc494103102"/>
      <w:bookmarkStart w:id="257" w:name="_Toc494109344"/>
      <w:bookmarkStart w:id="258" w:name="_Toc494109642"/>
      <w:bookmarkStart w:id="259" w:name="_Toc494110619"/>
      <w:bookmarkStart w:id="260" w:name="_Toc494113407"/>
      <w:bookmarkStart w:id="261" w:name="_Toc494113705"/>
      <w:bookmarkStart w:id="262" w:name="_Toc494114300"/>
      <w:bookmarkStart w:id="263" w:name="_Toc494114598"/>
      <w:bookmarkStart w:id="264" w:name="_Toc494114896"/>
      <w:bookmarkStart w:id="265" w:name="_Toc494352337"/>
      <w:bookmarkStart w:id="266" w:name="_Toc495584478"/>
      <w:bookmarkStart w:id="267" w:name="_Toc496090006"/>
      <w:bookmarkStart w:id="268" w:name="_Toc496090355"/>
      <w:bookmarkStart w:id="269" w:name="_Toc496091119"/>
      <w:bookmarkStart w:id="270" w:name="_Toc496091415"/>
      <w:bookmarkStart w:id="271" w:name="_Toc496108538"/>
      <w:bookmarkStart w:id="272" w:name="_Toc487504903"/>
      <w:bookmarkStart w:id="273" w:name="_Toc464054902"/>
      <w:bookmarkStart w:id="274" w:name="_Toc464055300"/>
      <w:bookmarkStart w:id="275" w:name="_Toc464055911"/>
      <w:bookmarkStart w:id="276" w:name="_Toc464056159"/>
      <w:bookmarkStart w:id="277" w:name="_Toc464056404"/>
      <w:bookmarkStart w:id="278" w:name="_Toc464056654"/>
      <w:bookmarkStart w:id="279" w:name="_Toc464108969"/>
      <w:bookmarkStart w:id="280" w:name="_Toc464109317"/>
      <w:bookmarkStart w:id="281" w:name="_Toc464109794"/>
      <w:bookmarkStart w:id="282" w:name="_Toc464123870"/>
      <w:bookmarkStart w:id="283" w:name="_Toc464124112"/>
      <w:bookmarkStart w:id="284" w:name="_Toc464124596"/>
      <w:bookmarkStart w:id="285" w:name="_Toc487504912"/>
      <w:bookmarkStart w:id="286" w:name="_Toc224019624"/>
      <w:bookmarkStart w:id="287" w:name="_Toc459620581"/>
      <w:bookmarkEnd w:id="10"/>
      <w:bookmarkEnd w:id="1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281428">
        <w:t>OTH – OTHER ITEMS</w:t>
      </w:r>
      <w:bookmarkEnd w:id="286"/>
      <w:r w:rsidRPr="00281428">
        <w:t xml:space="preserve"> </w:t>
      </w:r>
    </w:p>
    <w:p w14:paraId="334C3C5A" w14:textId="2E28745D" w:rsidR="00BA2D06" w:rsidRPr="003C355F" w:rsidRDefault="00BA2D06" w:rsidP="00BA2D06">
      <w:pPr>
        <w:pStyle w:val="ItemHeading"/>
      </w:pPr>
      <w:bookmarkStart w:id="288" w:name="_Toc224019625"/>
      <w:r>
        <w:t>OTH-24.1</w:t>
      </w:r>
      <w:r w:rsidRPr="003C355F">
        <w:tab/>
      </w:r>
      <w:r w:rsidR="0094470B">
        <w:t>A</w:t>
      </w:r>
      <w:r w:rsidRPr="003C355F">
        <w:tab/>
      </w:r>
      <w:r w:rsidRPr="00BA2D06">
        <w:rPr>
          <w:u w:val="single"/>
        </w:rPr>
        <w:t>X. Uniform Ship</w:t>
      </w:r>
      <w:r w:rsidR="00166C3F">
        <w:rPr>
          <w:u w:val="single"/>
        </w:rPr>
        <w:t>ment</w:t>
      </w:r>
      <w:r w:rsidRPr="00BA2D06">
        <w:rPr>
          <w:u w:val="single"/>
        </w:rPr>
        <w:t xml:space="preserve"> Law</w:t>
      </w:r>
      <w:bookmarkEnd w:id="288"/>
    </w:p>
    <w:p w14:paraId="6A9FCAFC" w14:textId="6CAFB12F" w:rsidR="00603B91" w:rsidRDefault="00707772" w:rsidP="00B50CBD">
      <w:pPr>
        <w:spacing w:after="0"/>
        <w:rPr>
          <w:bCs/>
        </w:rPr>
      </w:pPr>
      <w:r>
        <w:rPr>
          <w:b/>
        </w:rPr>
        <w:t xml:space="preserve">Source: </w:t>
      </w:r>
      <w:r w:rsidRPr="00707772">
        <w:rPr>
          <w:bCs/>
        </w:rPr>
        <w:t>New Hampshire Weights and Measures</w:t>
      </w:r>
    </w:p>
    <w:p w14:paraId="5A3987B0" w14:textId="77777777" w:rsidR="00B05346" w:rsidRDefault="00B05346" w:rsidP="00B50CBD">
      <w:pPr>
        <w:spacing w:after="0"/>
        <w:rPr>
          <w:bCs/>
        </w:rPr>
      </w:pPr>
    </w:p>
    <w:p w14:paraId="78E04080" w14:textId="77777777" w:rsidR="00D10AA9" w:rsidRPr="00E025F9" w:rsidRDefault="00D10AA9" w:rsidP="00D10AA9">
      <w:pPr>
        <w:spacing w:after="0"/>
        <w:rPr>
          <w:b/>
        </w:rPr>
      </w:pPr>
      <w:r w:rsidRPr="00E025F9">
        <w:rPr>
          <w:b/>
        </w:rPr>
        <w:t>Purpose:</w:t>
      </w:r>
    </w:p>
    <w:p w14:paraId="3269E1F8" w14:textId="7774E0C3" w:rsidR="00D10AA9" w:rsidRDefault="00D10AA9" w:rsidP="00D10AA9">
      <w:pPr>
        <w:spacing w:after="0"/>
        <w:rPr>
          <w:szCs w:val="20"/>
        </w:rPr>
      </w:pPr>
      <w:r>
        <w:rPr>
          <w:szCs w:val="20"/>
        </w:rPr>
        <w:t>Provide model law language to address the shipment of goods.</w:t>
      </w:r>
    </w:p>
    <w:p w14:paraId="2F71378A" w14:textId="77777777" w:rsidR="00D10AA9" w:rsidRPr="00D10AA9" w:rsidRDefault="00D10AA9" w:rsidP="00D10AA9">
      <w:pPr>
        <w:spacing w:after="0"/>
        <w:rPr>
          <w:szCs w:val="20"/>
        </w:rPr>
      </w:pPr>
    </w:p>
    <w:p w14:paraId="41C7B252" w14:textId="35239DCF" w:rsidR="002646B2" w:rsidRPr="002646B2" w:rsidRDefault="002646B2" w:rsidP="00D10AA9">
      <w:pPr>
        <w:spacing w:after="0"/>
        <w:jc w:val="left"/>
        <w:rPr>
          <w:b/>
          <w:iCs/>
          <w:szCs w:val="20"/>
        </w:rPr>
      </w:pPr>
      <w:r w:rsidRPr="002646B2">
        <w:rPr>
          <w:b/>
          <w:iCs/>
          <w:szCs w:val="20"/>
        </w:rPr>
        <w:t xml:space="preserve">Item under Consideration:    </w:t>
      </w:r>
    </w:p>
    <w:p w14:paraId="2510C191" w14:textId="77777777" w:rsidR="002646B2" w:rsidRPr="002646B2" w:rsidRDefault="002646B2" w:rsidP="002646B2">
      <w:pPr>
        <w:jc w:val="left"/>
        <w:rPr>
          <w:iCs/>
          <w:szCs w:val="20"/>
        </w:rPr>
      </w:pPr>
      <w:r w:rsidRPr="002646B2">
        <w:rPr>
          <w:iCs/>
          <w:szCs w:val="20"/>
        </w:rPr>
        <w:t>Adopt a new Handbook 130 Uniform Shipment Law as follows:</w:t>
      </w:r>
    </w:p>
    <w:p w14:paraId="0EDE9FFC" w14:textId="77777777" w:rsidR="002646B2" w:rsidRPr="002646B2" w:rsidRDefault="002646B2" w:rsidP="002646B2">
      <w:pPr>
        <w:spacing w:before="100" w:beforeAutospacing="1" w:after="100" w:afterAutospacing="1"/>
        <w:jc w:val="center"/>
        <w:rPr>
          <w:rFonts w:eastAsia="Times New Roman"/>
          <w:b/>
          <w:bCs/>
          <w:szCs w:val="20"/>
          <w:u w:val="single"/>
        </w:rPr>
      </w:pPr>
      <w:r w:rsidRPr="002646B2">
        <w:rPr>
          <w:rFonts w:eastAsia="Times New Roman"/>
          <w:b/>
          <w:bCs/>
          <w:szCs w:val="20"/>
          <w:u w:val="single"/>
        </w:rPr>
        <w:t>X. Uniform Shipment Law</w:t>
      </w:r>
    </w:p>
    <w:p w14:paraId="0DAC44E4"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 Purpose</w:t>
      </w:r>
    </w:p>
    <w:p w14:paraId="24DB971A" w14:textId="77777777" w:rsidR="002646B2" w:rsidRPr="002646B2" w:rsidRDefault="002646B2" w:rsidP="002646B2">
      <w:pPr>
        <w:spacing w:before="100" w:beforeAutospacing="1" w:after="100" w:afterAutospacing="1"/>
        <w:jc w:val="left"/>
        <w:rPr>
          <w:rFonts w:eastAsia="Times New Roman"/>
          <w:szCs w:val="20"/>
        </w:rPr>
      </w:pPr>
      <w:r w:rsidRPr="002646B2">
        <w:rPr>
          <w:rFonts w:eastAsia="Times New Roman"/>
          <w:b/>
          <w:bCs/>
          <w:szCs w:val="20"/>
          <w:u w:val="single"/>
        </w:rPr>
        <w:lastRenderedPageBreak/>
        <w:t xml:space="preserve">To ensure transparent, equitable, and accountable shipment practices concerning the weight, measure, and freight classification of shipped goods. </w:t>
      </w:r>
      <w:r w:rsidRPr="002646B2">
        <w:rPr>
          <w:rFonts w:eastAsia="Times New Roman"/>
          <w:i/>
          <w:iCs/>
          <w:szCs w:val="20"/>
        </w:rPr>
        <w:t xml:space="preserve">  </w:t>
      </w:r>
    </w:p>
    <w:p w14:paraId="174083BC"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2. Scope</w:t>
      </w:r>
    </w:p>
    <w:p w14:paraId="210A7B1F"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This Act:</w:t>
      </w:r>
    </w:p>
    <w:p w14:paraId="2A22141A" w14:textId="77777777" w:rsidR="002646B2" w:rsidRPr="002646B2" w:rsidRDefault="002646B2" w:rsidP="0076491B">
      <w:pPr>
        <w:numPr>
          <w:ilvl w:val="0"/>
          <w:numId w:val="35"/>
        </w:numPr>
        <w:spacing w:after="0"/>
        <w:jc w:val="left"/>
        <w:rPr>
          <w:rFonts w:eastAsia="Times New Roman"/>
          <w:b/>
          <w:bCs/>
          <w:szCs w:val="20"/>
          <w:u w:val="single"/>
        </w:rPr>
      </w:pPr>
      <w:r w:rsidRPr="002646B2">
        <w:rPr>
          <w:rFonts w:eastAsia="Times New Roman"/>
          <w:b/>
          <w:bCs/>
          <w:szCs w:val="20"/>
          <w:u w:val="single"/>
        </w:rPr>
        <w:t xml:space="preserve">establishes an enforcement program; </w:t>
      </w:r>
    </w:p>
    <w:p w14:paraId="7869F9FD" w14:textId="77777777" w:rsidR="002646B2" w:rsidRPr="002646B2" w:rsidRDefault="002646B2" w:rsidP="0076491B">
      <w:pPr>
        <w:numPr>
          <w:ilvl w:val="0"/>
          <w:numId w:val="35"/>
        </w:numPr>
        <w:spacing w:after="0"/>
        <w:jc w:val="left"/>
        <w:rPr>
          <w:rFonts w:eastAsia="Times New Roman"/>
          <w:b/>
          <w:bCs/>
          <w:szCs w:val="20"/>
          <w:u w:val="single"/>
        </w:rPr>
      </w:pPr>
      <w:r w:rsidRPr="002646B2">
        <w:rPr>
          <w:rFonts w:eastAsia="Times New Roman"/>
          <w:b/>
          <w:bCs/>
          <w:szCs w:val="20"/>
          <w:u w:val="single"/>
        </w:rPr>
        <w:t>empowers the state to promulgate regulations as needed to carry out the provisions of the Act;</w:t>
      </w:r>
    </w:p>
    <w:p w14:paraId="14A8693B" w14:textId="77777777" w:rsidR="002646B2" w:rsidRPr="002646B2" w:rsidRDefault="002646B2" w:rsidP="0076491B">
      <w:pPr>
        <w:numPr>
          <w:ilvl w:val="0"/>
          <w:numId w:val="35"/>
        </w:numPr>
        <w:spacing w:after="0"/>
        <w:jc w:val="left"/>
        <w:rPr>
          <w:rFonts w:eastAsia="Times New Roman"/>
          <w:b/>
          <w:bCs/>
          <w:szCs w:val="20"/>
          <w:u w:val="single"/>
        </w:rPr>
      </w:pPr>
      <w:r w:rsidRPr="002646B2">
        <w:rPr>
          <w:rFonts w:eastAsia="Times New Roman"/>
          <w:b/>
          <w:bCs/>
          <w:szCs w:val="20"/>
          <w:u w:val="single"/>
        </w:rPr>
        <w:t xml:space="preserve">provides for civil and criminal penalties. </w:t>
      </w:r>
    </w:p>
    <w:p w14:paraId="1BD9BBE7" w14:textId="77777777" w:rsidR="002646B2" w:rsidRPr="002646B2" w:rsidRDefault="002646B2" w:rsidP="002646B2">
      <w:pPr>
        <w:jc w:val="left"/>
        <w:rPr>
          <w:rFonts w:eastAsia="Times New Roman"/>
          <w:b/>
          <w:bCs/>
          <w:szCs w:val="20"/>
          <w:u w:val="single"/>
        </w:rPr>
      </w:pPr>
      <w:r w:rsidRPr="002646B2">
        <w:rPr>
          <w:rFonts w:eastAsia="Times New Roman"/>
          <w:b/>
          <w:bCs/>
          <w:szCs w:val="20"/>
          <w:u w:val="single"/>
        </w:rPr>
        <w:t>Section 3. Definitions</w:t>
      </w:r>
    </w:p>
    <w:p w14:paraId="0B0A3AA1"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As used in this Act:</w:t>
      </w:r>
    </w:p>
    <w:p w14:paraId="2277DE53"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 xml:space="preserve">3.X. </w:t>
      </w:r>
      <w:r w:rsidRPr="002646B2">
        <w:rPr>
          <w:rFonts w:eastAsia="Times New Roman"/>
          <w:b/>
          <w:bCs/>
          <w:szCs w:val="20"/>
          <w:u w:val="single"/>
        </w:rPr>
        <w:tab/>
        <w:t xml:space="preserve">Bill of Lading (BOL) / Waybill. – A legal instrument used in the transportation and shipment industries which lists the goods being shipped and the terms under which they will be delivered. </w:t>
      </w:r>
    </w:p>
    <w:p w14:paraId="6B98D397"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3.X.</w:t>
      </w:r>
      <w:r w:rsidRPr="002646B2">
        <w:rPr>
          <w:rFonts w:eastAsia="Times New Roman"/>
          <w:b/>
          <w:bCs/>
          <w:szCs w:val="20"/>
          <w:u w:val="single"/>
        </w:rPr>
        <w:tab/>
        <w:t>Carrier. – The business that transports an amount of goods.</w:t>
      </w:r>
    </w:p>
    <w:p w14:paraId="60FA45F5"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 xml:space="preserve">3.X. </w:t>
      </w:r>
      <w:r w:rsidRPr="002646B2">
        <w:rPr>
          <w:rFonts w:eastAsia="Times New Roman"/>
          <w:b/>
          <w:bCs/>
          <w:szCs w:val="20"/>
          <w:u w:val="single"/>
        </w:rPr>
        <w:tab/>
        <w:t>Carrier Inspection Certificate. – A document used to signify that shipped goods have been inspected pertaining to, but not limited to, classification, density, weight, or measure.</w:t>
      </w:r>
    </w:p>
    <w:p w14:paraId="7C5ABCD0"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3.X.   Freight Class</w:t>
      </w:r>
      <w:r w:rsidRPr="002646B2">
        <w:rPr>
          <w:rFonts w:eastAsiaTheme="minorHAnsi"/>
          <w:b/>
          <w:bCs/>
          <w:szCs w:val="20"/>
          <w:u w:val="single"/>
        </w:rPr>
        <w:t xml:space="preserve">. – A </w:t>
      </w:r>
      <w:r w:rsidRPr="002646B2">
        <w:rPr>
          <w:rFonts w:eastAsia="Times New Roman"/>
          <w:b/>
          <w:bCs/>
          <w:szCs w:val="20"/>
          <w:u w:val="single"/>
        </w:rPr>
        <w:t xml:space="preserve">system that groups freight into categories based on four factors: density, handling, </w:t>
      </w:r>
      <w:proofErr w:type="spellStart"/>
      <w:r w:rsidRPr="002646B2">
        <w:rPr>
          <w:rFonts w:eastAsia="Times New Roman"/>
          <w:b/>
          <w:bCs/>
          <w:szCs w:val="20"/>
          <w:u w:val="single"/>
        </w:rPr>
        <w:t>stowability</w:t>
      </w:r>
      <w:proofErr w:type="spellEnd"/>
      <w:r w:rsidRPr="002646B2">
        <w:rPr>
          <w:rFonts w:eastAsia="Times New Roman"/>
          <w:b/>
          <w:bCs/>
          <w:szCs w:val="20"/>
          <w:u w:val="single"/>
        </w:rPr>
        <w:t>, and liability.</w:t>
      </w:r>
    </w:p>
    <w:p w14:paraId="400A7E95"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3.X.</w:t>
      </w:r>
      <w:r w:rsidRPr="002646B2">
        <w:rPr>
          <w:rFonts w:eastAsia="Times New Roman"/>
          <w:b/>
          <w:bCs/>
          <w:szCs w:val="20"/>
          <w:u w:val="single"/>
        </w:rPr>
        <w:tab/>
        <w:t xml:space="preserve">Goods. – All things which are movable and can be transported. </w:t>
      </w:r>
    </w:p>
    <w:p w14:paraId="6DA70041" w14:textId="77777777" w:rsidR="002646B2" w:rsidRPr="002646B2" w:rsidRDefault="002646B2" w:rsidP="00264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b/>
          <w:bCs/>
          <w:szCs w:val="20"/>
          <w:u w:val="single"/>
        </w:rPr>
      </w:pPr>
      <w:r w:rsidRPr="002646B2">
        <w:rPr>
          <w:rFonts w:eastAsia="Times New Roman"/>
          <w:b/>
          <w:bCs/>
          <w:szCs w:val="20"/>
          <w:u w:val="single"/>
        </w:rPr>
        <w:t xml:space="preserve">3.X.   Handling Unit. – A single item or group of items that are packaged together and handled as a single unit throughout the shipping process.  Handling units refer to packages or containers. These units are designed to facilitate </w:t>
      </w:r>
      <w:proofErr w:type="gramStart"/>
      <w:r w:rsidRPr="002646B2">
        <w:rPr>
          <w:rFonts w:eastAsia="Times New Roman"/>
          <w:b/>
          <w:bCs/>
          <w:szCs w:val="20"/>
          <w:u w:val="single"/>
        </w:rPr>
        <w:t>the efficient</w:t>
      </w:r>
      <w:proofErr w:type="gramEnd"/>
      <w:r w:rsidRPr="002646B2">
        <w:rPr>
          <w:rFonts w:eastAsia="Times New Roman"/>
          <w:b/>
          <w:bCs/>
          <w:szCs w:val="20"/>
          <w:u w:val="single"/>
        </w:rPr>
        <w:t xml:space="preserve"> and safe transportation, storage, and management of goods. They can vary in size and form. </w:t>
      </w:r>
    </w:p>
    <w:p w14:paraId="3AC1AD8F" w14:textId="77777777" w:rsidR="002646B2" w:rsidRPr="002646B2" w:rsidRDefault="002646B2" w:rsidP="00264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b/>
          <w:bCs/>
          <w:szCs w:val="20"/>
          <w:u w:val="single"/>
        </w:rPr>
      </w:pPr>
    </w:p>
    <w:p w14:paraId="332C08D0" w14:textId="77777777" w:rsidR="002646B2" w:rsidRPr="002646B2" w:rsidRDefault="002646B2" w:rsidP="00264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b/>
          <w:bCs/>
          <w:szCs w:val="20"/>
          <w:u w:val="single"/>
        </w:rPr>
      </w:pPr>
      <w:r w:rsidRPr="002646B2">
        <w:rPr>
          <w:rFonts w:eastAsia="Times New Roman"/>
          <w:b/>
          <w:bCs/>
          <w:szCs w:val="20"/>
          <w:u w:val="single"/>
        </w:rPr>
        <w:t xml:space="preserve">3.X.   Measuring System. – A set of devices and affiliated software used to measure and record the quantity, weight, volume, or size of goods. This includes all parts of the system, as well as where recorded representations are determined, and </w:t>
      </w:r>
      <w:proofErr w:type="gramStart"/>
      <w:r w:rsidRPr="002646B2">
        <w:rPr>
          <w:rFonts w:eastAsia="Times New Roman"/>
          <w:b/>
          <w:bCs/>
          <w:szCs w:val="20"/>
          <w:u w:val="single"/>
        </w:rPr>
        <w:t>shall</w:t>
      </w:r>
      <w:proofErr w:type="gramEnd"/>
      <w:r w:rsidRPr="002646B2">
        <w:rPr>
          <w:rFonts w:eastAsia="Times New Roman"/>
          <w:b/>
          <w:bCs/>
          <w:szCs w:val="20"/>
          <w:u w:val="single"/>
        </w:rPr>
        <w:t xml:space="preserve"> be approved for use by the state enforcement </w:t>
      </w:r>
      <w:proofErr w:type="gramStart"/>
      <w:r w:rsidRPr="002646B2">
        <w:rPr>
          <w:rFonts w:eastAsia="Times New Roman"/>
          <w:b/>
          <w:bCs/>
          <w:szCs w:val="20"/>
          <w:u w:val="single"/>
        </w:rPr>
        <w:t>official</w:t>
      </w:r>
      <w:proofErr w:type="gramEnd"/>
      <w:r w:rsidRPr="002646B2">
        <w:rPr>
          <w:rFonts w:eastAsia="Times New Roman"/>
          <w:b/>
          <w:bCs/>
          <w:szCs w:val="20"/>
          <w:u w:val="single"/>
        </w:rPr>
        <w:t xml:space="preserve"> in accordance with accepted standards. </w:t>
      </w:r>
    </w:p>
    <w:p w14:paraId="3B5AE071" w14:textId="77777777" w:rsidR="002646B2" w:rsidRPr="002646B2" w:rsidRDefault="002646B2" w:rsidP="00264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b/>
          <w:bCs/>
          <w:szCs w:val="20"/>
          <w:u w:val="single"/>
        </w:rPr>
      </w:pPr>
      <w:r w:rsidRPr="002646B2">
        <w:rPr>
          <w:rFonts w:eastAsia="Times New Roman"/>
          <w:b/>
          <w:bCs/>
          <w:szCs w:val="20"/>
          <w:u w:val="single"/>
        </w:rPr>
        <w:t>3.X.   National Motor Freight Classification (NMFC) Code. – A numeric code used in the U.S. freight industry to classify goods for shipping.</w:t>
      </w:r>
    </w:p>
    <w:p w14:paraId="28611077"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 xml:space="preserve">3.X. </w:t>
      </w:r>
      <w:r w:rsidRPr="002646B2">
        <w:rPr>
          <w:rFonts w:eastAsia="Times New Roman"/>
          <w:b/>
          <w:bCs/>
          <w:szCs w:val="20"/>
          <w:u w:val="single"/>
        </w:rPr>
        <w:tab/>
        <w:t xml:space="preserve">Progressive Number (Pro / Tracking Number). – A unique numeric identifier issued by a carrier for identification and tracking of a shipper’s specific order. </w:t>
      </w:r>
    </w:p>
    <w:p w14:paraId="2EC16EA9"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 xml:space="preserve">3.X. </w:t>
      </w:r>
      <w:r w:rsidRPr="002646B2">
        <w:rPr>
          <w:rFonts w:eastAsia="Times New Roman"/>
          <w:b/>
          <w:bCs/>
          <w:szCs w:val="20"/>
          <w:u w:val="single"/>
        </w:rPr>
        <w:tab/>
        <w:t>Quote. – A competitively solicited offer to furnish supplies or services by a method of procurement that is less formalized than a bid or a proposal.</w:t>
      </w:r>
    </w:p>
    <w:p w14:paraId="4DBF2388"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3.X.   Shipment. – A quantity of goods shipped with a carrier.</w:t>
      </w:r>
    </w:p>
    <w:p w14:paraId="38C305F4"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3.X.</w:t>
      </w:r>
      <w:r w:rsidRPr="002646B2">
        <w:rPr>
          <w:rFonts w:eastAsia="Times New Roman"/>
          <w:b/>
          <w:bCs/>
          <w:szCs w:val="20"/>
          <w:u w:val="single"/>
        </w:rPr>
        <w:tab/>
        <w:t>Shipper. – Individuals or businesses that send or request goods using a carrier.</w:t>
      </w:r>
    </w:p>
    <w:p w14:paraId="2CC82A8C"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3.X.</w:t>
      </w:r>
      <w:r w:rsidRPr="002646B2">
        <w:rPr>
          <w:rFonts w:eastAsia="Times New Roman"/>
          <w:b/>
          <w:bCs/>
          <w:szCs w:val="20"/>
          <w:u w:val="single"/>
        </w:rPr>
        <w:tab/>
        <w:t>Terminal or Service Center. – A facility designated for managing and coordinating the movement of trucks and goods, and may facilitate the assessment of goods for weight, measure, and freight classification.</w:t>
      </w:r>
    </w:p>
    <w:p w14:paraId="16150C96" w14:textId="77777777" w:rsidR="002646B2" w:rsidRPr="002646B2" w:rsidRDefault="002646B2" w:rsidP="002646B2">
      <w:pPr>
        <w:spacing w:before="282" w:after="120"/>
        <w:jc w:val="left"/>
        <w:rPr>
          <w:rFonts w:eastAsia="Times New Roman"/>
          <w:b/>
          <w:bCs/>
          <w:iCs/>
          <w:szCs w:val="20"/>
          <w:u w:val="single"/>
        </w:rPr>
      </w:pPr>
      <w:r w:rsidRPr="002646B2">
        <w:rPr>
          <w:rFonts w:eastAsia="Times New Roman"/>
          <w:b/>
          <w:bCs/>
          <w:iCs/>
          <w:szCs w:val="20"/>
          <w:u w:val="single"/>
        </w:rPr>
        <w:lastRenderedPageBreak/>
        <w:t xml:space="preserve">3.X.   Third-Party Logistics (3PL) Provider / Shipping Broker / Freight Forwarder. – An intermediary between the shipper and the carrier who coordinates and facilitates the transportation of goods and may include the arrangement of the import and export of cargo. </w:t>
      </w:r>
    </w:p>
    <w:p w14:paraId="40909429" w14:textId="77777777" w:rsidR="002646B2" w:rsidRPr="002646B2" w:rsidRDefault="002646B2" w:rsidP="002646B2">
      <w:pPr>
        <w:spacing w:before="282" w:after="120"/>
        <w:jc w:val="left"/>
        <w:rPr>
          <w:rFonts w:eastAsia="Times New Roman"/>
          <w:b/>
          <w:bCs/>
          <w:iCs/>
          <w:szCs w:val="20"/>
          <w:u w:val="single"/>
        </w:rPr>
      </w:pPr>
      <w:r w:rsidRPr="002646B2">
        <w:rPr>
          <w:rFonts w:eastAsia="Times New Roman"/>
          <w:b/>
          <w:bCs/>
          <w:iCs/>
          <w:szCs w:val="20"/>
          <w:u w:val="single"/>
        </w:rPr>
        <w:t xml:space="preserve">3.X.   Unique Identifier. – A distinct code or number assigned to an individual, entity, document, or item that differentiates it from all others in a system.  </w:t>
      </w:r>
    </w:p>
    <w:p w14:paraId="0590AF2E"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3.X.</w:t>
      </w:r>
      <w:r w:rsidRPr="002646B2">
        <w:rPr>
          <w:rFonts w:eastAsia="Times New Roman"/>
          <w:b/>
          <w:bCs/>
          <w:szCs w:val="20"/>
          <w:u w:val="single"/>
        </w:rPr>
        <w:tab/>
        <w:t>Director. – The __________ of the Department of __________.</w:t>
      </w:r>
    </w:p>
    <w:p w14:paraId="1A9D39BA"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4. Enforcing Official: Rules and Regulations</w:t>
      </w:r>
    </w:p>
    <w:p w14:paraId="1CBC4906"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The Director is authorized to:</w:t>
      </w:r>
    </w:p>
    <w:p w14:paraId="7E4A2459" w14:textId="77777777" w:rsidR="002646B2" w:rsidRPr="002646B2" w:rsidRDefault="002646B2" w:rsidP="0076491B">
      <w:pPr>
        <w:numPr>
          <w:ilvl w:val="0"/>
          <w:numId w:val="36"/>
        </w:numPr>
        <w:spacing w:after="0"/>
        <w:ind w:left="720"/>
        <w:jc w:val="left"/>
        <w:rPr>
          <w:rFonts w:eastAsia="Times New Roman"/>
          <w:b/>
          <w:bCs/>
          <w:szCs w:val="20"/>
          <w:u w:val="single"/>
        </w:rPr>
      </w:pPr>
      <w:r w:rsidRPr="002646B2">
        <w:rPr>
          <w:rFonts w:eastAsia="Times New Roman"/>
          <w:b/>
          <w:bCs/>
          <w:szCs w:val="20"/>
          <w:u w:val="single"/>
        </w:rPr>
        <w:t>enforce the provisions of this Act;</w:t>
      </w:r>
    </w:p>
    <w:p w14:paraId="7D615ADF" w14:textId="77777777" w:rsidR="002646B2" w:rsidRPr="002646B2" w:rsidRDefault="002646B2" w:rsidP="0076491B">
      <w:pPr>
        <w:numPr>
          <w:ilvl w:val="0"/>
          <w:numId w:val="36"/>
        </w:numPr>
        <w:tabs>
          <w:tab w:val="left" w:pos="2070"/>
        </w:tabs>
        <w:spacing w:after="0"/>
        <w:ind w:left="720"/>
        <w:jc w:val="left"/>
        <w:rPr>
          <w:rFonts w:eastAsia="Times New Roman"/>
          <w:b/>
          <w:bCs/>
          <w:szCs w:val="20"/>
          <w:u w:val="single"/>
        </w:rPr>
      </w:pPr>
      <w:r w:rsidRPr="002646B2">
        <w:rPr>
          <w:rFonts w:eastAsia="Times New Roman"/>
          <w:b/>
          <w:bCs/>
          <w:szCs w:val="20"/>
          <w:u w:val="single"/>
        </w:rPr>
        <w:t>issue reasonable regulations for the enforcement of this Act that shall have the force and effect of law; and</w:t>
      </w:r>
    </w:p>
    <w:p w14:paraId="1AE8169F" w14:textId="77777777" w:rsidR="002646B2" w:rsidRPr="002646B2" w:rsidRDefault="002646B2" w:rsidP="0076491B">
      <w:pPr>
        <w:numPr>
          <w:ilvl w:val="0"/>
          <w:numId w:val="36"/>
        </w:numPr>
        <w:tabs>
          <w:tab w:val="left" w:pos="2070"/>
        </w:tabs>
        <w:spacing w:after="0"/>
        <w:ind w:left="720"/>
        <w:jc w:val="left"/>
        <w:rPr>
          <w:rFonts w:eastAsia="Times New Roman"/>
          <w:b/>
          <w:bCs/>
          <w:szCs w:val="20"/>
          <w:u w:val="single"/>
        </w:rPr>
      </w:pPr>
      <w:r w:rsidRPr="002646B2">
        <w:rPr>
          <w:rFonts w:eastAsia="Times New Roman"/>
          <w:b/>
          <w:bCs/>
          <w:szCs w:val="20"/>
          <w:u w:val="single"/>
        </w:rPr>
        <w:t>adopt rules that include, but are not limited to;</w:t>
      </w:r>
    </w:p>
    <w:p w14:paraId="54B8A41B" w14:textId="77777777" w:rsidR="002646B2" w:rsidRPr="002646B2" w:rsidRDefault="002646B2" w:rsidP="0076491B">
      <w:pPr>
        <w:numPr>
          <w:ilvl w:val="0"/>
          <w:numId w:val="37"/>
        </w:numPr>
        <w:spacing w:after="0"/>
        <w:ind w:left="1080"/>
        <w:jc w:val="left"/>
        <w:rPr>
          <w:rFonts w:eastAsiaTheme="minorHAnsi"/>
          <w:b/>
          <w:bCs/>
          <w:szCs w:val="20"/>
        </w:rPr>
      </w:pPr>
      <w:r w:rsidRPr="002646B2">
        <w:rPr>
          <w:rFonts w:eastAsia="Times New Roman"/>
          <w:b/>
          <w:bCs/>
          <w:szCs w:val="20"/>
          <w:u w:val="single"/>
        </w:rPr>
        <w:t xml:space="preserve">adherence to the provided written quote from either the carrier or 3PL is required, contingent upon the shipper supplying accurate and complete documentation pertaining to the shipment; </w:t>
      </w:r>
    </w:p>
    <w:p w14:paraId="4A7C918D" w14:textId="77777777" w:rsidR="002646B2" w:rsidRPr="002646B2" w:rsidRDefault="002646B2" w:rsidP="0076491B">
      <w:pPr>
        <w:numPr>
          <w:ilvl w:val="0"/>
          <w:numId w:val="37"/>
        </w:numPr>
        <w:spacing w:after="0"/>
        <w:ind w:left="1080"/>
        <w:jc w:val="left"/>
        <w:rPr>
          <w:rFonts w:eastAsia="Times New Roman"/>
          <w:b/>
          <w:bCs/>
          <w:szCs w:val="20"/>
          <w:u w:val="single"/>
        </w:rPr>
      </w:pPr>
      <w:r w:rsidRPr="002646B2">
        <w:rPr>
          <w:rFonts w:eastAsia="Times New Roman"/>
          <w:b/>
          <w:bCs/>
          <w:szCs w:val="20"/>
          <w:u w:val="single"/>
        </w:rPr>
        <w:t>the weighing, measuring, and freight class accuracies that must be followed;</w:t>
      </w:r>
    </w:p>
    <w:p w14:paraId="27E89DB9" w14:textId="77777777" w:rsidR="002646B2" w:rsidRPr="002646B2" w:rsidRDefault="002646B2" w:rsidP="0076491B">
      <w:pPr>
        <w:numPr>
          <w:ilvl w:val="0"/>
          <w:numId w:val="37"/>
        </w:numPr>
        <w:spacing w:after="0"/>
        <w:ind w:left="1080"/>
        <w:jc w:val="left"/>
        <w:rPr>
          <w:rFonts w:eastAsia="Times New Roman"/>
          <w:b/>
          <w:bCs/>
          <w:szCs w:val="20"/>
          <w:u w:val="single"/>
        </w:rPr>
      </w:pPr>
      <w:r w:rsidRPr="002646B2">
        <w:rPr>
          <w:rFonts w:eastAsia="Times New Roman"/>
          <w:b/>
          <w:bCs/>
          <w:szCs w:val="20"/>
          <w:u w:val="single"/>
        </w:rPr>
        <w:t>the required information that shall be submitted by both the carrier and 3PL to the shipper, if a correction is applied; and</w:t>
      </w:r>
    </w:p>
    <w:p w14:paraId="21F79155" w14:textId="77777777" w:rsidR="002646B2" w:rsidRPr="002646B2" w:rsidRDefault="002646B2" w:rsidP="0076491B">
      <w:pPr>
        <w:numPr>
          <w:ilvl w:val="0"/>
          <w:numId w:val="37"/>
        </w:numPr>
        <w:spacing w:after="0"/>
        <w:ind w:left="1080"/>
        <w:jc w:val="left"/>
        <w:rPr>
          <w:rFonts w:eastAsia="Times New Roman"/>
          <w:b/>
          <w:bCs/>
          <w:szCs w:val="20"/>
          <w:u w:val="single"/>
        </w:rPr>
      </w:pPr>
      <w:r w:rsidRPr="002646B2">
        <w:rPr>
          <w:rFonts w:eastAsia="Times New Roman"/>
          <w:b/>
          <w:bCs/>
          <w:szCs w:val="20"/>
          <w:u w:val="single"/>
        </w:rPr>
        <w:t xml:space="preserve">the period of recordkeeping in accordance with Title 49 Subtitle B Chapter III Subchapter B Part 379 Appendix A; </w:t>
      </w:r>
    </w:p>
    <w:p w14:paraId="318F3C87" w14:textId="77777777" w:rsidR="002646B2" w:rsidRPr="002646B2" w:rsidRDefault="002646B2" w:rsidP="002646B2">
      <w:pPr>
        <w:ind w:left="1080"/>
        <w:jc w:val="left"/>
        <w:rPr>
          <w:rFonts w:eastAsia="Times New Roman"/>
          <w:b/>
          <w:bCs/>
          <w:szCs w:val="20"/>
          <w:u w:val="single"/>
        </w:rPr>
      </w:pPr>
    </w:p>
    <w:p w14:paraId="5F11C7EE"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5. Weighing and Measuring Practices and Equipment Used</w:t>
      </w:r>
    </w:p>
    <w:p w14:paraId="482FDAD7"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 xml:space="preserve">All entities, including but not limited </w:t>
      </w:r>
      <w:proofErr w:type="gramStart"/>
      <w:r w:rsidRPr="002646B2">
        <w:rPr>
          <w:rFonts w:eastAsia="Times New Roman"/>
          <w:b/>
          <w:bCs/>
          <w:szCs w:val="20"/>
          <w:u w:val="single"/>
        </w:rPr>
        <w:t>to,</w:t>
      </w:r>
      <w:proofErr w:type="gramEnd"/>
      <w:r w:rsidRPr="002646B2">
        <w:rPr>
          <w:rFonts w:eastAsia="Times New Roman"/>
          <w:b/>
          <w:bCs/>
          <w:szCs w:val="20"/>
          <w:u w:val="single"/>
        </w:rPr>
        <w:t xml:space="preserve"> shippers, 3PL’s, or carriers, shall use weighing and measuring practices and equipment:</w:t>
      </w:r>
    </w:p>
    <w:p w14:paraId="6EEB3ABA" w14:textId="77777777" w:rsidR="002646B2" w:rsidRPr="002646B2" w:rsidRDefault="002646B2" w:rsidP="0076491B">
      <w:pPr>
        <w:numPr>
          <w:ilvl w:val="0"/>
          <w:numId w:val="38"/>
        </w:numPr>
        <w:spacing w:after="0"/>
        <w:ind w:left="720"/>
        <w:jc w:val="left"/>
        <w:rPr>
          <w:rFonts w:eastAsia="Times New Roman"/>
          <w:b/>
          <w:bCs/>
          <w:szCs w:val="20"/>
          <w:u w:val="single"/>
        </w:rPr>
      </w:pPr>
      <w:r w:rsidRPr="002646B2">
        <w:rPr>
          <w:rFonts w:eastAsia="Times New Roman"/>
          <w:b/>
          <w:bCs/>
          <w:szCs w:val="20"/>
          <w:u w:val="single"/>
        </w:rPr>
        <w:t>in accordance with the requirements of the latest edition of NIST Handbook 44, “Specifications, Tolerances, and Other Technical Requirements for Weighing and Measuring Devices”; and</w:t>
      </w:r>
    </w:p>
    <w:p w14:paraId="5138DC7E" w14:textId="77777777" w:rsidR="002646B2" w:rsidRPr="002646B2" w:rsidRDefault="002646B2" w:rsidP="0076491B">
      <w:pPr>
        <w:numPr>
          <w:ilvl w:val="0"/>
          <w:numId w:val="38"/>
        </w:numPr>
        <w:spacing w:after="0"/>
        <w:ind w:left="720"/>
        <w:jc w:val="left"/>
        <w:rPr>
          <w:rFonts w:eastAsia="Times New Roman"/>
          <w:b/>
          <w:bCs/>
          <w:szCs w:val="20"/>
          <w:u w:val="single"/>
        </w:rPr>
      </w:pPr>
      <w:r w:rsidRPr="002646B2">
        <w:rPr>
          <w:rFonts w:eastAsia="Times New Roman"/>
          <w:b/>
          <w:bCs/>
          <w:szCs w:val="20"/>
          <w:u w:val="single"/>
        </w:rPr>
        <w:t>that have been examined, tested, and approved for use by either a weights and measures official or authorized service provider. In the absence of an applicable NTEP program for said device, it shall be used in accordance with the manufacturer’s approved application.</w:t>
      </w:r>
    </w:p>
    <w:p w14:paraId="0D6FAF69"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6. Weighing Device Used</w:t>
      </w:r>
    </w:p>
    <w:p w14:paraId="10A8F643"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All entities, including but not limited to shippers, 3PLs, or carriers, shall use an NTEP-approved weighing device. In the absence of an applicable NTEP program for said device, it shall be used in accordance with the manufacturer’s approved application.</w:t>
      </w:r>
    </w:p>
    <w:p w14:paraId="3CFC14C6"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7. Measuring Device Used</w:t>
      </w:r>
    </w:p>
    <w:p w14:paraId="2DB5BEC1"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All entities, including but not limited to shippers, 3PLs, or carriers, shall use an NTEP-approved measuring device. In the absence of an applicable NTEP program for said device, it shall be used in accordance with the manufacturer’s approved application.</w:t>
      </w:r>
    </w:p>
    <w:p w14:paraId="3063CF40"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8. Carrier Inspection Certificate - Required Entries</w:t>
      </w:r>
    </w:p>
    <w:p w14:paraId="00129BA0" w14:textId="77777777" w:rsidR="002646B2" w:rsidRPr="002646B2" w:rsidRDefault="002646B2" w:rsidP="0076491B">
      <w:pPr>
        <w:numPr>
          <w:ilvl w:val="0"/>
          <w:numId w:val="39"/>
        </w:numPr>
        <w:spacing w:after="0"/>
        <w:ind w:left="720"/>
        <w:jc w:val="left"/>
        <w:rPr>
          <w:rFonts w:eastAsia="Times New Roman"/>
          <w:b/>
          <w:bCs/>
          <w:szCs w:val="20"/>
          <w:u w:val="single"/>
        </w:rPr>
      </w:pPr>
      <w:r w:rsidRPr="002646B2">
        <w:rPr>
          <w:rFonts w:eastAsia="Times New Roman"/>
          <w:b/>
          <w:bCs/>
          <w:szCs w:val="20"/>
          <w:u w:val="single"/>
        </w:rPr>
        <w:lastRenderedPageBreak/>
        <w:t xml:space="preserve">The documentation, when properly completed and signed, including digital signatures, shall be </w:t>
      </w:r>
      <w:proofErr w:type="gramStart"/>
      <w:r w:rsidRPr="002646B2">
        <w:rPr>
          <w:rFonts w:eastAsia="Times New Roman"/>
          <w:b/>
          <w:bCs/>
          <w:szCs w:val="20"/>
          <w:u w:val="single"/>
        </w:rPr>
        <w:t>prima facie</w:t>
      </w:r>
      <w:proofErr w:type="gramEnd"/>
      <w:r w:rsidRPr="002646B2">
        <w:rPr>
          <w:rFonts w:eastAsia="Times New Roman"/>
          <w:b/>
          <w:bCs/>
          <w:szCs w:val="20"/>
          <w:u w:val="single"/>
        </w:rPr>
        <w:t xml:space="preserve"> evidence of the accuracy of the recorded results and procedures followed.</w:t>
      </w:r>
    </w:p>
    <w:p w14:paraId="64E906A4" w14:textId="77777777" w:rsidR="002646B2" w:rsidRPr="002646B2" w:rsidRDefault="002646B2" w:rsidP="0076491B">
      <w:pPr>
        <w:numPr>
          <w:ilvl w:val="0"/>
          <w:numId w:val="39"/>
        </w:numPr>
        <w:spacing w:after="0"/>
        <w:ind w:left="720"/>
        <w:jc w:val="left"/>
        <w:rPr>
          <w:rFonts w:eastAsia="Times New Roman"/>
          <w:b/>
          <w:bCs/>
          <w:szCs w:val="20"/>
          <w:u w:val="single"/>
        </w:rPr>
      </w:pPr>
      <w:r w:rsidRPr="002646B2">
        <w:rPr>
          <w:rFonts w:eastAsia="Times New Roman"/>
          <w:b/>
          <w:bCs/>
          <w:szCs w:val="20"/>
          <w:u w:val="single"/>
        </w:rPr>
        <w:t>The recorded information to be provided on the documentation shall be prescribed by the Director and will include, but not be limited to, the following:</w:t>
      </w:r>
    </w:p>
    <w:p w14:paraId="5AB0A04A"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employee identifier of the individual(s) who conduct(s) the inspection;</w:t>
      </w:r>
    </w:p>
    <w:p w14:paraId="45020EC6"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date and time of the inspection;</w:t>
      </w:r>
    </w:p>
    <w:p w14:paraId="7AFD9E3D"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identifying information for the issuing terminal to include physical address and contact information;</w:t>
      </w:r>
    </w:p>
    <w:p w14:paraId="6EAC81F8"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 xml:space="preserve">unique identifier of the weighing or measuring device used to conduct the inspection;  </w:t>
      </w:r>
    </w:p>
    <w:p w14:paraId="6B02F204"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 xml:space="preserve">indicated </w:t>
      </w:r>
      <w:proofErr w:type="gramStart"/>
      <w:r w:rsidRPr="002646B2">
        <w:rPr>
          <w:rFonts w:eastAsia="Times New Roman"/>
          <w:b/>
          <w:bCs/>
          <w:szCs w:val="20"/>
          <w:u w:val="single"/>
        </w:rPr>
        <w:t>reweigh</w:t>
      </w:r>
      <w:proofErr w:type="gramEnd"/>
      <w:r w:rsidRPr="002646B2">
        <w:rPr>
          <w:rFonts w:eastAsia="Times New Roman"/>
          <w:b/>
          <w:bCs/>
          <w:szCs w:val="20"/>
          <w:u w:val="single"/>
        </w:rPr>
        <w:t xml:space="preserve"> or remeasure value from the weighing device or measuring device for each handling unit; </w:t>
      </w:r>
    </w:p>
    <w:p w14:paraId="6B0B6515"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 xml:space="preserve">indicated NMFC code and commodity description related to freight class for each handling unit or shipment correlating to a change in weight, measure, or density; </w:t>
      </w:r>
    </w:p>
    <w:p w14:paraId="2F31CA8B"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identifying information for both the Pro Number and BOL, if applicable; and</w:t>
      </w:r>
    </w:p>
    <w:p w14:paraId="24341056" w14:textId="77777777" w:rsidR="002646B2" w:rsidRPr="002646B2" w:rsidRDefault="002646B2" w:rsidP="0076491B">
      <w:pPr>
        <w:numPr>
          <w:ilvl w:val="0"/>
          <w:numId w:val="40"/>
        </w:numPr>
        <w:spacing w:after="0"/>
        <w:ind w:left="1080"/>
        <w:jc w:val="left"/>
        <w:rPr>
          <w:rFonts w:eastAsia="Times New Roman"/>
          <w:b/>
          <w:bCs/>
          <w:szCs w:val="20"/>
          <w:u w:val="single"/>
        </w:rPr>
      </w:pPr>
      <w:r w:rsidRPr="002646B2">
        <w:rPr>
          <w:rFonts w:eastAsia="Times New Roman"/>
          <w:b/>
          <w:bCs/>
          <w:szCs w:val="20"/>
          <w:u w:val="single"/>
        </w:rPr>
        <w:t>name and address of the shipper from the point of origin.</w:t>
      </w:r>
    </w:p>
    <w:p w14:paraId="7C6384E9"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9. Copies of Carrier Inspection Certificates</w:t>
      </w:r>
    </w:p>
    <w:p w14:paraId="10EEDE67" w14:textId="77777777" w:rsidR="002646B2" w:rsidRPr="002646B2" w:rsidRDefault="002646B2" w:rsidP="002646B2">
      <w:pPr>
        <w:spacing w:before="100" w:beforeAutospacing="1" w:after="100" w:afterAutospacing="1"/>
        <w:jc w:val="left"/>
        <w:rPr>
          <w:rFonts w:eastAsia="Times New Roman"/>
          <w:i/>
          <w:iCs/>
          <w:szCs w:val="20"/>
        </w:rPr>
      </w:pPr>
      <w:r w:rsidRPr="002646B2">
        <w:rPr>
          <w:rFonts w:eastAsia="Times New Roman"/>
          <w:b/>
          <w:bCs/>
          <w:szCs w:val="20"/>
          <w:u w:val="single"/>
        </w:rPr>
        <w:t xml:space="preserve">The carrier and 3PL shall keep and preserve for the period of two years, a legible copy of each inspection certificate issued to the shipper. The certificates, as required in Section 8. Carrier Inspection Certificate - Required Entries, shall be available for inspection within 48 hours by a weights and measures official during normal business hours.  </w:t>
      </w:r>
    </w:p>
    <w:p w14:paraId="36D6BD5B"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10. Prohibited Acts</w:t>
      </w:r>
    </w:p>
    <w:p w14:paraId="672B1EC7" w14:textId="77777777" w:rsidR="002646B2" w:rsidRPr="002646B2" w:rsidRDefault="002646B2" w:rsidP="002646B2">
      <w:pPr>
        <w:spacing w:before="100" w:beforeAutospacing="1" w:after="100" w:afterAutospacing="1"/>
        <w:jc w:val="left"/>
        <w:rPr>
          <w:rFonts w:eastAsia="Times New Roman"/>
          <w:b/>
          <w:bCs/>
          <w:szCs w:val="20"/>
        </w:rPr>
      </w:pPr>
      <w:r w:rsidRPr="002646B2">
        <w:rPr>
          <w:rFonts w:eastAsia="Times New Roman"/>
          <w:b/>
          <w:bCs/>
          <w:szCs w:val="20"/>
        </w:rPr>
        <w:t xml:space="preserve">It shall be unlawful if </w:t>
      </w:r>
      <w:proofErr w:type="gramStart"/>
      <w:r w:rsidRPr="002646B2">
        <w:rPr>
          <w:rFonts w:eastAsia="Times New Roman"/>
          <w:b/>
          <w:bCs/>
          <w:szCs w:val="20"/>
        </w:rPr>
        <w:t>any</w:t>
      </w:r>
      <w:proofErr w:type="gramEnd"/>
      <w:r w:rsidRPr="002646B2">
        <w:rPr>
          <w:rFonts w:eastAsia="Times New Roman"/>
          <w:b/>
          <w:bCs/>
          <w:szCs w:val="20"/>
        </w:rPr>
        <w:t xml:space="preserve"> entity:</w:t>
      </w:r>
    </w:p>
    <w:p w14:paraId="7C48A682" w14:textId="77777777" w:rsidR="002646B2" w:rsidRPr="002646B2" w:rsidRDefault="002646B2" w:rsidP="0076491B">
      <w:pPr>
        <w:numPr>
          <w:ilvl w:val="0"/>
          <w:numId w:val="42"/>
        </w:numPr>
        <w:spacing w:before="100" w:beforeAutospacing="1" w:after="100" w:afterAutospacing="1"/>
        <w:contextualSpacing/>
        <w:jc w:val="left"/>
        <w:rPr>
          <w:rFonts w:eastAsia="Times New Roman"/>
          <w:b/>
          <w:bCs/>
          <w:szCs w:val="20"/>
          <w:u w:val="single"/>
        </w:rPr>
      </w:pPr>
      <w:r w:rsidRPr="002646B2">
        <w:rPr>
          <w:rFonts w:eastAsia="Times New Roman"/>
          <w:b/>
          <w:bCs/>
          <w:szCs w:val="20"/>
          <w:u w:val="single"/>
        </w:rPr>
        <w:t>violates any provisions of this Act or any regulation promulgated under this Act, with intent to defraud; or</w:t>
      </w:r>
    </w:p>
    <w:p w14:paraId="0A28D0DA" w14:textId="77777777" w:rsidR="002646B2" w:rsidRPr="002646B2" w:rsidRDefault="002646B2" w:rsidP="002646B2">
      <w:pPr>
        <w:spacing w:before="100" w:beforeAutospacing="1" w:after="100" w:afterAutospacing="1"/>
        <w:ind w:left="720"/>
        <w:contextualSpacing/>
        <w:jc w:val="left"/>
        <w:rPr>
          <w:rFonts w:eastAsia="Times New Roman"/>
          <w:b/>
          <w:bCs/>
          <w:szCs w:val="20"/>
          <w:u w:val="single"/>
        </w:rPr>
      </w:pPr>
    </w:p>
    <w:p w14:paraId="5AE0E5FA" w14:textId="77777777" w:rsidR="002646B2" w:rsidRPr="002646B2" w:rsidRDefault="002646B2" w:rsidP="0076491B">
      <w:pPr>
        <w:numPr>
          <w:ilvl w:val="0"/>
          <w:numId w:val="42"/>
        </w:numPr>
        <w:spacing w:before="100" w:beforeAutospacing="1" w:after="100" w:afterAutospacing="1"/>
        <w:contextualSpacing/>
        <w:jc w:val="left"/>
        <w:rPr>
          <w:rFonts w:eastAsia="Times New Roman"/>
          <w:b/>
          <w:bCs/>
          <w:szCs w:val="20"/>
          <w:u w:val="single"/>
        </w:rPr>
      </w:pPr>
      <w:r w:rsidRPr="002646B2">
        <w:rPr>
          <w:rFonts w:eastAsia="Times New Roman"/>
          <w:b/>
          <w:bCs/>
          <w:szCs w:val="20"/>
          <w:u w:val="single"/>
        </w:rPr>
        <w:t>knowingly or with intent to defraud</w:t>
      </w:r>
      <w:r w:rsidRPr="002646B2">
        <w:rPr>
          <w:rFonts w:eastAsia="Times New Roman"/>
          <w:b/>
          <w:bCs/>
          <w:szCs w:val="20"/>
        </w:rPr>
        <w:t xml:space="preserve"> - </w:t>
      </w:r>
    </w:p>
    <w:p w14:paraId="00E39D2A" w14:textId="77777777" w:rsidR="002646B2" w:rsidRPr="002646B2" w:rsidRDefault="002646B2" w:rsidP="002646B2">
      <w:pPr>
        <w:spacing w:after="0"/>
        <w:ind w:left="720"/>
        <w:contextualSpacing/>
        <w:jc w:val="left"/>
        <w:rPr>
          <w:rFonts w:eastAsia="Times New Roman"/>
          <w:b/>
          <w:bCs/>
          <w:szCs w:val="20"/>
          <w:u w:val="single"/>
        </w:rPr>
      </w:pPr>
    </w:p>
    <w:p w14:paraId="3710F29B" w14:textId="77777777" w:rsidR="002646B2" w:rsidRPr="002646B2" w:rsidRDefault="002646B2" w:rsidP="0076491B">
      <w:pPr>
        <w:numPr>
          <w:ilvl w:val="0"/>
          <w:numId w:val="43"/>
        </w:numPr>
        <w:spacing w:before="100" w:beforeAutospacing="1" w:after="100" w:afterAutospacing="1"/>
        <w:contextualSpacing/>
        <w:jc w:val="left"/>
        <w:rPr>
          <w:rFonts w:eastAsia="Times New Roman"/>
          <w:b/>
          <w:bCs/>
          <w:szCs w:val="20"/>
          <w:u w:val="single"/>
        </w:rPr>
      </w:pPr>
      <w:r w:rsidRPr="002646B2">
        <w:rPr>
          <w:rFonts w:eastAsia="Times New Roman"/>
          <w:b/>
          <w:bCs/>
          <w:szCs w:val="20"/>
          <w:u w:val="single"/>
        </w:rPr>
        <w:t xml:space="preserve">provides a false commodity description, freight class, NMFC code, density, weight, or measurement either orally or written; </w:t>
      </w:r>
    </w:p>
    <w:p w14:paraId="2037ED71" w14:textId="77777777" w:rsidR="002646B2" w:rsidRPr="002646B2" w:rsidRDefault="002646B2" w:rsidP="002646B2">
      <w:pPr>
        <w:spacing w:before="100" w:beforeAutospacing="1" w:after="100" w:afterAutospacing="1"/>
        <w:ind w:left="1080"/>
        <w:contextualSpacing/>
        <w:jc w:val="left"/>
        <w:rPr>
          <w:rFonts w:eastAsia="Times New Roman"/>
          <w:b/>
          <w:bCs/>
          <w:szCs w:val="20"/>
          <w:u w:val="single"/>
        </w:rPr>
      </w:pPr>
    </w:p>
    <w:p w14:paraId="1C9CD1C8" w14:textId="77777777" w:rsidR="002646B2" w:rsidRPr="002646B2" w:rsidRDefault="002646B2" w:rsidP="0076491B">
      <w:pPr>
        <w:numPr>
          <w:ilvl w:val="0"/>
          <w:numId w:val="43"/>
        </w:numPr>
        <w:spacing w:before="100" w:beforeAutospacing="1" w:after="100" w:afterAutospacing="1"/>
        <w:contextualSpacing/>
        <w:jc w:val="left"/>
        <w:rPr>
          <w:rFonts w:eastAsia="Times New Roman"/>
          <w:b/>
          <w:bCs/>
          <w:szCs w:val="20"/>
          <w:u w:val="single"/>
        </w:rPr>
      </w:pPr>
      <w:r w:rsidRPr="002646B2">
        <w:rPr>
          <w:rFonts w:eastAsia="Times New Roman"/>
          <w:b/>
          <w:bCs/>
          <w:szCs w:val="20"/>
          <w:u w:val="single"/>
        </w:rPr>
        <w:t>satisfies fewer than all requirements of this Act as stated in Sections 5, 6, 7, 8, and 9;</w:t>
      </w:r>
    </w:p>
    <w:p w14:paraId="4728B54E" w14:textId="77777777" w:rsidR="002646B2" w:rsidRPr="002646B2" w:rsidRDefault="002646B2" w:rsidP="002646B2">
      <w:pPr>
        <w:spacing w:after="0"/>
        <w:ind w:left="720"/>
        <w:contextualSpacing/>
        <w:jc w:val="left"/>
        <w:rPr>
          <w:rFonts w:eastAsia="Times New Roman"/>
          <w:b/>
          <w:bCs/>
          <w:szCs w:val="20"/>
          <w:u w:val="single"/>
        </w:rPr>
      </w:pPr>
    </w:p>
    <w:p w14:paraId="7FC04E65" w14:textId="77777777" w:rsidR="002646B2" w:rsidRPr="002646B2" w:rsidRDefault="002646B2" w:rsidP="0076491B">
      <w:pPr>
        <w:numPr>
          <w:ilvl w:val="0"/>
          <w:numId w:val="43"/>
        </w:numPr>
        <w:spacing w:before="100" w:beforeAutospacing="1" w:after="0" w:afterAutospacing="1"/>
        <w:contextualSpacing/>
        <w:jc w:val="left"/>
        <w:rPr>
          <w:rFonts w:eastAsia="Times New Roman"/>
          <w:b/>
          <w:bCs/>
          <w:szCs w:val="20"/>
          <w:u w:val="single"/>
        </w:rPr>
      </w:pPr>
      <w:r w:rsidRPr="002646B2">
        <w:rPr>
          <w:rFonts w:eastAsia="Times New Roman"/>
          <w:b/>
          <w:bCs/>
          <w:szCs w:val="20"/>
          <w:u w:val="single"/>
        </w:rPr>
        <w:t>hinders or obstructs in any way the Director or their authorized agent in the performance of the Director’s official duties under this Act;</w:t>
      </w:r>
    </w:p>
    <w:p w14:paraId="0F8C6976" w14:textId="77777777" w:rsidR="002646B2" w:rsidRPr="002646B2" w:rsidRDefault="002646B2" w:rsidP="002646B2">
      <w:pPr>
        <w:spacing w:after="0"/>
        <w:ind w:left="720"/>
        <w:contextualSpacing/>
        <w:jc w:val="left"/>
        <w:rPr>
          <w:rFonts w:eastAsia="Times New Roman"/>
          <w:b/>
          <w:bCs/>
          <w:szCs w:val="20"/>
          <w:u w:val="single"/>
        </w:rPr>
      </w:pPr>
    </w:p>
    <w:p w14:paraId="18B69595" w14:textId="77777777" w:rsidR="002646B2" w:rsidRPr="002646B2" w:rsidRDefault="002646B2" w:rsidP="0076491B">
      <w:pPr>
        <w:numPr>
          <w:ilvl w:val="0"/>
          <w:numId w:val="43"/>
        </w:numPr>
        <w:spacing w:after="0"/>
        <w:contextualSpacing/>
        <w:jc w:val="left"/>
        <w:rPr>
          <w:rFonts w:eastAsia="Times New Roman"/>
          <w:b/>
          <w:bCs/>
          <w:szCs w:val="20"/>
          <w:u w:val="single"/>
        </w:rPr>
      </w:pPr>
      <w:r w:rsidRPr="002646B2">
        <w:rPr>
          <w:rFonts w:eastAsia="Times New Roman"/>
          <w:b/>
          <w:bCs/>
          <w:szCs w:val="20"/>
          <w:u w:val="single"/>
        </w:rPr>
        <w:t>uses or have in their possession a measuring system or any of its components that have been designed, modified, or used to facilitate fraud, or that has not been approved for commercial use by a weights and measures agency and/or official, or other authorized regulatory authority having jurisdiction over the measuring system.</w:t>
      </w:r>
    </w:p>
    <w:p w14:paraId="09FB6032" w14:textId="568DF6DE" w:rsidR="002646B2" w:rsidRPr="002646B2" w:rsidRDefault="002646B2" w:rsidP="00346B96">
      <w:pPr>
        <w:spacing w:after="0"/>
        <w:ind w:left="720"/>
        <w:contextualSpacing/>
        <w:jc w:val="left"/>
        <w:rPr>
          <w:rFonts w:eastAsia="Times New Roman"/>
          <w:b/>
          <w:bCs/>
          <w:szCs w:val="20"/>
          <w:u w:val="single"/>
        </w:rPr>
      </w:pPr>
      <w:r w:rsidRPr="002646B2">
        <w:rPr>
          <w:rFonts w:eastAsia="Times New Roman"/>
          <w:b/>
          <w:bCs/>
          <w:szCs w:val="20"/>
          <w:u w:val="single"/>
        </w:rPr>
        <w:t>*Removed (5) language which mimicked 10 (a</w:t>
      </w:r>
      <w:proofErr w:type="gramStart"/>
      <w:r w:rsidRPr="002646B2">
        <w:rPr>
          <w:rFonts w:eastAsia="Times New Roman"/>
          <w:b/>
          <w:bCs/>
          <w:szCs w:val="20"/>
          <w:u w:val="single"/>
        </w:rPr>
        <w:t>).*</w:t>
      </w:r>
      <w:proofErr w:type="gramEnd"/>
    </w:p>
    <w:p w14:paraId="0BA626D9" w14:textId="77777777" w:rsidR="002646B2" w:rsidRPr="002646B2" w:rsidRDefault="002646B2" w:rsidP="002646B2">
      <w:pPr>
        <w:tabs>
          <w:tab w:val="left" w:pos="540"/>
        </w:tabs>
        <w:spacing w:before="100" w:beforeAutospacing="1" w:after="100" w:afterAutospacing="1"/>
        <w:ind w:left="-90"/>
        <w:jc w:val="left"/>
        <w:rPr>
          <w:rFonts w:eastAsia="Times New Roman"/>
          <w:b/>
          <w:bCs/>
          <w:szCs w:val="20"/>
          <w:u w:val="single"/>
        </w:rPr>
      </w:pPr>
      <w:r w:rsidRPr="002646B2">
        <w:rPr>
          <w:rFonts w:eastAsia="Times New Roman"/>
          <w:b/>
          <w:bCs/>
          <w:szCs w:val="20"/>
          <w:u w:val="single"/>
        </w:rPr>
        <w:t>Section 11. Civil Penalties</w:t>
      </w:r>
    </w:p>
    <w:p w14:paraId="002D0DA8" w14:textId="77777777" w:rsidR="002646B2" w:rsidRPr="002646B2" w:rsidRDefault="002646B2" w:rsidP="002646B2">
      <w:pPr>
        <w:tabs>
          <w:tab w:val="left" w:pos="540"/>
        </w:tabs>
        <w:spacing w:before="100" w:beforeAutospacing="1" w:after="100" w:afterAutospacing="1"/>
        <w:ind w:left="-90"/>
        <w:jc w:val="left"/>
        <w:rPr>
          <w:rFonts w:eastAsia="Times New Roman"/>
          <w:b/>
          <w:bCs/>
          <w:szCs w:val="20"/>
          <w:u w:val="single"/>
        </w:rPr>
      </w:pPr>
      <w:r w:rsidRPr="002646B2">
        <w:rPr>
          <w:rFonts w:eastAsia="Times New Roman"/>
          <w:b/>
          <w:bCs/>
          <w:szCs w:val="20"/>
          <w:u w:val="single"/>
        </w:rPr>
        <w:t xml:space="preserve">11.1. </w:t>
      </w:r>
      <w:r w:rsidRPr="002646B2">
        <w:rPr>
          <w:rFonts w:eastAsia="Times New Roman"/>
          <w:b/>
          <w:bCs/>
          <w:szCs w:val="20"/>
          <w:u w:val="single"/>
        </w:rPr>
        <w:tab/>
        <w:t xml:space="preserve">Assessment of Penalties. – Any entity who by themselves or by their servant or agent commits any of the acts enumerated in Section 10. Prohibited Acts may be assessed by the _________ </w:t>
      </w:r>
      <w:proofErr w:type="gramStart"/>
      <w:r w:rsidRPr="002646B2">
        <w:rPr>
          <w:rFonts w:eastAsia="Times New Roman"/>
          <w:b/>
          <w:bCs/>
          <w:szCs w:val="20"/>
          <w:u w:val="single"/>
        </w:rPr>
        <w:t>a civil</w:t>
      </w:r>
      <w:proofErr w:type="gramEnd"/>
      <w:r w:rsidRPr="002646B2">
        <w:rPr>
          <w:rFonts w:eastAsia="Times New Roman"/>
          <w:b/>
          <w:bCs/>
          <w:szCs w:val="20"/>
          <w:u w:val="single"/>
        </w:rPr>
        <w:t xml:space="preserve"> penalty of: </w:t>
      </w:r>
    </w:p>
    <w:p w14:paraId="5B7189B2" w14:textId="77777777" w:rsidR="002646B2" w:rsidRPr="002646B2" w:rsidRDefault="002646B2" w:rsidP="0076491B">
      <w:pPr>
        <w:numPr>
          <w:ilvl w:val="0"/>
          <w:numId w:val="41"/>
        </w:numPr>
        <w:spacing w:after="0"/>
        <w:ind w:left="720"/>
        <w:jc w:val="left"/>
        <w:rPr>
          <w:rFonts w:eastAsia="Times New Roman"/>
          <w:b/>
          <w:bCs/>
          <w:szCs w:val="20"/>
          <w:u w:val="single"/>
        </w:rPr>
      </w:pPr>
      <w:r w:rsidRPr="002646B2">
        <w:rPr>
          <w:rFonts w:eastAsia="Times New Roman"/>
          <w:b/>
          <w:bCs/>
          <w:szCs w:val="20"/>
          <w:u w:val="single"/>
        </w:rPr>
        <w:t>not less than $ nor more than $ for a first violation,</w:t>
      </w:r>
    </w:p>
    <w:p w14:paraId="2DBC5D30" w14:textId="77777777" w:rsidR="002646B2" w:rsidRPr="002646B2" w:rsidRDefault="002646B2" w:rsidP="0076491B">
      <w:pPr>
        <w:numPr>
          <w:ilvl w:val="0"/>
          <w:numId w:val="41"/>
        </w:numPr>
        <w:spacing w:after="0"/>
        <w:ind w:left="720"/>
        <w:jc w:val="left"/>
        <w:rPr>
          <w:rFonts w:eastAsia="Times New Roman"/>
          <w:b/>
          <w:bCs/>
          <w:szCs w:val="20"/>
          <w:u w:val="single"/>
        </w:rPr>
      </w:pPr>
      <w:r w:rsidRPr="002646B2">
        <w:rPr>
          <w:rFonts w:eastAsia="Times New Roman"/>
          <w:b/>
          <w:bCs/>
          <w:szCs w:val="20"/>
          <w:u w:val="single"/>
        </w:rPr>
        <w:t>not less than $ nor more than $ for a second violation within from the date of the first violation, and</w:t>
      </w:r>
    </w:p>
    <w:p w14:paraId="2E4FD567" w14:textId="77777777" w:rsidR="002646B2" w:rsidRPr="002646B2" w:rsidRDefault="002646B2" w:rsidP="0076491B">
      <w:pPr>
        <w:numPr>
          <w:ilvl w:val="0"/>
          <w:numId w:val="41"/>
        </w:numPr>
        <w:spacing w:after="0"/>
        <w:ind w:left="720"/>
        <w:jc w:val="left"/>
        <w:rPr>
          <w:rFonts w:eastAsia="Times New Roman"/>
          <w:b/>
          <w:bCs/>
          <w:szCs w:val="20"/>
          <w:u w:val="single"/>
        </w:rPr>
      </w:pPr>
      <w:r w:rsidRPr="002646B2">
        <w:rPr>
          <w:rFonts w:eastAsia="Times New Roman"/>
          <w:b/>
          <w:bCs/>
          <w:szCs w:val="20"/>
          <w:u w:val="single"/>
        </w:rPr>
        <w:t xml:space="preserve">not less than $ nor more than $ for a third violation </w:t>
      </w:r>
      <w:proofErr w:type="gramStart"/>
      <w:r w:rsidRPr="002646B2">
        <w:rPr>
          <w:rFonts w:eastAsia="Times New Roman"/>
          <w:b/>
          <w:bCs/>
          <w:szCs w:val="20"/>
          <w:u w:val="single"/>
        </w:rPr>
        <w:t>within from</w:t>
      </w:r>
      <w:proofErr w:type="gramEnd"/>
      <w:r w:rsidRPr="002646B2">
        <w:rPr>
          <w:rFonts w:eastAsia="Times New Roman"/>
          <w:b/>
          <w:bCs/>
          <w:szCs w:val="20"/>
          <w:u w:val="single"/>
        </w:rPr>
        <w:t xml:space="preserve"> the date of the first violation.</w:t>
      </w:r>
    </w:p>
    <w:p w14:paraId="47BA9786" w14:textId="77777777" w:rsidR="002646B2" w:rsidRPr="002646B2" w:rsidRDefault="002646B2" w:rsidP="002646B2">
      <w:pPr>
        <w:ind w:left="720"/>
        <w:jc w:val="left"/>
        <w:rPr>
          <w:rFonts w:eastAsia="Times New Roman"/>
          <w:b/>
          <w:bCs/>
          <w:szCs w:val="20"/>
          <w:u w:val="single"/>
        </w:rPr>
      </w:pPr>
    </w:p>
    <w:p w14:paraId="5C53D7FA"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11.2.</w:t>
      </w:r>
      <w:r w:rsidRPr="002646B2">
        <w:rPr>
          <w:rFonts w:eastAsia="Times New Roman"/>
          <w:b/>
          <w:bCs/>
          <w:szCs w:val="20"/>
          <w:u w:val="single"/>
        </w:rPr>
        <w:tab/>
        <w:t xml:space="preserve">Administrative Hearing. – Any entity subject to a civil penalty shall have a right to request an administrative hearing within __________ days of receipt of the notice of the penalty. The Director or their </w:t>
      </w:r>
      <w:proofErr w:type="gramStart"/>
      <w:r w:rsidRPr="002646B2">
        <w:rPr>
          <w:rFonts w:eastAsia="Times New Roman"/>
          <w:b/>
          <w:bCs/>
          <w:szCs w:val="20"/>
          <w:u w:val="single"/>
        </w:rPr>
        <w:t>designee</w:t>
      </w:r>
      <w:proofErr w:type="gramEnd"/>
      <w:r w:rsidRPr="002646B2">
        <w:rPr>
          <w:rFonts w:eastAsia="Times New Roman"/>
          <w:b/>
          <w:bCs/>
          <w:szCs w:val="20"/>
          <w:u w:val="single"/>
        </w:rPr>
        <w:t xml:space="preserve"> shall be authorized to conduct the hearing after giving appropriate notice to the respondent. The decision of the Director shall be subject to appropriate judicial review.</w:t>
      </w:r>
    </w:p>
    <w:p w14:paraId="17918C08"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11.3.</w:t>
      </w:r>
      <w:r w:rsidRPr="002646B2">
        <w:rPr>
          <w:rFonts w:eastAsia="Times New Roman"/>
          <w:b/>
          <w:bCs/>
          <w:szCs w:val="20"/>
          <w:u w:val="single"/>
        </w:rPr>
        <w:tab/>
        <w:t>Collection of Penalties. – If the respondent has exhausted their administrative appeals and the civil penalty has been upheld, they shall pay the civil penalty within __________ days after the effective date of the final decision. If the respondent fails to pay the penalty, a civil action may be brought by the Director in any court of competent jurisdiction to recover the penalty. Any civil penalty collected under this Act shall be transmitted to _________.</w:t>
      </w:r>
    </w:p>
    <w:p w14:paraId="45B5CC33"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12. Criminal Penalties</w:t>
      </w:r>
    </w:p>
    <w:p w14:paraId="6A678A54" w14:textId="77777777" w:rsidR="002646B2" w:rsidRPr="002646B2" w:rsidRDefault="002646B2" w:rsidP="002646B2">
      <w:pPr>
        <w:tabs>
          <w:tab w:val="left" w:pos="540"/>
        </w:tabs>
        <w:spacing w:before="100" w:beforeAutospacing="1" w:after="100" w:afterAutospacing="1"/>
        <w:jc w:val="left"/>
        <w:rPr>
          <w:rFonts w:eastAsia="Times New Roman"/>
          <w:b/>
          <w:bCs/>
          <w:szCs w:val="20"/>
          <w:u w:val="single"/>
        </w:rPr>
      </w:pPr>
      <w:r w:rsidRPr="002646B2">
        <w:rPr>
          <w:rFonts w:eastAsia="Times New Roman"/>
          <w:b/>
          <w:bCs/>
          <w:szCs w:val="20"/>
          <w:u w:val="single"/>
        </w:rPr>
        <w:t>12.1.</w:t>
      </w:r>
      <w:r w:rsidRPr="002646B2">
        <w:rPr>
          <w:rFonts w:eastAsia="Times New Roman"/>
          <w:b/>
          <w:bCs/>
          <w:szCs w:val="20"/>
          <w:u w:val="single"/>
        </w:rPr>
        <w:tab/>
        <w:t>Misdemeanor. – Any entity who by themselves or by their servant or agent commits any of the acts enumerated in Section 10. Prohibited Acts or violates any other provision of this Act shall be guilty of a Class __________ misdemeanor and upon conviction shall be punished by a fine not less than $__________, nor more than $__________, or by imprisonment for not less than __________ nor more than __________, or both fine and imprisonment.</w:t>
      </w:r>
    </w:p>
    <w:p w14:paraId="2132B580"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12.2.  Felony. – Any entity who by themselves or their servant or agent who intentionally commits any of the acts enumerated in Section 10. Prohibited Acts or repeatedly violates any other provision of this Act shall be guilty of a Class __________ felony and upon conviction shall be punished by a fine not less than $__________ and/or by imprisonment for not less than __________, nor more than __________.</w:t>
      </w:r>
    </w:p>
    <w:p w14:paraId="3169A214"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13. Restraining Order and Injunction</w:t>
      </w:r>
    </w:p>
    <w:p w14:paraId="3C7BA40B"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The Director is authorized to apply to any court of competent jurisdiction for a restraining order, or a temporary or permanent injunction, restraining any person from violating any provision of this Act.</w:t>
      </w:r>
    </w:p>
    <w:p w14:paraId="6E511E79"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14. Validity of Prosecutions</w:t>
      </w:r>
    </w:p>
    <w:p w14:paraId="390AF80D"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 xml:space="preserve">Prosecutions for violation of any provision of this Act are declared to be valid and proper notwithstanding the existence of any other valid general or specific Act of this state dealing with matters that may be the same as or </w:t>
      </w:r>
      <w:proofErr w:type="gramStart"/>
      <w:r w:rsidRPr="002646B2">
        <w:rPr>
          <w:rFonts w:eastAsia="Times New Roman"/>
          <w:b/>
          <w:bCs/>
          <w:szCs w:val="20"/>
          <w:u w:val="single"/>
        </w:rPr>
        <w:t>similar to</w:t>
      </w:r>
      <w:proofErr w:type="gramEnd"/>
      <w:r w:rsidRPr="002646B2">
        <w:rPr>
          <w:rFonts w:eastAsia="Times New Roman"/>
          <w:b/>
          <w:bCs/>
          <w:szCs w:val="20"/>
          <w:u w:val="single"/>
        </w:rPr>
        <w:t xml:space="preserve"> those covered by this Act.</w:t>
      </w:r>
    </w:p>
    <w:p w14:paraId="74DADA5E"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15. Severability Provision</w:t>
      </w:r>
    </w:p>
    <w:p w14:paraId="0AF84B94"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 xml:space="preserve">If any provision of this Act is declared unconstitutional, or the applicability thereof to any person or circumstance is held invalid, the constitutionality of the remainder of the Act and the applicability thereof to other </w:t>
      </w:r>
      <w:proofErr w:type="gramStart"/>
      <w:r w:rsidRPr="002646B2">
        <w:rPr>
          <w:rFonts w:eastAsia="Times New Roman"/>
          <w:b/>
          <w:bCs/>
          <w:szCs w:val="20"/>
          <w:u w:val="single"/>
        </w:rPr>
        <w:t>persons</w:t>
      </w:r>
      <w:proofErr w:type="gramEnd"/>
      <w:r w:rsidRPr="002646B2">
        <w:rPr>
          <w:rFonts w:eastAsia="Times New Roman"/>
          <w:b/>
          <w:bCs/>
          <w:szCs w:val="20"/>
          <w:u w:val="single"/>
        </w:rPr>
        <w:t xml:space="preserve"> and circumstances shall not be affected.</w:t>
      </w:r>
    </w:p>
    <w:p w14:paraId="727810F4"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16. Repeal of Conflicting Laws</w:t>
      </w:r>
    </w:p>
    <w:p w14:paraId="032F5695"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All laws and parts of laws contrary to or inconsistent with the provisions of this Act, and specifically __________, are repealed insofar as they might operate in the future; but as to offenses committed, liabilities incurred, and claims now existing there under, the existing law shall remain in full force and effect.</w:t>
      </w:r>
    </w:p>
    <w:p w14:paraId="4A194202"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Section 17. Citation</w:t>
      </w:r>
    </w:p>
    <w:p w14:paraId="46062331"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t>This Act may be cited as the “Shipment Act of __________.”</w:t>
      </w:r>
    </w:p>
    <w:p w14:paraId="7480DED2" w14:textId="77777777" w:rsidR="002646B2" w:rsidRPr="002646B2" w:rsidRDefault="002646B2" w:rsidP="002646B2">
      <w:pPr>
        <w:spacing w:before="100" w:beforeAutospacing="1" w:after="100" w:afterAutospacing="1"/>
        <w:jc w:val="left"/>
        <w:rPr>
          <w:rFonts w:eastAsia="Times New Roman"/>
          <w:b/>
          <w:bCs/>
          <w:szCs w:val="20"/>
          <w:u w:val="single"/>
        </w:rPr>
      </w:pPr>
      <w:r w:rsidRPr="002646B2">
        <w:rPr>
          <w:rFonts w:eastAsia="Times New Roman"/>
          <w:b/>
          <w:bCs/>
          <w:szCs w:val="20"/>
          <w:u w:val="single"/>
        </w:rPr>
        <w:lastRenderedPageBreak/>
        <w:t>Section 18. Effective Date</w:t>
      </w:r>
    </w:p>
    <w:p w14:paraId="79EE1851" w14:textId="6445BDA9" w:rsidR="002646B2" w:rsidRPr="00033D89" w:rsidRDefault="002646B2" w:rsidP="00033D89">
      <w:pPr>
        <w:rPr>
          <w:b/>
          <w:bCs/>
          <w:szCs w:val="20"/>
          <w:u w:val="single"/>
        </w:rPr>
      </w:pPr>
      <w:r w:rsidRPr="002646B2">
        <w:rPr>
          <w:b/>
          <w:bCs/>
          <w:szCs w:val="20"/>
          <w:u w:val="single"/>
        </w:rPr>
        <w:t>This Act shall become effective on __________.</w:t>
      </w:r>
    </w:p>
    <w:p w14:paraId="2DD1C823" w14:textId="77777777" w:rsidR="00BA2D06" w:rsidRPr="00E025F9" w:rsidRDefault="00BA2D06" w:rsidP="00BA2D06">
      <w:pPr>
        <w:spacing w:after="0"/>
        <w:rPr>
          <w:b/>
        </w:rPr>
      </w:pPr>
      <w:r w:rsidRPr="00E025F9">
        <w:rPr>
          <w:b/>
        </w:rPr>
        <w:t>Source:</w:t>
      </w:r>
    </w:p>
    <w:p w14:paraId="63F7A0EF" w14:textId="2116F924" w:rsidR="00BA2D06" w:rsidRDefault="00BA2D06" w:rsidP="00BA2D06">
      <w:r>
        <w:t>New Hampshire Department of Agriculture, Markets &amp; Food</w:t>
      </w:r>
    </w:p>
    <w:p w14:paraId="711335F2" w14:textId="77777777" w:rsidR="00BA2D06" w:rsidRDefault="00BA2D06" w:rsidP="00BA2D06">
      <w:pPr>
        <w:keepNext/>
        <w:spacing w:after="0"/>
      </w:pPr>
      <w:r w:rsidRPr="00E025F9">
        <w:rPr>
          <w:b/>
        </w:rPr>
        <w:t xml:space="preserve">Previous </w:t>
      </w:r>
      <w:r>
        <w:rPr>
          <w:b/>
        </w:rPr>
        <w:t>Status</w:t>
      </w:r>
      <w:r w:rsidRPr="00E025F9">
        <w:rPr>
          <w:b/>
        </w:rPr>
        <w:t>:</w:t>
      </w:r>
    </w:p>
    <w:p w14:paraId="58AF1C66" w14:textId="4F2943A3" w:rsidR="00AA424B" w:rsidRDefault="00AA424B" w:rsidP="00AA424B">
      <w:pPr>
        <w:spacing w:after="0"/>
        <w:ind w:left="360"/>
      </w:pPr>
      <w:r>
        <w:t>2025: Assigned to the Uniform Shipping Law Task Group</w:t>
      </w:r>
    </w:p>
    <w:p w14:paraId="5190BEEA" w14:textId="778C33E0" w:rsidR="00BA2D06" w:rsidRDefault="00B50CBD" w:rsidP="00AA424B">
      <w:pPr>
        <w:ind w:left="360"/>
      </w:pPr>
      <w:r>
        <w:t xml:space="preserve">2024: </w:t>
      </w:r>
      <w:r w:rsidR="005A5AEB">
        <w:t>Assigned</w:t>
      </w:r>
      <w:r w:rsidR="00BA2D06">
        <w:t xml:space="preserve"> </w:t>
      </w:r>
      <w:r w:rsidR="007D68E7">
        <w:t>to the Uniform Shipping Law Task Group</w:t>
      </w:r>
    </w:p>
    <w:p w14:paraId="38F90348" w14:textId="77777777" w:rsidR="00BA2D06" w:rsidRPr="00AB010B" w:rsidRDefault="00BA2D06" w:rsidP="00BA2D06">
      <w:pPr>
        <w:keepNext/>
        <w:spacing w:after="0"/>
        <w:rPr>
          <w:b/>
        </w:rPr>
      </w:pPr>
      <w:r w:rsidRPr="00AB010B">
        <w:rPr>
          <w:b/>
        </w:rPr>
        <w:t>Original Justification:</w:t>
      </w:r>
    </w:p>
    <w:p w14:paraId="43FFA6B1" w14:textId="0537B2E8" w:rsidR="00BA2D06" w:rsidRDefault="00B50CBD" w:rsidP="00BA2D06">
      <w:pPr>
        <w:rPr>
          <w:szCs w:val="20"/>
        </w:rPr>
      </w:pPr>
      <w:r>
        <w:rPr>
          <w:szCs w:val="20"/>
        </w:rPr>
        <w:t>Current shipping practices may result in incorrect overcharges and misleading pricing. It has been documented through investigations that carriers or freight brokers have incorrectly billed shippers on goods shipped. Documentation provided by carriers to both shippers and weights and measures officials lack relevant information needed to fully investigate complaints within the shipping industry.</w:t>
      </w:r>
    </w:p>
    <w:p w14:paraId="46C014F5" w14:textId="675A8117" w:rsidR="00B50CBD" w:rsidRDefault="00B50CBD" w:rsidP="00BA2D06">
      <w:pPr>
        <w:rPr>
          <w:szCs w:val="20"/>
        </w:rPr>
      </w:pPr>
      <w:r>
        <w:rPr>
          <w:szCs w:val="20"/>
        </w:rPr>
        <w:t>Carriers may have language in their contracts that inform the shipper of possible audits of their shipped goods and subsequent correction and audit fees.</w:t>
      </w:r>
    </w:p>
    <w:p w14:paraId="4D663613" w14:textId="383A4B52" w:rsidR="00B50CBD" w:rsidRPr="003B4520" w:rsidRDefault="00B50CBD" w:rsidP="00BA2D06">
      <w:r>
        <w:rPr>
          <w:szCs w:val="20"/>
        </w:rPr>
        <w:t>The submitter requested Voting status in 2024.</w:t>
      </w:r>
    </w:p>
    <w:p w14:paraId="108C7D93" w14:textId="77777777" w:rsidR="00295EBA" w:rsidRPr="002A7C3B" w:rsidRDefault="00295EBA" w:rsidP="00295EBA">
      <w:pPr>
        <w:keepNext/>
        <w:rPr>
          <w:b/>
        </w:rPr>
      </w:pPr>
      <w:r>
        <w:rPr>
          <w:b/>
        </w:rPr>
        <w:t>Comments</w:t>
      </w:r>
      <w:r w:rsidRPr="002A7C3B">
        <w:rPr>
          <w:b/>
        </w:rPr>
        <w:t xml:space="preserve"> in Favor:</w:t>
      </w:r>
    </w:p>
    <w:p w14:paraId="0DFEFCFE" w14:textId="5753359E" w:rsidR="00534074" w:rsidRPr="00C114E4" w:rsidRDefault="0042639E" w:rsidP="00B530E4">
      <w:pPr>
        <w:keepNext/>
        <w:spacing w:after="0"/>
        <w:ind w:firstLine="720"/>
        <w:rPr>
          <w:bCs/>
        </w:rPr>
      </w:pPr>
      <w:r>
        <w:rPr>
          <w:b/>
        </w:rPr>
        <w:t>Weights and Measures Officials</w:t>
      </w:r>
      <w:r w:rsidR="00295EBA" w:rsidRPr="00B530E4">
        <w:rPr>
          <w:b/>
        </w:rPr>
        <w:t>:</w:t>
      </w:r>
    </w:p>
    <w:p w14:paraId="258D7A96" w14:textId="59597C57" w:rsidR="00413507" w:rsidRPr="00096176" w:rsidRDefault="00413507" w:rsidP="00B530E4">
      <w:pPr>
        <w:pStyle w:val="ListParagraph"/>
        <w:keepNext/>
        <w:numPr>
          <w:ilvl w:val="0"/>
          <w:numId w:val="26"/>
        </w:numPr>
        <w:spacing w:after="0"/>
        <w:rPr>
          <w:bCs/>
        </w:rPr>
      </w:pPr>
      <w:r>
        <w:rPr>
          <w:bCs/>
        </w:rPr>
        <w:t xml:space="preserve">Seven </w:t>
      </w:r>
      <w:r w:rsidR="001B29F9">
        <w:rPr>
          <w:bCs/>
        </w:rPr>
        <w:t>w</w:t>
      </w:r>
      <w:r w:rsidRPr="001B29F9">
        <w:rPr>
          <w:bCs/>
        </w:rPr>
        <w:t xml:space="preserve">eights and </w:t>
      </w:r>
      <w:r w:rsidR="001B29F9">
        <w:rPr>
          <w:bCs/>
        </w:rPr>
        <w:t>m</w:t>
      </w:r>
      <w:r w:rsidRPr="001B29F9">
        <w:rPr>
          <w:bCs/>
        </w:rPr>
        <w:t xml:space="preserve">easures </w:t>
      </w:r>
      <w:r w:rsidR="006D1E9C" w:rsidRPr="001B29F9">
        <w:rPr>
          <w:bCs/>
        </w:rPr>
        <w:t>officials</w:t>
      </w:r>
      <w:r w:rsidR="00C114E4">
        <w:rPr>
          <w:bCs/>
        </w:rPr>
        <w:t xml:space="preserve"> supported the item and recommended that it remain Assigned.</w:t>
      </w:r>
    </w:p>
    <w:p w14:paraId="63114CA7" w14:textId="2CF87231" w:rsidR="00C97D2E" w:rsidRPr="002A7C3B" w:rsidRDefault="00295EBA" w:rsidP="00C97D2E">
      <w:pPr>
        <w:spacing w:before="240" w:after="0"/>
        <w:ind w:left="720"/>
        <w:rPr>
          <w:b/>
        </w:rPr>
      </w:pPr>
      <w:r w:rsidRPr="002A7C3B">
        <w:rPr>
          <w:b/>
        </w:rPr>
        <w:t>Industry:</w:t>
      </w:r>
    </w:p>
    <w:p w14:paraId="62CF11FC" w14:textId="5C67FBFE" w:rsidR="00295EBA" w:rsidRPr="002A7C3B" w:rsidRDefault="008822FC" w:rsidP="00295EBA">
      <w:pPr>
        <w:pStyle w:val="ListParagraph"/>
        <w:numPr>
          <w:ilvl w:val="0"/>
          <w:numId w:val="26"/>
        </w:numPr>
        <w:spacing w:after="0" w:line="259" w:lineRule="auto"/>
        <w:contextualSpacing/>
        <w:jc w:val="left"/>
      </w:pPr>
      <w:r>
        <w:t>None</w:t>
      </w:r>
    </w:p>
    <w:p w14:paraId="3CF1EA9B" w14:textId="77777777" w:rsidR="00295EBA" w:rsidRPr="002A7C3B" w:rsidRDefault="00295EBA" w:rsidP="00295EBA">
      <w:pPr>
        <w:spacing w:before="240" w:after="0"/>
        <w:ind w:left="720"/>
        <w:rPr>
          <w:b/>
        </w:rPr>
      </w:pPr>
      <w:r w:rsidRPr="002A7C3B">
        <w:rPr>
          <w:b/>
        </w:rPr>
        <w:t>Advisory:</w:t>
      </w:r>
    </w:p>
    <w:p w14:paraId="27C21207" w14:textId="63114930" w:rsidR="00295EBA" w:rsidRPr="002A7C3B" w:rsidRDefault="002722EB" w:rsidP="00295EBA">
      <w:pPr>
        <w:pStyle w:val="ListParagraph"/>
        <w:numPr>
          <w:ilvl w:val="0"/>
          <w:numId w:val="26"/>
        </w:numPr>
        <w:spacing w:after="0" w:line="259" w:lineRule="auto"/>
        <w:contextualSpacing/>
        <w:jc w:val="left"/>
      </w:pPr>
      <w:r>
        <w:t xml:space="preserve">The </w:t>
      </w:r>
      <w:r w:rsidR="000234D0">
        <w:t>r</w:t>
      </w:r>
      <w:r>
        <w:t>epresentative from NIST OWM support</w:t>
      </w:r>
      <w:r w:rsidR="00B80EFB">
        <w:t xml:space="preserve">ed </w:t>
      </w:r>
      <w:r w:rsidR="00251B29">
        <w:t xml:space="preserve">keeping the item assigned to the </w:t>
      </w:r>
      <w:r w:rsidR="00B80EFB">
        <w:t>Work Group</w:t>
      </w:r>
      <w:r w:rsidR="00251B29">
        <w:t>.</w:t>
      </w:r>
    </w:p>
    <w:p w14:paraId="5B3A6897" w14:textId="77777777" w:rsidR="00295EBA" w:rsidRPr="002A7C3B" w:rsidRDefault="00295EBA" w:rsidP="00295EBA">
      <w:pPr>
        <w:spacing w:before="240"/>
        <w:rPr>
          <w:b/>
        </w:rPr>
      </w:pPr>
      <w:r>
        <w:rPr>
          <w:b/>
        </w:rPr>
        <w:t>Comments</w:t>
      </w:r>
      <w:r w:rsidRPr="002A7C3B">
        <w:rPr>
          <w:b/>
        </w:rPr>
        <w:t xml:space="preserve"> Against:</w:t>
      </w:r>
    </w:p>
    <w:p w14:paraId="6ACB3EB9" w14:textId="6CDD7DB3" w:rsidR="00295EBA" w:rsidRPr="002A7C3B" w:rsidRDefault="0042639E" w:rsidP="00295EBA">
      <w:pPr>
        <w:spacing w:after="0"/>
        <w:ind w:left="720"/>
        <w:rPr>
          <w:b/>
        </w:rPr>
      </w:pPr>
      <w:r>
        <w:rPr>
          <w:b/>
        </w:rPr>
        <w:t>Weights and Measures Officials</w:t>
      </w:r>
      <w:r w:rsidR="00295EBA" w:rsidRPr="002A7C3B">
        <w:rPr>
          <w:b/>
        </w:rPr>
        <w:t>:</w:t>
      </w:r>
    </w:p>
    <w:p w14:paraId="5810B4E4" w14:textId="226A8C94" w:rsidR="0040165E" w:rsidRPr="00B530E4" w:rsidRDefault="008822FC" w:rsidP="00B530E4">
      <w:pPr>
        <w:pStyle w:val="ListParagraph"/>
        <w:numPr>
          <w:ilvl w:val="0"/>
          <w:numId w:val="27"/>
        </w:numPr>
        <w:spacing w:after="0" w:line="259" w:lineRule="auto"/>
        <w:contextualSpacing/>
        <w:jc w:val="left"/>
        <w:rPr>
          <w:b/>
        </w:rPr>
      </w:pPr>
      <w:r>
        <w:t>None</w:t>
      </w:r>
    </w:p>
    <w:p w14:paraId="27E36881" w14:textId="2E5A44DE" w:rsidR="00295EBA" w:rsidRPr="002A7C3B" w:rsidRDefault="00295EBA" w:rsidP="00295EBA">
      <w:pPr>
        <w:spacing w:before="240" w:after="0"/>
        <w:ind w:left="720"/>
        <w:rPr>
          <w:b/>
        </w:rPr>
      </w:pPr>
      <w:r w:rsidRPr="002A7C3B">
        <w:rPr>
          <w:b/>
        </w:rPr>
        <w:t>Industry:</w:t>
      </w:r>
    </w:p>
    <w:p w14:paraId="5A2CDE33" w14:textId="63B99DD3" w:rsidR="00295EBA" w:rsidRPr="002A7C3B" w:rsidRDefault="009C1833" w:rsidP="00742E30">
      <w:pPr>
        <w:pStyle w:val="ListParagraph"/>
        <w:numPr>
          <w:ilvl w:val="0"/>
          <w:numId w:val="27"/>
        </w:numPr>
        <w:spacing w:after="0" w:line="259" w:lineRule="auto"/>
        <w:contextualSpacing/>
        <w:jc w:val="left"/>
      </w:pPr>
      <w:r>
        <w:t xml:space="preserve">One representative from Industry voiced that the item is not finished </w:t>
      </w:r>
      <w:r w:rsidR="00066901">
        <w:t>and needs clarity.</w:t>
      </w:r>
    </w:p>
    <w:p w14:paraId="0655335B" w14:textId="77777777" w:rsidR="00295EBA" w:rsidRPr="00AC5B86" w:rsidRDefault="00295EBA" w:rsidP="00295EBA">
      <w:pPr>
        <w:spacing w:before="240" w:after="0"/>
        <w:ind w:left="720"/>
        <w:rPr>
          <w:b/>
        </w:rPr>
      </w:pPr>
      <w:r w:rsidRPr="002A7C3B">
        <w:rPr>
          <w:b/>
        </w:rPr>
        <w:t>Advisory:</w:t>
      </w:r>
    </w:p>
    <w:p w14:paraId="0D9FE1F5" w14:textId="3509B39D" w:rsidR="00295EBA" w:rsidRDefault="008822FC" w:rsidP="00295EBA">
      <w:pPr>
        <w:pStyle w:val="ListParagraph"/>
        <w:numPr>
          <w:ilvl w:val="0"/>
          <w:numId w:val="27"/>
        </w:numPr>
        <w:spacing w:after="0" w:line="259" w:lineRule="auto"/>
        <w:contextualSpacing/>
        <w:jc w:val="left"/>
      </w:pPr>
      <w:r>
        <w:t>None</w:t>
      </w:r>
    </w:p>
    <w:p w14:paraId="49AC3AD0" w14:textId="34BA44A5" w:rsidR="00295EBA" w:rsidRPr="002A7C3B" w:rsidRDefault="00295EBA" w:rsidP="00295EBA">
      <w:pPr>
        <w:spacing w:before="240"/>
        <w:rPr>
          <w:b/>
        </w:rPr>
      </w:pPr>
      <w:r>
        <w:rPr>
          <w:b/>
        </w:rPr>
        <w:t>Neutral Comments</w:t>
      </w:r>
      <w:r w:rsidRPr="002A7C3B">
        <w:rPr>
          <w:b/>
        </w:rPr>
        <w:t>:</w:t>
      </w:r>
    </w:p>
    <w:p w14:paraId="6F5909FD" w14:textId="082C37AA" w:rsidR="00295EBA" w:rsidRPr="002A7C3B" w:rsidRDefault="0042639E" w:rsidP="00295EBA">
      <w:pPr>
        <w:spacing w:after="0"/>
        <w:ind w:left="720"/>
        <w:rPr>
          <w:b/>
        </w:rPr>
      </w:pPr>
      <w:r>
        <w:rPr>
          <w:b/>
        </w:rPr>
        <w:t>Weights and Measures Officials</w:t>
      </w:r>
      <w:r w:rsidR="00295EBA" w:rsidRPr="002A7C3B">
        <w:rPr>
          <w:b/>
        </w:rPr>
        <w:t>:</w:t>
      </w:r>
    </w:p>
    <w:p w14:paraId="45E1133D" w14:textId="0944A039" w:rsidR="00295EBA" w:rsidRPr="002A7C3B" w:rsidRDefault="008822FC" w:rsidP="00295EBA">
      <w:pPr>
        <w:pStyle w:val="ListParagraph"/>
        <w:numPr>
          <w:ilvl w:val="0"/>
          <w:numId w:val="27"/>
        </w:numPr>
        <w:spacing w:after="0" w:line="259" w:lineRule="auto"/>
        <w:contextualSpacing/>
        <w:jc w:val="left"/>
      </w:pPr>
      <w:r>
        <w:t xml:space="preserve">Multiple </w:t>
      </w:r>
      <w:r w:rsidR="001B29F9">
        <w:t>w</w:t>
      </w:r>
      <w:r w:rsidR="00C074A3" w:rsidRPr="001B29F9">
        <w:t xml:space="preserve">eights and </w:t>
      </w:r>
      <w:r w:rsidR="001B29F9">
        <w:t>m</w:t>
      </w:r>
      <w:r w:rsidR="00C074A3" w:rsidRPr="001B29F9">
        <w:t xml:space="preserve">easures </w:t>
      </w:r>
      <w:r w:rsidR="006D1E9C" w:rsidRPr="001B29F9">
        <w:t>officials</w:t>
      </w:r>
      <w:r w:rsidR="00C074A3">
        <w:t xml:space="preserve"> recommended maintaining this item as Assigned.</w:t>
      </w:r>
    </w:p>
    <w:p w14:paraId="66ABED64" w14:textId="77777777" w:rsidR="00295EBA" w:rsidRPr="002A7C3B" w:rsidRDefault="00295EBA" w:rsidP="00295EBA">
      <w:pPr>
        <w:spacing w:before="240" w:after="0"/>
        <w:ind w:left="720"/>
        <w:rPr>
          <w:b/>
        </w:rPr>
      </w:pPr>
      <w:r w:rsidRPr="002A7C3B">
        <w:rPr>
          <w:b/>
        </w:rPr>
        <w:t>Industry:</w:t>
      </w:r>
    </w:p>
    <w:p w14:paraId="6CBEF42F" w14:textId="2CFF0E58" w:rsidR="00295EBA" w:rsidRPr="002A7C3B" w:rsidRDefault="00432625" w:rsidP="00295EBA">
      <w:pPr>
        <w:pStyle w:val="ListParagraph"/>
        <w:numPr>
          <w:ilvl w:val="0"/>
          <w:numId w:val="27"/>
        </w:numPr>
        <w:spacing w:after="0" w:line="259" w:lineRule="auto"/>
        <w:contextualSpacing/>
        <w:jc w:val="left"/>
      </w:pPr>
      <w:r>
        <w:t>None</w:t>
      </w:r>
    </w:p>
    <w:p w14:paraId="74AAADA0" w14:textId="77777777" w:rsidR="00295EBA" w:rsidRPr="002A7C3B" w:rsidRDefault="00295EBA" w:rsidP="00295EBA">
      <w:pPr>
        <w:spacing w:before="240" w:after="0"/>
        <w:ind w:left="720"/>
        <w:rPr>
          <w:b/>
        </w:rPr>
      </w:pPr>
      <w:r w:rsidRPr="002A7C3B">
        <w:rPr>
          <w:b/>
        </w:rPr>
        <w:t>Advisory:</w:t>
      </w:r>
    </w:p>
    <w:p w14:paraId="5528C034" w14:textId="4B47D5DD" w:rsidR="005F2F22" w:rsidRPr="005F2F22" w:rsidRDefault="00432625" w:rsidP="005F2F22">
      <w:pPr>
        <w:pStyle w:val="ListParagraph"/>
        <w:numPr>
          <w:ilvl w:val="0"/>
          <w:numId w:val="27"/>
        </w:numPr>
        <w:spacing w:after="0"/>
        <w:contextualSpacing/>
        <w:jc w:val="left"/>
        <w:rPr>
          <w:b/>
        </w:rPr>
      </w:pPr>
      <w:r>
        <w:t>The Work Group Chair recommended maintaining this item as Assigned.</w:t>
      </w:r>
    </w:p>
    <w:p w14:paraId="79D63249" w14:textId="77777777" w:rsidR="005F2F22" w:rsidRPr="00C870F5" w:rsidRDefault="005F2F22" w:rsidP="00C870F5">
      <w:pPr>
        <w:spacing w:after="0"/>
        <w:ind w:left="720"/>
        <w:contextualSpacing/>
        <w:jc w:val="left"/>
        <w:rPr>
          <w:b/>
        </w:rPr>
      </w:pPr>
    </w:p>
    <w:p w14:paraId="2DD3BB7C" w14:textId="77777777" w:rsidR="00C870F5" w:rsidRDefault="00BA2D06" w:rsidP="00A94B54">
      <w:pPr>
        <w:contextualSpacing/>
        <w:jc w:val="left"/>
        <w:rPr>
          <w:b/>
        </w:rPr>
      </w:pPr>
      <w:r w:rsidRPr="00C870F5">
        <w:rPr>
          <w:b/>
        </w:rPr>
        <w:t>Item Development:</w:t>
      </w:r>
    </w:p>
    <w:p w14:paraId="0B144B7A" w14:textId="2B901A69" w:rsidR="00C870F5" w:rsidRPr="00A94B54" w:rsidRDefault="00C870F5" w:rsidP="00A94B54">
      <w:pPr>
        <w:keepNext/>
        <w:keepLines/>
        <w:rPr>
          <w:szCs w:val="20"/>
        </w:rPr>
      </w:pPr>
      <w:r w:rsidRPr="00960A2B">
        <w:rPr>
          <w:szCs w:val="20"/>
          <w:u w:val="single"/>
        </w:rPr>
        <w:t>NCWM 202</w:t>
      </w:r>
      <w:r>
        <w:rPr>
          <w:szCs w:val="20"/>
          <w:u w:val="single"/>
        </w:rPr>
        <w:t>6</w:t>
      </w:r>
      <w:r w:rsidRPr="00960A2B">
        <w:rPr>
          <w:szCs w:val="20"/>
          <w:u w:val="single"/>
        </w:rPr>
        <w:t xml:space="preserve"> Interim</w:t>
      </w:r>
      <w:proofErr w:type="gramStart"/>
      <w:r w:rsidRPr="00251B29">
        <w:rPr>
          <w:szCs w:val="20"/>
        </w:rPr>
        <w:t>:</w:t>
      </w:r>
      <w:r w:rsidR="001F33AC" w:rsidRPr="00251B29">
        <w:rPr>
          <w:szCs w:val="20"/>
        </w:rPr>
        <w:t xml:space="preserve">  Th</w:t>
      </w:r>
      <w:r w:rsidR="00E66ECC" w:rsidRPr="00251B29">
        <w:rPr>
          <w:szCs w:val="20"/>
        </w:rPr>
        <w:t>is</w:t>
      </w:r>
      <w:proofErr w:type="gramEnd"/>
      <w:r w:rsidR="00E66ECC" w:rsidRPr="00251B29">
        <w:rPr>
          <w:szCs w:val="20"/>
        </w:rPr>
        <w:t xml:space="preserve"> item continues to be assigned to the Task Group as it is not yet fully developed</w:t>
      </w:r>
      <w:r w:rsidR="00251B29">
        <w:rPr>
          <w:szCs w:val="20"/>
        </w:rPr>
        <w:t>.</w:t>
      </w:r>
      <w:r w:rsidR="00E66ECC" w:rsidRPr="00251B29">
        <w:rPr>
          <w:szCs w:val="20"/>
        </w:rPr>
        <w:t xml:space="preserve"> </w:t>
      </w:r>
      <w:r w:rsidR="009F5059">
        <w:rPr>
          <w:szCs w:val="20"/>
        </w:rPr>
        <w:t>The Item under consideration reflects new language provided by the Task Group.</w:t>
      </w:r>
    </w:p>
    <w:p w14:paraId="71CA2B67" w14:textId="483B2F9F" w:rsidR="000A12E3" w:rsidRPr="00A94B54" w:rsidRDefault="00F55CF6" w:rsidP="00A94B54">
      <w:pPr>
        <w:contextualSpacing/>
        <w:jc w:val="left"/>
        <w:rPr>
          <w:b/>
        </w:rPr>
      </w:pPr>
      <w:r w:rsidRPr="00F55CF6">
        <w:rPr>
          <w:bCs/>
          <w:u w:val="single"/>
        </w:rPr>
        <w:t>NCWM 2025 Annual:</w:t>
      </w:r>
      <w:r>
        <w:rPr>
          <w:bCs/>
        </w:rPr>
        <w:t xml:space="preserve"> </w:t>
      </w:r>
      <w:r w:rsidR="00575569">
        <w:rPr>
          <w:bCs/>
        </w:rPr>
        <w:t>The Item is Assigned so the</w:t>
      </w:r>
      <w:r w:rsidRPr="00F55CF6">
        <w:rPr>
          <w:bCs/>
        </w:rPr>
        <w:t xml:space="preserve"> Committee</w:t>
      </w:r>
      <w:r w:rsidR="00575569">
        <w:rPr>
          <w:bCs/>
        </w:rPr>
        <w:t xml:space="preserve"> heard </w:t>
      </w:r>
      <w:r w:rsidR="00CE01C7">
        <w:rPr>
          <w:bCs/>
        </w:rPr>
        <w:t>comments only from the Task Group Chair</w:t>
      </w:r>
      <w:r w:rsidR="00BD7624">
        <w:rPr>
          <w:bCs/>
        </w:rPr>
        <w:t xml:space="preserve"> Mr.</w:t>
      </w:r>
      <w:r w:rsidR="001F2079" w:rsidRPr="001F2079">
        <w:t xml:space="preserve"> </w:t>
      </w:r>
      <w:r w:rsidR="001F2079">
        <w:t>Miland Kofford</w:t>
      </w:r>
      <w:r w:rsidR="00CE01C7">
        <w:rPr>
          <w:bCs/>
        </w:rPr>
        <w:t xml:space="preserve">.  </w:t>
      </w:r>
      <w:r w:rsidR="00004803">
        <w:rPr>
          <w:bCs/>
        </w:rPr>
        <w:t xml:space="preserve">Mr. Kofford </w:t>
      </w:r>
      <w:r w:rsidR="00856911">
        <w:rPr>
          <w:bCs/>
        </w:rPr>
        <w:t>told the Committe</w:t>
      </w:r>
      <w:r w:rsidR="00AB10C9">
        <w:rPr>
          <w:bCs/>
        </w:rPr>
        <w:t>e that the task group continues work</w:t>
      </w:r>
      <w:r w:rsidR="001E4E5C">
        <w:rPr>
          <w:bCs/>
        </w:rPr>
        <w:t>ing</w:t>
      </w:r>
      <w:r w:rsidR="00AB10C9">
        <w:rPr>
          <w:bCs/>
        </w:rPr>
        <w:t xml:space="preserve"> on and develop</w:t>
      </w:r>
      <w:r w:rsidR="001E4E5C">
        <w:rPr>
          <w:bCs/>
        </w:rPr>
        <w:t>ing</w:t>
      </w:r>
      <w:r w:rsidR="00AB10C9">
        <w:rPr>
          <w:bCs/>
        </w:rPr>
        <w:t xml:space="preserve"> this item.</w:t>
      </w:r>
    </w:p>
    <w:p w14:paraId="6E2A66A4" w14:textId="7C6C4358" w:rsidR="003F2293" w:rsidRDefault="000A12E3" w:rsidP="00A94B54">
      <w:pPr>
        <w:keepNext/>
        <w:keepLines/>
        <w:tabs>
          <w:tab w:val="left" w:pos="4978"/>
        </w:tabs>
        <w:rPr>
          <w:bCs/>
        </w:rPr>
      </w:pPr>
      <w:r>
        <w:rPr>
          <w:bCs/>
        </w:rPr>
        <w:t xml:space="preserve">The task group has </w:t>
      </w:r>
      <w:r w:rsidR="00D36971">
        <w:rPr>
          <w:bCs/>
        </w:rPr>
        <w:t>submitted</w:t>
      </w:r>
      <w:r>
        <w:rPr>
          <w:bCs/>
        </w:rPr>
        <w:t xml:space="preserve"> new language for this item and is available </w:t>
      </w:r>
      <w:r w:rsidR="00051BE7">
        <w:rPr>
          <w:bCs/>
        </w:rPr>
        <w:t>on the NCWM website under supporting documents</w:t>
      </w:r>
      <w:r w:rsidR="0010152A">
        <w:rPr>
          <w:bCs/>
        </w:rPr>
        <w:t xml:space="preserve"> dated July 9, 2025</w:t>
      </w:r>
      <w:r w:rsidR="00051BE7">
        <w:rPr>
          <w:bCs/>
        </w:rPr>
        <w:t>. The Committee has not reviewed or considered this language</w:t>
      </w:r>
      <w:r w:rsidR="00D36971">
        <w:rPr>
          <w:bCs/>
        </w:rPr>
        <w:t>.</w:t>
      </w:r>
    </w:p>
    <w:p w14:paraId="2605DB75" w14:textId="3500817A" w:rsidR="00EA354A" w:rsidRDefault="00514FFE" w:rsidP="00A94B54">
      <w:pPr>
        <w:keepNext/>
        <w:keepLines/>
      </w:pPr>
      <w:r>
        <w:rPr>
          <w:u w:val="single"/>
        </w:rPr>
        <w:t>NCWM 2025</w:t>
      </w:r>
      <w:r w:rsidR="00432469">
        <w:rPr>
          <w:u w:val="single"/>
        </w:rPr>
        <w:t xml:space="preserve"> Interim</w:t>
      </w:r>
      <w:proofErr w:type="gramStart"/>
      <w:r>
        <w:rPr>
          <w:u w:val="single"/>
        </w:rPr>
        <w:t>:</w:t>
      </w:r>
      <w:r w:rsidR="0007726F">
        <w:t xml:space="preserve">  The</w:t>
      </w:r>
      <w:proofErr w:type="gramEnd"/>
      <w:r w:rsidR="0007726F">
        <w:t xml:space="preserve"> Committee received a revision of the proposal during the NCWM 2025 Interim meeting.  It appears above in this report and is the version being considered.  </w:t>
      </w:r>
      <w:bookmarkStart w:id="289" w:name="_Hlk204064583"/>
      <w:r w:rsidR="0007726F">
        <w:t xml:space="preserve">The previous version can be found </w:t>
      </w:r>
      <w:r w:rsidR="00001FE0">
        <w:t xml:space="preserve">in </w:t>
      </w:r>
      <w:r w:rsidR="004E02B8">
        <w:t>NCWM</w:t>
      </w:r>
      <w:r w:rsidR="00001FE0">
        <w:t xml:space="preserve"> 2025 Publication 15.</w:t>
      </w:r>
      <w:bookmarkEnd w:id="289"/>
    </w:p>
    <w:p w14:paraId="7C4D40B3" w14:textId="77777777" w:rsidR="009F4922" w:rsidRDefault="00D02B7F" w:rsidP="009F4922">
      <w:pPr>
        <w:keepNext/>
        <w:keepLines/>
        <w:spacing w:after="0"/>
        <w:ind w:left="720"/>
        <w:jc w:val="left"/>
      </w:pPr>
      <w:r>
        <w:t>Contact: Miland Kof</w:t>
      </w:r>
      <w:r w:rsidR="00E97D76">
        <w:t>f</w:t>
      </w:r>
      <w:r>
        <w:t xml:space="preserve">ord, Chair </w:t>
      </w:r>
      <w:r w:rsidR="00970AC8">
        <w:t>– Uniform Shipment Law Task Group</w:t>
      </w:r>
      <w:hyperlink r:id="rId37" w:history="1"/>
      <w:r w:rsidR="00E97D76">
        <w:t xml:space="preserve"> </w:t>
      </w:r>
    </w:p>
    <w:p w14:paraId="36D46ED6" w14:textId="72F0E45E" w:rsidR="008D3E15" w:rsidRDefault="009F4922" w:rsidP="0077055B">
      <w:pPr>
        <w:keepNext/>
        <w:keepLines/>
        <w:spacing w:after="0" w:line="480" w:lineRule="auto"/>
        <w:ind w:left="720"/>
        <w:jc w:val="left"/>
      </w:pPr>
      <w:hyperlink r:id="rId38" w:history="1">
        <w:r w:rsidRPr="007814EF">
          <w:rPr>
            <w:rStyle w:val="Hyperlink"/>
            <w:noProof w:val="0"/>
          </w:rPr>
          <w:t>mkofford@utah.gov</w:t>
        </w:r>
      </w:hyperlink>
      <w:r w:rsidR="00E97D76">
        <w:t xml:space="preserve"> </w:t>
      </w:r>
    </w:p>
    <w:p w14:paraId="6CE181A4" w14:textId="77777777" w:rsidR="004D1560" w:rsidRDefault="000D0C44" w:rsidP="004D1560">
      <w:pPr>
        <w:keepNext/>
        <w:keepLines/>
        <w:spacing w:after="0"/>
        <w:jc w:val="left"/>
      </w:pPr>
      <w:r>
        <w:t xml:space="preserve">During the 2025 Interim </w:t>
      </w:r>
      <w:proofErr w:type="gramStart"/>
      <w:r>
        <w:t>open ,</w:t>
      </w:r>
      <w:proofErr w:type="gramEnd"/>
      <w:r>
        <w:t xml:space="preserve"> the Committee heard from representatives of the shipping industry that they were in</w:t>
      </w:r>
      <w:r w:rsidR="004D1560">
        <w:t xml:space="preserve"> </w:t>
      </w:r>
      <w:r>
        <w:t xml:space="preserve">general support of this </w:t>
      </w:r>
      <w:r w:rsidR="00BA12B3">
        <w:t>item but</w:t>
      </w:r>
      <w:r>
        <w:t xml:space="preserve"> had some suggestions for the task group to consider. </w:t>
      </w:r>
    </w:p>
    <w:p w14:paraId="7C46D2A9" w14:textId="2F97C807" w:rsidR="004344A8" w:rsidRDefault="000D0C44" w:rsidP="004D1560">
      <w:pPr>
        <w:keepNext/>
        <w:keepLines/>
        <w:spacing w:after="0"/>
        <w:jc w:val="left"/>
      </w:pPr>
      <w:r>
        <w:t xml:space="preserve"> </w:t>
      </w:r>
    </w:p>
    <w:p w14:paraId="59F8BDA0" w14:textId="534795B3" w:rsidR="000D0C44" w:rsidRPr="00ED0215" w:rsidRDefault="00523358" w:rsidP="00BA2D06">
      <w:r>
        <w:t xml:space="preserve">For this reason, and because changes were made to the item during the 2025 Interim, the Committee </w:t>
      </w:r>
      <w:r w:rsidR="00BA12B3">
        <w:t xml:space="preserve">has maintained the Assigned status for this item.  This will allow </w:t>
      </w:r>
      <w:r w:rsidR="007B600F">
        <w:t>interested parties to review the most recent version of the item and for the Task Group to solicit input from industry stakeholders and other interested parties.</w:t>
      </w:r>
    </w:p>
    <w:p w14:paraId="5C00B921" w14:textId="0E12DCC7" w:rsidR="00FD3054" w:rsidRPr="007E4C11" w:rsidRDefault="00FD3054" w:rsidP="00BA2D06">
      <w:pPr>
        <w:rPr>
          <w:bCs/>
          <w:szCs w:val="20"/>
        </w:rPr>
      </w:pPr>
      <w:r>
        <w:rPr>
          <w:bCs/>
          <w:szCs w:val="20"/>
          <w:u w:val="single"/>
        </w:rPr>
        <w:t>NCWM 2024 Annual</w:t>
      </w:r>
      <w:proofErr w:type="gramStart"/>
      <w:r>
        <w:rPr>
          <w:bCs/>
          <w:szCs w:val="20"/>
          <w:u w:val="single"/>
        </w:rPr>
        <w:t>:</w:t>
      </w:r>
      <w:r w:rsidR="007E4C11">
        <w:rPr>
          <w:bCs/>
          <w:szCs w:val="20"/>
        </w:rPr>
        <w:t xml:space="preserve">  The</w:t>
      </w:r>
      <w:proofErr w:type="gramEnd"/>
      <w:r w:rsidR="007E4C11">
        <w:rPr>
          <w:bCs/>
          <w:szCs w:val="20"/>
        </w:rPr>
        <w:t xml:space="preserve"> Committee took no action </w:t>
      </w:r>
      <w:r w:rsidR="00A5616E">
        <w:rPr>
          <w:bCs/>
          <w:szCs w:val="20"/>
        </w:rPr>
        <w:t>and did not make</w:t>
      </w:r>
      <w:r w:rsidR="007E4C11">
        <w:rPr>
          <w:bCs/>
          <w:szCs w:val="20"/>
        </w:rPr>
        <w:t xml:space="preserve"> any changes to this item.</w:t>
      </w:r>
    </w:p>
    <w:p w14:paraId="3F0D0B34" w14:textId="157FC792" w:rsidR="00BA2D06" w:rsidRDefault="00867E59" w:rsidP="00BA2D06">
      <w:r w:rsidRPr="00AD2591">
        <w:rPr>
          <w:bCs/>
          <w:szCs w:val="20"/>
          <w:u w:val="single"/>
        </w:rPr>
        <w:t>NCWM 2024 Interim:</w:t>
      </w:r>
      <w:r>
        <w:rPr>
          <w:bCs/>
          <w:szCs w:val="20"/>
        </w:rPr>
        <w:t xml:space="preserve"> The </w:t>
      </w:r>
      <w:r w:rsidR="00314716">
        <w:rPr>
          <w:bCs/>
          <w:szCs w:val="20"/>
        </w:rPr>
        <w:t xml:space="preserve">submitter made a presentation on this </w:t>
      </w:r>
      <w:proofErr w:type="gramStart"/>
      <w:r w:rsidR="00314716">
        <w:rPr>
          <w:bCs/>
          <w:szCs w:val="20"/>
        </w:rPr>
        <w:t>item</w:t>
      </w:r>
      <w:proofErr w:type="gramEnd"/>
      <w:r w:rsidR="00314716">
        <w:rPr>
          <w:bCs/>
          <w:szCs w:val="20"/>
        </w:rPr>
        <w:t xml:space="preserve"> and the </w:t>
      </w:r>
      <w:r>
        <w:rPr>
          <w:bCs/>
          <w:szCs w:val="20"/>
        </w:rPr>
        <w:t>Committee heard support for the item, but recognizing it is not fully developed will request t</w:t>
      </w:r>
      <w:r w:rsidR="001A53D0">
        <w:rPr>
          <w:bCs/>
          <w:szCs w:val="20"/>
        </w:rPr>
        <w:t xml:space="preserve">o assign it to </w:t>
      </w:r>
      <w:r w:rsidR="00E8139B">
        <w:rPr>
          <w:bCs/>
          <w:szCs w:val="20"/>
        </w:rPr>
        <w:t>the</w:t>
      </w:r>
      <w:r w:rsidR="00D2486F">
        <w:rPr>
          <w:bCs/>
          <w:szCs w:val="20"/>
        </w:rPr>
        <w:t xml:space="preserve"> newly formed</w:t>
      </w:r>
      <w:r w:rsidR="001A53D0">
        <w:rPr>
          <w:bCs/>
          <w:szCs w:val="20"/>
        </w:rPr>
        <w:t xml:space="preserve"> </w:t>
      </w:r>
      <w:r w:rsidR="00E8139B">
        <w:rPr>
          <w:bCs/>
          <w:szCs w:val="20"/>
        </w:rPr>
        <w:t>Uniform Ship</w:t>
      </w:r>
      <w:r w:rsidR="006609F4">
        <w:rPr>
          <w:bCs/>
          <w:szCs w:val="20"/>
        </w:rPr>
        <w:t>ment</w:t>
      </w:r>
      <w:r w:rsidR="00E8139B">
        <w:rPr>
          <w:bCs/>
          <w:szCs w:val="20"/>
        </w:rPr>
        <w:t xml:space="preserve"> Law </w:t>
      </w:r>
      <w:r w:rsidR="001A53D0">
        <w:rPr>
          <w:bCs/>
          <w:szCs w:val="20"/>
        </w:rPr>
        <w:t xml:space="preserve">Task Group.  </w:t>
      </w:r>
    </w:p>
    <w:p w14:paraId="72739018" w14:textId="77777777" w:rsidR="00BA2D06" w:rsidRDefault="00BA2D06" w:rsidP="00BA2D06">
      <w:pPr>
        <w:spacing w:after="0"/>
        <w:rPr>
          <w:b/>
        </w:rPr>
      </w:pPr>
      <w:r w:rsidRPr="00E025F9">
        <w:rPr>
          <w:b/>
        </w:rPr>
        <w:t>Regional Associations’ Comments:</w:t>
      </w:r>
    </w:p>
    <w:p w14:paraId="6265A15D" w14:textId="77777777" w:rsidR="000726C1" w:rsidRPr="00E025F9" w:rsidRDefault="000726C1" w:rsidP="00BA2D06">
      <w:pPr>
        <w:spacing w:after="0"/>
        <w:rPr>
          <w:b/>
        </w:rPr>
      </w:pPr>
    </w:p>
    <w:p w14:paraId="43B4F81A" w14:textId="6913050F" w:rsidR="00B55C17" w:rsidRDefault="00A43044" w:rsidP="007B2872">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24490E54" w14:textId="217B06F0" w:rsidR="006403F5" w:rsidRDefault="006403F5" w:rsidP="007B2872">
      <w:pPr>
        <w:rPr>
          <w:rFonts w:eastAsia="Times New Roman"/>
          <w:szCs w:val="24"/>
        </w:rPr>
      </w:pPr>
      <w:r>
        <w:rPr>
          <w:rFonts w:eastAsia="Times New Roman"/>
          <w:szCs w:val="24"/>
        </w:rPr>
        <w:t>The current version of this proposal was not included in the L&amp;R committee’s agenda and appears as a separate item on the WWMA website.</w:t>
      </w:r>
    </w:p>
    <w:p w14:paraId="1499918D" w14:textId="613BC372" w:rsidR="006403F5" w:rsidRDefault="006403F5" w:rsidP="007B2872">
      <w:pPr>
        <w:rPr>
          <w:rFonts w:eastAsia="Times New Roman"/>
          <w:szCs w:val="24"/>
        </w:rPr>
      </w:pPr>
      <w:r>
        <w:rPr>
          <w:rFonts w:eastAsia="Times New Roman"/>
          <w:szCs w:val="24"/>
        </w:rPr>
        <w:t xml:space="preserve">Mr. </w:t>
      </w:r>
      <w:r w:rsidRPr="00D1251B">
        <w:rPr>
          <w:rFonts w:eastAsia="Times New Roman"/>
          <w:szCs w:val="24"/>
        </w:rPr>
        <w:t>Milan</w:t>
      </w:r>
      <w:r>
        <w:rPr>
          <w:rFonts w:eastAsia="Times New Roman"/>
          <w:szCs w:val="24"/>
        </w:rPr>
        <w:t>d</w:t>
      </w:r>
      <w:r w:rsidRPr="00D1251B">
        <w:rPr>
          <w:rFonts w:eastAsia="Times New Roman"/>
          <w:szCs w:val="24"/>
        </w:rPr>
        <w:t xml:space="preserve"> Ko</w:t>
      </w:r>
      <w:r>
        <w:rPr>
          <w:rFonts w:eastAsia="Times New Roman"/>
          <w:szCs w:val="24"/>
        </w:rPr>
        <w:t>f</w:t>
      </w:r>
      <w:r w:rsidRPr="00D1251B">
        <w:rPr>
          <w:rFonts w:eastAsia="Times New Roman"/>
          <w:szCs w:val="24"/>
        </w:rPr>
        <w:t>ford</w:t>
      </w:r>
      <w:r>
        <w:rPr>
          <w:rFonts w:eastAsia="Times New Roman"/>
          <w:szCs w:val="24"/>
        </w:rPr>
        <w:t xml:space="preserve"> (representing both the </w:t>
      </w:r>
      <w:r w:rsidRPr="00D1251B">
        <w:rPr>
          <w:rFonts w:eastAsia="Times New Roman"/>
          <w:szCs w:val="24"/>
        </w:rPr>
        <w:t>Utah</w:t>
      </w:r>
      <w:r>
        <w:rPr>
          <w:rFonts w:eastAsia="Times New Roman"/>
          <w:szCs w:val="24"/>
        </w:rPr>
        <w:t xml:space="preserve"> Department of Agriculture and Food,</w:t>
      </w:r>
      <w:r w:rsidRPr="00D1251B">
        <w:rPr>
          <w:rFonts w:eastAsia="Times New Roman"/>
          <w:szCs w:val="24"/>
        </w:rPr>
        <w:t xml:space="preserve"> and </w:t>
      </w:r>
      <w:r w:rsidRPr="00744EE2">
        <w:rPr>
          <w:rFonts w:eastAsia="Times New Roman"/>
          <w:szCs w:val="24"/>
        </w:rPr>
        <w:t>Chair of the Uniform Shipping Law Task Group</w:t>
      </w:r>
      <w:r>
        <w:rPr>
          <w:rFonts w:eastAsia="Times New Roman"/>
          <w:szCs w:val="24"/>
        </w:rPr>
        <w:t xml:space="preserve">) stated that the task group received feedback at the interim meeting, has worked to update the item over the last 6 months, and feels the item is ready for a vote.  </w:t>
      </w:r>
    </w:p>
    <w:p w14:paraId="36D189FA" w14:textId="21F13B8A" w:rsidR="006403F5" w:rsidRDefault="006403F5" w:rsidP="007B2872">
      <w:pPr>
        <w:rPr>
          <w:rFonts w:eastAsia="Times New Roman"/>
          <w:szCs w:val="24"/>
        </w:rPr>
      </w:pPr>
      <w:r>
        <w:rPr>
          <w:rFonts w:eastAsia="Times New Roman"/>
          <w:szCs w:val="24"/>
        </w:rPr>
        <w:t>Mr. Kurt Floren (County of Los Angeles, California) r</w:t>
      </w:r>
      <w:r w:rsidRPr="00895787">
        <w:rPr>
          <w:rFonts w:eastAsia="Times New Roman"/>
          <w:szCs w:val="24"/>
        </w:rPr>
        <w:t>ecommend</w:t>
      </w:r>
      <w:r>
        <w:rPr>
          <w:rFonts w:eastAsia="Times New Roman"/>
          <w:szCs w:val="24"/>
        </w:rPr>
        <w:t>ed</w:t>
      </w:r>
      <w:r w:rsidRPr="00895787">
        <w:rPr>
          <w:rFonts w:eastAsia="Times New Roman"/>
          <w:szCs w:val="24"/>
        </w:rPr>
        <w:t xml:space="preserve"> further development. </w:t>
      </w:r>
      <w:r>
        <w:rPr>
          <w:rFonts w:eastAsia="Times New Roman"/>
          <w:szCs w:val="24"/>
        </w:rPr>
        <w:t>He stated that it is u</w:t>
      </w:r>
      <w:r w:rsidRPr="00895787">
        <w:rPr>
          <w:rFonts w:eastAsia="Times New Roman"/>
          <w:szCs w:val="24"/>
        </w:rPr>
        <w:t xml:space="preserve">nclear </w:t>
      </w:r>
      <w:r>
        <w:rPr>
          <w:rFonts w:eastAsia="Times New Roman"/>
          <w:szCs w:val="24"/>
        </w:rPr>
        <w:t>where this item was intended to be placed. The stated purpose of the item is</w:t>
      </w:r>
      <w:r w:rsidRPr="00895787">
        <w:rPr>
          <w:rFonts w:eastAsia="Times New Roman"/>
          <w:szCs w:val="24"/>
        </w:rPr>
        <w:t xml:space="preserve"> to adopt a</w:t>
      </w:r>
      <w:r>
        <w:rPr>
          <w:rFonts w:eastAsia="Times New Roman"/>
          <w:szCs w:val="24"/>
        </w:rPr>
        <w:t xml:space="preserve"> new </w:t>
      </w:r>
      <w:r w:rsidRPr="00895787">
        <w:rPr>
          <w:rFonts w:eastAsia="Times New Roman"/>
          <w:szCs w:val="24"/>
        </w:rPr>
        <w:t>law</w:t>
      </w:r>
      <w:r>
        <w:rPr>
          <w:rFonts w:eastAsia="Times New Roman"/>
          <w:szCs w:val="24"/>
        </w:rPr>
        <w:t>, but Mr. Floren suggested that it may be better suited</w:t>
      </w:r>
      <w:r w:rsidRPr="00895787">
        <w:rPr>
          <w:rFonts w:eastAsia="Times New Roman"/>
          <w:szCs w:val="24"/>
        </w:rPr>
        <w:t xml:space="preserve"> in </w:t>
      </w:r>
      <w:r>
        <w:rPr>
          <w:rFonts w:eastAsia="Times New Roman"/>
          <w:szCs w:val="24"/>
        </w:rPr>
        <w:t>the existing HB 130 Chapter III, Uniform Laws.</w:t>
      </w:r>
    </w:p>
    <w:p w14:paraId="672D8F1E" w14:textId="71FDD736" w:rsidR="006403F5" w:rsidRPr="00A43BF4" w:rsidRDefault="006403F5" w:rsidP="007B2872">
      <w:pPr>
        <w:rPr>
          <w:rFonts w:eastAsia="Times New Roman"/>
          <w:szCs w:val="24"/>
        </w:rPr>
      </w:pPr>
      <w:r>
        <w:rPr>
          <w:rFonts w:eastAsia="Times New Roman"/>
          <w:szCs w:val="24"/>
        </w:rPr>
        <w:t xml:space="preserve">Mr. Aaron Yanker </w:t>
      </w:r>
      <w:r w:rsidRPr="002D5941">
        <w:rPr>
          <w:rFonts w:eastAsia="Times New Roman"/>
          <w:szCs w:val="24"/>
        </w:rPr>
        <w:t>(Colorado Department of Agriculture, Weights and Measures), and Mr. Matt Douglas (California Division of Measurement Standards)</w:t>
      </w:r>
      <w:r>
        <w:rPr>
          <w:rFonts w:eastAsia="Times New Roman"/>
          <w:szCs w:val="24"/>
        </w:rPr>
        <w:t xml:space="preserve"> both expressed appreciation for the work done by the task group but still recommended an assigned status.</w:t>
      </w:r>
    </w:p>
    <w:p w14:paraId="17FA74E4" w14:textId="0509BB39" w:rsidR="006403F5" w:rsidRPr="00A43BF4" w:rsidRDefault="006403F5" w:rsidP="007B2872">
      <w:pPr>
        <w:rPr>
          <w:rFonts w:eastAsia="Times New Roman"/>
          <w:szCs w:val="24"/>
        </w:rPr>
      </w:pPr>
      <w:r>
        <w:rPr>
          <w:rFonts w:eastAsia="Times New Roman"/>
          <w:szCs w:val="24"/>
        </w:rPr>
        <w:t>The WWMA L&amp;R Committee recommends a voting status with the recommendation that the task group incorporates Mr. Kurt Floren’s suggestion.</w:t>
      </w:r>
    </w:p>
    <w:p w14:paraId="3ACAAC34" w14:textId="76F0E739" w:rsidR="00A43044" w:rsidRDefault="00A43044" w:rsidP="00A94B54">
      <w:pPr>
        <w:keepNext/>
        <w:rPr>
          <w:rFonts w:eastAsia="Times New Roman"/>
          <w:szCs w:val="24"/>
          <w:u w:val="single"/>
        </w:rPr>
      </w:pPr>
      <w:r>
        <w:rPr>
          <w:rFonts w:eastAsia="Times New Roman"/>
          <w:szCs w:val="24"/>
          <w:u w:val="single"/>
        </w:rPr>
        <w:lastRenderedPageBreak/>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CF15BC">
        <w:rPr>
          <w:rFonts w:eastAsia="Times New Roman"/>
          <w:szCs w:val="24"/>
          <w:u w:val="single"/>
        </w:rPr>
        <w:t>Interim</w:t>
      </w:r>
      <w:r w:rsidRPr="0051426D">
        <w:rPr>
          <w:rFonts w:eastAsia="Times New Roman"/>
          <w:szCs w:val="24"/>
          <w:u w:val="single"/>
        </w:rPr>
        <w:t xml:space="preserve"> Meeting:</w:t>
      </w:r>
    </w:p>
    <w:p w14:paraId="6DED2951" w14:textId="52A4836D" w:rsidR="007B2872" w:rsidRPr="00BA026A" w:rsidRDefault="00DE778C" w:rsidP="00A43044">
      <w:pPr>
        <w:jc w:val="left"/>
        <w:rPr>
          <w:rFonts w:eastAsia="Times New Roman"/>
          <w:szCs w:val="24"/>
        </w:rPr>
      </w:pPr>
      <w:r>
        <w:rPr>
          <w:rFonts w:eastAsia="Times New Roman"/>
          <w:szCs w:val="24"/>
        </w:rPr>
        <w:t>The Committee recommends this item to be informational as it is developed.  No input from industry has been received outside of the task group.</w:t>
      </w:r>
    </w:p>
    <w:p w14:paraId="4B69C367" w14:textId="35EA05CC" w:rsidR="00432765" w:rsidRDefault="00A43044" w:rsidP="00712C69">
      <w:pPr>
        <w:keepNext/>
        <w:keepLines/>
        <w:jc w:val="left"/>
        <w:rPr>
          <w:u w:val="single"/>
        </w:rPr>
      </w:pPr>
      <w:r w:rsidRPr="006C7BFB">
        <w:rPr>
          <w:u w:val="single"/>
        </w:rPr>
        <w:t>NEWMA 202</w:t>
      </w:r>
      <w:r>
        <w:rPr>
          <w:u w:val="single"/>
        </w:rPr>
        <w:t>5</w:t>
      </w:r>
      <w:r w:rsidRPr="006C7BFB">
        <w:rPr>
          <w:u w:val="single"/>
        </w:rPr>
        <w:t xml:space="preserve"> Interim Meeting:</w:t>
      </w:r>
    </w:p>
    <w:p w14:paraId="7952D998" w14:textId="349E6F66" w:rsidR="00432765" w:rsidRDefault="00432765" w:rsidP="00712C69">
      <w:pPr>
        <w:keepNext/>
        <w:keepLines/>
        <w:rPr>
          <w:rFonts w:eastAsia="Times New Roman"/>
          <w:szCs w:val="24"/>
        </w:rPr>
      </w:pPr>
      <w:r>
        <w:rPr>
          <w:rFonts w:eastAsia="Times New Roman"/>
          <w:szCs w:val="24"/>
        </w:rPr>
        <w:t>A regulator from New Hampshire (and Uniform Shipping Law Task Group member) commented they believe the item is ready for a vote.  She indicated that changes were made between the 2025 Interim and Annual, taking into consideration recommendations from industry, namely the NMFTA.  She also commented that the Task Group is looking to develop a uniform regulation in the future.</w:t>
      </w:r>
    </w:p>
    <w:p w14:paraId="49F7D161" w14:textId="77777777" w:rsidR="007B2872" w:rsidRDefault="00432765" w:rsidP="00432765">
      <w:pPr>
        <w:spacing w:after="0"/>
        <w:jc w:val="left"/>
        <w:rPr>
          <w:rFonts w:eastAsia="Times New Roman"/>
          <w:szCs w:val="24"/>
        </w:rPr>
      </w:pPr>
      <w:r>
        <w:rPr>
          <w:rFonts w:eastAsia="Times New Roman"/>
          <w:szCs w:val="24"/>
        </w:rPr>
        <w:t>After hearing comments from the floor, the committee believes this item is fully developed and recommended a Voting status; and the body concurred.</w:t>
      </w:r>
    </w:p>
    <w:p w14:paraId="23040EB3" w14:textId="1344811D" w:rsidR="007B6073" w:rsidRDefault="00A43044" w:rsidP="007B2872">
      <w:pPr>
        <w:spacing w:before="240"/>
        <w:jc w:val="left"/>
        <w:rPr>
          <w:u w:val="single"/>
        </w:rPr>
      </w:pPr>
      <w:r>
        <w:rPr>
          <w:u w:val="single"/>
        </w:rPr>
        <w:t>S</w:t>
      </w:r>
      <w:r w:rsidRPr="00EF1ACC">
        <w:rPr>
          <w:u w:val="single"/>
        </w:rPr>
        <w:t>WMA 202</w:t>
      </w:r>
      <w:r>
        <w:rPr>
          <w:u w:val="single"/>
        </w:rPr>
        <w:t>5</w:t>
      </w:r>
      <w:r w:rsidRPr="00EF1ACC">
        <w:rPr>
          <w:u w:val="single"/>
        </w:rPr>
        <w:t xml:space="preserve"> </w:t>
      </w:r>
      <w:r w:rsidR="00CF15BC">
        <w:rPr>
          <w:u w:val="single"/>
        </w:rPr>
        <w:t>Annual</w:t>
      </w:r>
      <w:r w:rsidRPr="00EF1ACC">
        <w:rPr>
          <w:u w:val="single"/>
        </w:rPr>
        <w:t xml:space="preserve"> Meeting</w:t>
      </w:r>
      <w:r>
        <w:rPr>
          <w:u w:val="single"/>
        </w:rPr>
        <w:t>:</w:t>
      </w:r>
    </w:p>
    <w:p w14:paraId="4E742478" w14:textId="39D9E131" w:rsidR="007B6073" w:rsidRDefault="007B6073" w:rsidP="007B2872">
      <w:pPr>
        <w:rPr>
          <w:rFonts w:eastAsia="Times New Roman"/>
          <w:szCs w:val="24"/>
        </w:rPr>
      </w:pPr>
      <w:r>
        <w:rPr>
          <w:rFonts w:eastAsia="Times New Roman"/>
          <w:szCs w:val="24"/>
        </w:rPr>
        <w:t>The Committee received no comments made during open hearing.</w:t>
      </w:r>
    </w:p>
    <w:p w14:paraId="34225CFC" w14:textId="7D78A819" w:rsidR="00432765" w:rsidRPr="00432765" w:rsidRDefault="007B6073" w:rsidP="007B2872">
      <w:pPr>
        <w:rPr>
          <w:rFonts w:eastAsia="Times New Roman"/>
          <w:szCs w:val="24"/>
        </w:rPr>
      </w:pPr>
      <w:r>
        <w:rPr>
          <w:rFonts w:eastAsia="Times New Roman"/>
          <w:szCs w:val="24"/>
        </w:rPr>
        <w:t xml:space="preserve">The Committee did not receive an update from the work group this item was assigned to. The submitter was not present. The Committee believes this item needs to be further vetted by the NCWM membership and recommends this item remain Assigned. </w:t>
      </w:r>
    </w:p>
    <w:p w14:paraId="453BB389" w14:textId="632014A2" w:rsidR="001A322C" w:rsidRPr="00BA2D06" w:rsidRDefault="00CF4023" w:rsidP="00BA2D06">
      <w:r>
        <w:t xml:space="preserve">Additional letters, </w:t>
      </w:r>
      <w:proofErr w:type="gramStart"/>
      <w:r>
        <w:t>presentation</w:t>
      </w:r>
      <w:proofErr w:type="gramEnd"/>
      <w:r>
        <w:t xml:space="preserve"> and data may have been submitted for consideration with this item.  Please </w:t>
      </w:r>
      <w:proofErr w:type="gramStart"/>
      <w:r>
        <w:t xml:space="preserve">refer to </w:t>
      </w:r>
      <w:r>
        <w:rPr>
          <w:u w:val="single"/>
        </w:rPr>
        <w:t>https://www.ncwm.com/publication-15</w:t>
      </w:r>
      <w:proofErr w:type="gramEnd"/>
      <w:r>
        <w:t xml:space="preserve"> to </w:t>
      </w:r>
      <w:proofErr w:type="gramStart"/>
      <w:r>
        <w:t>review these documents.</w:t>
      </w:r>
      <w:proofErr w:type="gramEnd"/>
    </w:p>
    <w:p w14:paraId="71EABED4" w14:textId="085322C2" w:rsidR="00AE3A51" w:rsidRPr="00281428" w:rsidRDefault="00AE3A51" w:rsidP="00CC6B4E">
      <w:pPr>
        <w:pStyle w:val="ItemHeading"/>
        <w:tabs>
          <w:tab w:val="left" w:pos="1710"/>
        </w:tabs>
      </w:pPr>
      <w:bookmarkStart w:id="290" w:name="_Toc224019626"/>
      <w:r w:rsidRPr="00281428">
        <w:t>OTH-</w:t>
      </w:r>
      <w:r w:rsidR="00B841BE" w:rsidRPr="00281428">
        <w:t>07.</w:t>
      </w:r>
      <w:r w:rsidRPr="00281428">
        <w:t>1</w:t>
      </w:r>
      <w:r w:rsidRPr="00281428">
        <w:tab/>
      </w:r>
      <w:r w:rsidR="005E3620">
        <w:t>D</w:t>
      </w:r>
      <w:r w:rsidRPr="00281428">
        <w:tab/>
        <w:t>Fuels and Lubricants Subcommittee</w:t>
      </w:r>
      <w:bookmarkEnd w:id="290"/>
    </w:p>
    <w:p w14:paraId="5CA0F2BE" w14:textId="60981498" w:rsidR="00363CBA" w:rsidRPr="00363CBA" w:rsidRDefault="00363CBA" w:rsidP="00363CBA">
      <w:pPr>
        <w:spacing w:after="0"/>
        <w:rPr>
          <w:b/>
          <w:szCs w:val="20"/>
        </w:rPr>
      </w:pPr>
      <w:bookmarkStart w:id="291" w:name="_Hlk63085539"/>
      <w:bookmarkStart w:id="292" w:name="_Hlk61552027"/>
      <w:r w:rsidRPr="00363CBA">
        <w:rPr>
          <w:b/>
          <w:szCs w:val="20"/>
        </w:rPr>
        <w:t>Source:</w:t>
      </w:r>
    </w:p>
    <w:p w14:paraId="258D5BCF" w14:textId="64FE12A8" w:rsidR="00363CBA" w:rsidRPr="00363CBA" w:rsidRDefault="00363CBA" w:rsidP="00363CBA">
      <w:pPr>
        <w:rPr>
          <w:szCs w:val="20"/>
        </w:rPr>
      </w:pPr>
      <w:r w:rsidRPr="00363CBA">
        <w:rPr>
          <w:szCs w:val="20"/>
        </w:rPr>
        <w:t xml:space="preserve">NCWM </w:t>
      </w:r>
      <w:r w:rsidR="00E76C37">
        <w:rPr>
          <w:szCs w:val="20"/>
        </w:rPr>
        <w:t>Fuels</w:t>
      </w:r>
      <w:r w:rsidR="008C0B73">
        <w:rPr>
          <w:szCs w:val="20"/>
        </w:rPr>
        <w:t xml:space="preserve"> and </w:t>
      </w:r>
      <w:r w:rsidR="00E76C37">
        <w:rPr>
          <w:szCs w:val="20"/>
        </w:rPr>
        <w:t>Lubricants</w:t>
      </w:r>
      <w:r w:rsidRPr="00363CBA">
        <w:rPr>
          <w:szCs w:val="20"/>
        </w:rPr>
        <w:t xml:space="preserve"> Subcommittee (FALS)</w:t>
      </w:r>
    </w:p>
    <w:p w14:paraId="3B07E68C" w14:textId="65A087F5" w:rsidR="00363CBA" w:rsidRPr="00363CBA" w:rsidRDefault="00363CBA" w:rsidP="00F77CF1">
      <w:pPr>
        <w:keepNext/>
        <w:spacing w:after="0"/>
        <w:rPr>
          <w:szCs w:val="20"/>
        </w:rPr>
      </w:pPr>
      <w:r w:rsidRPr="00363CBA">
        <w:rPr>
          <w:b/>
          <w:szCs w:val="20"/>
        </w:rPr>
        <w:t>Purpose:</w:t>
      </w:r>
    </w:p>
    <w:p w14:paraId="3924543D" w14:textId="7B1CB8BF" w:rsidR="00363CBA" w:rsidRPr="00363CBA" w:rsidRDefault="00363CBA" w:rsidP="00363CBA">
      <w:pPr>
        <w:rPr>
          <w:szCs w:val="20"/>
        </w:rPr>
      </w:pPr>
      <w:r w:rsidRPr="00363CBA">
        <w:rPr>
          <w:szCs w:val="20"/>
        </w:rPr>
        <w:t xml:space="preserve">Provide an update of the activities of this Subcommittee which works on direction from and reports to the L&amp;R Committee. The mission of FALS is to assist the L&amp;R Committee in the development of agenda items that affect Handbook 130, Uniform Fuels and Automotive Lubricants Inspection Law and Uniform Fuels and Automotive Lubricants Regulation. The Subcommittee consists of regulators and associate members who have subject matter expertise </w:t>
      </w:r>
      <w:r w:rsidR="0095541A" w:rsidRPr="00363CBA">
        <w:rPr>
          <w:szCs w:val="20"/>
        </w:rPr>
        <w:t>in</w:t>
      </w:r>
      <w:r w:rsidRPr="00363CBA">
        <w:rPr>
          <w:szCs w:val="20"/>
        </w:rPr>
        <w:t xml:space="preserve"> fuels and lubricants. The Subcommittee will be called upon to aid in the development, provide guidance, and help establish NCWM position on items concerning fuels and lubricants.</w:t>
      </w:r>
    </w:p>
    <w:p w14:paraId="2462589D" w14:textId="68A51D8F" w:rsidR="00F83F03" w:rsidRDefault="00F83F03" w:rsidP="003B2861">
      <w:pPr>
        <w:spacing w:after="0"/>
        <w:rPr>
          <w:b/>
          <w:szCs w:val="20"/>
        </w:rPr>
      </w:pPr>
      <w:r w:rsidRPr="00363CBA">
        <w:rPr>
          <w:b/>
          <w:szCs w:val="20"/>
        </w:rPr>
        <w:t>Item</w:t>
      </w:r>
      <w:r w:rsidR="008A6184">
        <w:rPr>
          <w:b/>
          <w:szCs w:val="20"/>
        </w:rPr>
        <w:t xml:space="preserve"> Development</w:t>
      </w:r>
      <w:r w:rsidRPr="00363CBA">
        <w:rPr>
          <w:b/>
          <w:szCs w:val="20"/>
        </w:rPr>
        <w:t>:</w:t>
      </w:r>
    </w:p>
    <w:p w14:paraId="07D86679" w14:textId="77777777" w:rsidR="00361604" w:rsidRDefault="00361604" w:rsidP="003B2861">
      <w:pPr>
        <w:spacing w:after="0"/>
        <w:rPr>
          <w:b/>
          <w:szCs w:val="20"/>
        </w:rPr>
      </w:pPr>
    </w:p>
    <w:p w14:paraId="5694D832" w14:textId="15B64417" w:rsidR="002B743E" w:rsidRPr="0005397E" w:rsidRDefault="00361604" w:rsidP="007B4D13">
      <w:pPr>
        <w:rPr>
          <w:bCs/>
          <w:szCs w:val="20"/>
        </w:rPr>
      </w:pPr>
      <w:r w:rsidRPr="00361604">
        <w:rPr>
          <w:bCs/>
          <w:szCs w:val="20"/>
          <w:u w:val="single"/>
        </w:rPr>
        <w:t>NCWM 202</w:t>
      </w:r>
      <w:r w:rsidR="00E353FA">
        <w:rPr>
          <w:bCs/>
          <w:szCs w:val="20"/>
          <w:u w:val="single"/>
        </w:rPr>
        <w:t>6 Interim</w:t>
      </w:r>
      <w:r w:rsidRPr="00361604">
        <w:rPr>
          <w:bCs/>
          <w:szCs w:val="20"/>
          <w:u w:val="single"/>
        </w:rPr>
        <w:t>:</w:t>
      </w:r>
      <w:r w:rsidR="003C3CD1">
        <w:rPr>
          <w:bCs/>
          <w:szCs w:val="20"/>
        </w:rPr>
        <w:t xml:space="preserve"> </w:t>
      </w:r>
      <w:r w:rsidR="004F5652">
        <w:rPr>
          <w:bCs/>
          <w:szCs w:val="20"/>
        </w:rPr>
        <w:t>Ms.</w:t>
      </w:r>
      <w:r w:rsidR="006334E2">
        <w:rPr>
          <w:bCs/>
          <w:szCs w:val="20"/>
        </w:rPr>
        <w:t xml:space="preserve"> </w:t>
      </w:r>
      <w:r w:rsidR="004F5652">
        <w:rPr>
          <w:bCs/>
          <w:szCs w:val="20"/>
        </w:rPr>
        <w:t>Vanessa Benchea, FALS Chair</w:t>
      </w:r>
      <w:r w:rsidR="007944A7">
        <w:rPr>
          <w:bCs/>
          <w:szCs w:val="20"/>
        </w:rPr>
        <w:t>,</w:t>
      </w:r>
      <w:r w:rsidR="00E353FA">
        <w:rPr>
          <w:bCs/>
          <w:szCs w:val="20"/>
        </w:rPr>
        <w:t xml:space="preserve"> reported</w:t>
      </w:r>
      <w:r w:rsidR="00510510">
        <w:rPr>
          <w:bCs/>
          <w:szCs w:val="20"/>
        </w:rPr>
        <w:t xml:space="preserve"> on the FALS activit</w:t>
      </w:r>
      <w:r w:rsidR="00E353FA">
        <w:rPr>
          <w:bCs/>
          <w:szCs w:val="20"/>
        </w:rPr>
        <w:t xml:space="preserve">ies during the open hearings and provide a written report for the </w:t>
      </w:r>
      <w:r w:rsidR="007B4D13">
        <w:rPr>
          <w:bCs/>
          <w:szCs w:val="20"/>
        </w:rPr>
        <w:t>Committee.  The report is included below.</w:t>
      </w:r>
    </w:p>
    <w:p w14:paraId="03F0250C" w14:textId="77777777" w:rsidR="0005397E" w:rsidRPr="0005397E" w:rsidRDefault="0005397E" w:rsidP="003B2861">
      <w:pPr>
        <w:spacing w:after="0"/>
        <w:rPr>
          <w:bCs/>
          <w:szCs w:val="20"/>
        </w:rPr>
      </w:pPr>
      <w:r w:rsidRPr="0005397E">
        <w:rPr>
          <w:bCs/>
          <w:szCs w:val="20"/>
        </w:rPr>
        <w:t>For further information or to provide comments, please contact the FALS Chair:</w:t>
      </w:r>
    </w:p>
    <w:p w14:paraId="2ECA00A6" w14:textId="77777777" w:rsidR="0005397E" w:rsidRPr="0005397E" w:rsidRDefault="0005397E" w:rsidP="00EA21DF">
      <w:pPr>
        <w:spacing w:before="240" w:after="0"/>
        <w:rPr>
          <w:bCs/>
          <w:szCs w:val="20"/>
        </w:rPr>
      </w:pPr>
      <w:r w:rsidRPr="0005397E">
        <w:rPr>
          <w:bCs/>
          <w:szCs w:val="20"/>
        </w:rPr>
        <w:t>Ms. Vanessa Benchea, FALS Chair</w:t>
      </w:r>
    </w:p>
    <w:p w14:paraId="1687AF1F" w14:textId="77777777" w:rsidR="0005397E" w:rsidRPr="0005397E" w:rsidRDefault="0005397E" w:rsidP="003B2861">
      <w:pPr>
        <w:spacing w:after="0"/>
        <w:rPr>
          <w:bCs/>
          <w:szCs w:val="20"/>
        </w:rPr>
      </w:pPr>
      <w:r w:rsidRPr="0005397E">
        <w:rPr>
          <w:bCs/>
          <w:szCs w:val="20"/>
        </w:rPr>
        <w:t>Florida Department of Agriculture/Division of Consumer Services</w:t>
      </w:r>
    </w:p>
    <w:p w14:paraId="6E560626" w14:textId="77777777" w:rsidR="0005397E" w:rsidRPr="0005397E" w:rsidRDefault="0005397E" w:rsidP="003B2861">
      <w:pPr>
        <w:spacing w:after="0"/>
        <w:rPr>
          <w:bCs/>
          <w:szCs w:val="20"/>
        </w:rPr>
      </w:pPr>
      <w:r w:rsidRPr="0005397E">
        <w:rPr>
          <w:bCs/>
          <w:szCs w:val="20"/>
        </w:rPr>
        <w:t>813-868-8263</w:t>
      </w:r>
    </w:p>
    <w:p w14:paraId="743D756E" w14:textId="1A84018C" w:rsidR="002B743E" w:rsidRPr="0005397E" w:rsidRDefault="002B743E" w:rsidP="00EA21DF">
      <w:pPr>
        <w:rPr>
          <w:bCs/>
          <w:szCs w:val="20"/>
        </w:rPr>
      </w:pPr>
      <w:hyperlink r:id="rId39" w:history="1">
        <w:r w:rsidRPr="0005397E">
          <w:rPr>
            <w:rStyle w:val="Hyperlink"/>
            <w:bCs/>
            <w:noProof w:val="0"/>
            <w:szCs w:val="20"/>
          </w:rPr>
          <w:t>Vanessa.Benchea@fdacs.gov</w:t>
        </w:r>
      </w:hyperlink>
    </w:p>
    <w:p w14:paraId="2EBA5A84" w14:textId="77777777" w:rsidR="005B2F00" w:rsidRPr="004721DA" w:rsidRDefault="005B2F00" w:rsidP="005B2F00">
      <w:pPr>
        <w:pStyle w:val="NormalWeb"/>
        <w:rPr>
          <w:b/>
          <w:bCs/>
          <w:color w:val="000000"/>
          <w:sz w:val="20"/>
          <w:szCs w:val="20"/>
        </w:rPr>
      </w:pPr>
      <w:r w:rsidRPr="004721DA">
        <w:rPr>
          <w:b/>
          <w:bCs/>
          <w:color w:val="000000"/>
          <w:sz w:val="20"/>
          <w:szCs w:val="20"/>
        </w:rPr>
        <w:t>Background/Discussion:</w:t>
      </w:r>
    </w:p>
    <w:p w14:paraId="3E2F3F56" w14:textId="77777777" w:rsidR="005B2F00" w:rsidRPr="005B2F00" w:rsidRDefault="005B2F00" w:rsidP="005B2F00">
      <w:pPr>
        <w:pStyle w:val="NormalWeb"/>
        <w:rPr>
          <w:color w:val="000000"/>
          <w:sz w:val="20"/>
          <w:szCs w:val="20"/>
        </w:rPr>
      </w:pPr>
      <w:r w:rsidRPr="005B2F00">
        <w:rPr>
          <w:color w:val="000000"/>
          <w:sz w:val="20"/>
          <w:szCs w:val="20"/>
        </w:rPr>
        <w:lastRenderedPageBreak/>
        <w:t>This report outlines the activities of the Fuels and Lubricants Subcommittee (FALS), which reports to and provides recommendations for the Laws and Regulations Committee.</w:t>
      </w:r>
    </w:p>
    <w:p w14:paraId="2C23A6CC" w14:textId="77777777" w:rsidR="005B2F00" w:rsidRPr="005B2F00" w:rsidRDefault="005B2F00" w:rsidP="005B2F00">
      <w:pPr>
        <w:pStyle w:val="NormalWeb"/>
        <w:rPr>
          <w:color w:val="000000"/>
          <w:sz w:val="20"/>
          <w:szCs w:val="20"/>
        </w:rPr>
      </w:pPr>
      <w:r w:rsidRPr="005B2F00">
        <w:rPr>
          <w:color w:val="000000"/>
          <w:sz w:val="20"/>
          <w:szCs w:val="20"/>
        </w:rPr>
        <w:t>FALS convened on Sunday, January 11, 2026, at the 2026 NCWM Interim Meeting in Mobile, Alabama, with approximately 34 members and guests in attendance. The purpose of this meeting was to review items related to fuel and automotive fluid standards that appear on the L&amp;R agenda, along with items of old and new business.</w:t>
      </w:r>
    </w:p>
    <w:p w14:paraId="6EC29A53" w14:textId="77777777" w:rsidR="005B2F00" w:rsidRPr="005B2F00" w:rsidRDefault="005B2F00" w:rsidP="005B2F00">
      <w:pPr>
        <w:pStyle w:val="NormalWeb"/>
        <w:rPr>
          <w:color w:val="000000"/>
          <w:sz w:val="20"/>
          <w:szCs w:val="20"/>
        </w:rPr>
      </w:pPr>
      <w:r w:rsidRPr="005B2F00">
        <w:rPr>
          <w:color w:val="000000"/>
          <w:sz w:val="20"/>
          <w:szCs w:val="20"/>
        </w:rPr>
        <w:t>The group discussed FLR-26.1 7.2 and MOS-26.3 section 2.20.</w:t>
      </w:r>
    </w:p>
    <w:p w14:paraId="3AA76786" w14:textId="77777777" w:rsidR="005B2F00" w:rsidRPr="005B2F00" w:rsidRDefault="005B2F00" w:rsidP="005B2F00">
      <w:pPr>
        <w:pStyle w:val="NormalWeb"/>
        <w:rPr>
          <w:color w:val="000000"/>
          <w:sz w:val="20"/>
          <w:szCs w:val="20"/>
        </w:rPr>
      </w:pPr>
      <w:r w:rsidRPr="005B2F00">
        <w:rPr>
          <w:color w:val="000000"/>
          <w:sz w:val="20"/>
          <w:szCs w:val="20"/>
        </w:rPr>
        <w:t>· For FLR-26.1 7.2, the group concluded with recommending the item be assigned to FALS where the Focus Group can further work to address the various concerns raised amongst the regions and within the subcommittee.</w:t>
      </w:r>
    </w:p>
    <w:p w14:paraId="433B65CF" w14:textId="77777777" w:rsidR="005B2F00" w:rsidRPr="005B2F00" w:rsidRDefault="005B2F00" w:rsidP="005B2F00">
      <w:pPr>
        <w:pStyle w:val="NormalWeb"/>
        <w:rPr>
          <w:color w:val="000000"/>
          <w:sz w:val="20"/>
          <w:szCs w:val="20"/>
        </w:rPr>
      </w:pPr>
      <w:r w:rsidRPr="005B2F00">
        <w:rPr>
          <w:color w:val="000000"/>
          <w:sz w:val="20"/>
          <w:szCs w:val="20"/>
        </w:rPr>
        <w:t xml:space="preserve">· For MOS-26.3 section 2.20, FALS took no position – some supported the proposal while others strongly opposed it. Regardless of whether the proposal is adopted, the group </w:t>
      </w:r>
      <w:proofErr w:type="gramStart"/>
      <w:r w:rsidRPr="005B2F00">
        <w:rPr>
          <w:color w:val="000000"/>
          <w:sz w:val="20"/>
          <w:szCs w:val="20"/>
        </w:rPr>
        <w:t>agreed</w:t>
      </w:r>
      <w:proofErr w:type="gramEnd"/>
      <w:r w:rsidRPr="005B2F00">
        <w:rPr>
          <w:color w:val="000000"/>
          <w:sz w:val="20"/>
          <w:szCs w:val="20"/>
        </w:rPr>
        <w:t xml:space="preserve"> this section and FLR 3.2.5 would need alignment.</w:t>
      </w:r>
    </w:p>
    <w:p w14:paraId="58BD7FC7" w14:textId="77777777" w:rsidR="005B2F00" w:rsidRPr="005B2F00" w:rsidRDefault="005B2F00" w:rsidP="005B2F00">
      <w:pPr>
        <w:pStyle w:val="NormalWeb"/>
        <w:rPr>
          <w:color w:val="000000"/>
          <w:sz w:val="20"/>
          <w:szCs w:val="20"/>
        </w:rPr>
      </w:pPr>
      <w:r w:rsidRPr="005B2F00">
        <w:rPr>
          <w:color w:val="000000"/>
          <w:sz w:val="20"/>
          <w:szCs w:val="20"/>
        </w:rPr>
        <w:t>Updates were provided by:</w:t>
      </w:r>
    </w:p>
    <w:p w14:paraId="78DBDD5D" w14:textId="77777777" w:rsidR="005B2F00" w:rsidRPr="005B2F00" w:rsidRDefault="005B2F00" w:rsidP="005B2F00">
      <w:pPr>
        <w:pStyle w:val="NormalWeb"/>
        <w:rPr>
          <w:color w:val="000000"/>
          <w:sz w:val="20"/>
          <w:szCs w:val="20"/>
        </w:rPr>
      </w:pPr>
      <w:r w:rsidRPr="005B2F00">
        <w:rPr>
          <w:color w:val="000000"/>
          <w:sz w:val="20"/>
          <w:szCs w:val="20"/>
        </w:rPr>
        <w:t>· Marilyn Herman for Subcommittee A (Gasoline and Oxygenated Fuels) and each state’s implementation of ASTM D4814</w:t>
      </w:r>
    </w:p>
    <w:p w14:paraId="25C84474" w14:textId="1DE44C8A" w:rsidR="005B2F00" w:rsidRPr="005B2F00" w:rsidRDefault="005B2F00" w:rsidP="005B2F00">
      <w:pPr>
        <w:pStyle w:val="NormalWeb"/>
        <w:rPr>
          <w:color w:val="000000"/>
          <w:sz w:val="20"/>
          <w:szCs w:val="20"/>
        </w:rPr>
      </w:pPr>
      <w:r w:rsidRPr="004721DA">
        <w:rPr>
          <w:b/>
          <w:bCs/>
          <w:color w:val="000000"/>
          <w:sz w:val="20"/>
          <w:szCs w:val="20"/>
        </w:rPr>
        <w:t>·</w:t>
      </w:r>
      <w:r w:rsidRPr="005B2F00">
        <w:rPr>
          <w:color w:val="000000"/>
          <w:sz w:val="20"/>
          <w:szCs w:val="20"/>
        </w:rPr>
        <w:t xml:space="preserve"> Randy Jennings for Subcommittee E (Burner, Diesel, and Non-Aviation Gas Turbine Fuels), and J (Aviation Fuels)</w:t>
      </w:r>
    </w:p>
    <w:p w14:paraId="0EF6DFCC" w14:textId="5A590806" w:rsidR="005B2F00" w:rsidRPr="005B2F00" w:rsidRDefault="005B2F00" w:rsidP="005B2F00">
      <w:pPr>
        <w:pStyle w:val="NormalWeb"/>
        <w:rPr>
          <w:color w:val="000000"/>
          <w:sz w:val="20"/>
          <w:szCs w:val="20"/>
        </w:rPr>
      </w:pPr>
      <w:r w:rsidRPr="005B2F00">
        <w:rPr>
          <w:color w:val="000000"/>
          <w:sz w:val="20"/>
          <w:szCs w:val="20"/>
        </w:rPr>
        <w:t xml:space="preserve">· Brian Kernke on the issue of premature plugging of dispenser filters that many retail facilities are </w:t>
      </w:r>
      <w:r w:rsidR="00FF0DFA" w:rsidRPr="005B2F00">
        <w:rPr>
          <w:color w:val="000000"/>
          <w:sz w:val="20"/>
          <w:szCs w:val="20"/>
        </w:rPr>
        <w:t>continuing</w:t>
      </w:r>
      <w:r w:rsidRPr="005B2F00">
        <w:rPr>
          <w:color w:val="000000"/>
          <w:sz w:val="20"/>
          <w:szCs w:val="20"/>
        </w:rPr>
        <w:t xml:space="preserve"> to deal with.</w:t>
      </w:r>
    </w:p>
    <w:p w14:paraId="2FF45DCB" w14:textId="394AEA9C" w:rsidR="005B2F00" w:rsidRPr="005B2F00" w:rsidRDefault="005B2F00" w:rsidP="005B2F00">
      <w:pPr>
        <w:pStyle w:val="NormalWeb"/>
        <w:rPr>
          <w:color w:val="000000"/>
          <w:sz w:val="20"/>
          <w:szCs w:val="20"/>
        </w:rPr>
      </w:pPr>
      <w:r w:rsidRPr="005B2F00">
        <w:rPr>
          <w:color w:val="000000"/>
          <w:sz w:val="20"/>
          <w:szCs w:val="20"/>
        </w:rPr>
        <w:t xml:space="preserve">· Shailesh Lopes on the concerns and projects the Engine Manufacture Association (EMA) is currently looking into, which included Diesel Exhaust Fluid (DEF) in Fuel Contamination and developing a fuel </w:t>
      </w:r>
      <w:r w:rsidR="00FF0DFA" w:rsidRPr="005B2F00">
        <w:rPr>
          <w:color w:val="000000"/>
          <w:sz w:val="20"/>
          <w:szCs w:val="20"/>
        </w:rPr>
        <w:t>specification</w:t>
      </w:r>
      <w:r w:rsidRPr="005B2F00">
        <w:rPr>
          <w:color w:val="000000"/>
          <w:sz w:val="20"/>
          <w:szCs w:val="20"/>
        </w:rPr>
        <w:t xml:space="preserve"> for higher blend biodiesel fuels (up to B30).</w:t>
      </w:r>
    </w:p>
    <w:p w14:paraId="4CBEEF90" w14:textId="77777777" w:rsidR="005B2F00" w:rsidRPr="005B2F00" w:rsidRDefault="005B2F00" w:rsidP="005B2F00">
      <w:pPr>
        <w:pStyle w:val="NormalWeb"/>
        <w:rPr>
          <w:color w:val="000000"/>
          <w:sz w:val="20"/>
          <w:szCs w:val="20"/>
        </w:rPr>
      </w:pPr>
      <w:r w:rsidRPr="005B2F00">
        <w:rPr>
          <w:color w:val="000000"/>
          <w:sz w:val="20"/>
          <w:szCs w:val="20"/>
        </w:rPr>
        <w:t>One item of new business was the presentation from Henry Walczak requesting a template that could manage and align fuel specifications across the States.</w:t>
      </w:r>
    </w:p>
    <w:p w14:paraId="53F957B4" w14:textId="77777777" w:rsidR="005B2F00" w:rsidRDefault="005B2F00" w:rsidP="005B2F00">
      <w:pPr>
        <w:pStyle w:val="NormalWeb"/>
        <w:rPr>
          <w:color w:val="000000"/>
          <w:sz w:val="20"/>
          <w:szCs w:val="20"/>
        </w:rPr>
      </w:pPr>
      <w:r w:rsidRPr="005B2F00">
        <w:rPr>
          <w:color w:val="000000"/>
          <w:sz w:val="20"/>
          <w:szCs w:val="20"/>
        </w:rPr>
        <w:t>Detailed minutes of this meeting will be distributed to FALS membership, including attachments with all presentations from the meeting.</w:t>
      </w:r>
    </w:p>
    <w:p w14:paraId="5DEAB128" w14:textId="04943959" w:rsidR="00AF66B3" w:rsidRPr="00AF66B3" w:rsidRDefault="00AF66B3" w:rsidP="00AF66B3">
      <w:pPr>
        <w:keepNext/>
        <w:keepLines/>
        <w:rPr>
          <w:b/>
          <w:szCs w:val="20"/>
        </w:rPr>
      </w:pPr>
      <w:r w:rsidRPr="00B111BA">
        <w:rPr>
          <w:b/>
          <w:szCs w:val="20"/>
        </w:rPr>
        <w:t>Regional Associations’ Comments:</w:t>
      </w:r>
    </w:p>
    <w:p w14:paraId="05F92790" w14:textId="77777777" w:rsidR="00B367AD" w:rsidRDefault="00B367AD" w:rsidP="00B367AD">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426F77E2" w14:textId="77777777" w:rsidR="00B367AD" w:rsidRPr="00A43BF4" w:rsidRDefault="00B367AD" w:rsidP="00B367AD">
      <w:pPr>
        <w:rPr>
          <w:rFonts w:eastAsia="Times New Roman"/>
          <w:szCs w:val="24"/>
        </w:rPr>
      </w:pPr>
      <w:r>
        <w:rPr>
          <w:rFonts w:eastAsia="Times New Roman"/>
          <w:szCs w:val="24"/>
        </w:rPr>
        <w:t xml:space="preserve">Mr. </w:t>
      </w:r>
      <w:r w:rsidRPr="00DC7415">
        <w:rPr>
          <w:rFonts w:eastAsia="Times New Roman"/>
          <w:szCs w:val="24"/>
        </w:rPr>
        <w:t>Randy Jennings</w:t>
      </w:r>
      <w:r>
        <w:rPr>
          <w:rFonts w:eastAsia="Times New Roman"/>
          <w:szCs w:val="24"/>
        </w:rPr>
        <w:t xml:space="preserve"> (</w:t>
      </w:r>
      <w:r w:rsidRPr="00DC7415">
        <w:rPr>
          <w:rFonts w:eastAsia="Times New Roman"/>
          <w:szCs w:val="24"/>
        </w:rPr>
        <w:t>Vice Chair of FAL</w:t>
      </w:r>
      <w:r>
        <w:rPr>
          <w:rFonts w:eastAsia="Times New Roman"/>
          <w:szCs w:val="24"/>
        </w:rPr>
        <w:t>S) stated that there is n</w:t>
      </w:r>
      <w:r w:rsidRPr="00DC7415">
        <w:rPr>
          <w:rFonts w:eastAsia="Times New Roman"/>
          <w:szCs w:val="24"/>
        </w:rPr>
        <w:t>o new business to report</w:t>
      </w:r>
      <w:r>
        <w:rPr>
          <w:rFonts w:eastAsia="Times New Roman"/>
          <w:szCs w:val="24"/>
        </w:rPr>
        <w:t xml:space="preserve"> and that an u</w:t>
      </w:r>
      <w:r w:rsidRPr="00DC7415">
        <w:rPr>
          <w:rFonts w:eastAsia="Times New Roman"/>
          <w:szCs w:val="24"/>
        </w:rPr>
        <w:t xml:space="preserve">pdate </w:t>
      </w:r>
      <w:r>
        <w:rPr>
          <w:rFonts w:eastAsia="Times New Roman"/>
          <w:szCs w:val="24"/>
        </w:rPr>
        <w:t>will be provided</w:t>
      </w:r>
      <w:r w:rsidRPr="00DC7415">
        <w:rPr>
          <w:rFonts w:eastAsia="Times New Roman"/>
          <w:szCs w:val="24"/>
        </w:rPr>
        <w:t xml:space="preserve"> in January.</w:t>
      </w:r>
    </w:p>
    <w:p w14:paraId="4956F843" w14:textId="77777777" w:rsidR="00B367AD" w:rsidRPr="00A43BF4" w:rsidRDefault="00B367AD" w:rsidP="00B367AD">
      <w:pPr>
        <w:rPr>
          <w:rFonts w:eastAsia="Times New Roman"/>
          <w:szCs w:val="24"/>
        </w:rPr>
      </w:pPr>
      <w:r>
        <w:rPr>
          <w:rFonts w:eastAsia="Times New Roman"/>
          <w:szCs w:val="24"/>
        </w:rPr>
        <w:t>The WWMA L&amp;R Committee thanks the Fuels and Lubricants Subcommittee for its work and recommends this item remain developing.</w:t>
      </w:r>
    </w:p>
    <w:p w14:paraId="287EF00B" w14:textId="77777777" w:rsidR="00B367AD" w:rsidRDefault="00B367AD" w:rsidP="00B367AD">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Pr>
          <w:rFonts w:eastAsia="Times New Roman"/>
          <w:szCs w:val="24"/>
          <w:u w:val="single"/>
        </w:rPr>
        <w:t>Interim</w:t>
      </w:r>
      <w:r w:rsidRPr="0051426D">
        <w:rPr>
          <w:rFonts w:eastAsia="Times New Roman"/>
          <w:szCs w:val="24"/>
          <w:u w:val="single"/>
        </w:rPr>
        <w:t xml:space="preserve"> Meeting:</w:t>
      </w:r>
    </w:p>
    <w:p w14:paraId="28CB9756" w14:textId="77777777" w:rsidR="00B367AD" w:rsidRPr="00A43BF4" w:rsidRDefault="00B367AD" w:rsidP="00B367AD">
      <w:pPr>
        <w:spacing w:after="0"/>
        <w:rPr>
          <w:rFonts w:eastAsia="Times New Roman"/>
          <w:szCs w:val="24"/>
        </w:rPr>
      </w:pPr>
      <w:r>
        <w:rPr>
          <w:rFonts w:eastAsia="Times New Roman"/>
          <w:szCs w:val="24"/>
        </w:rPr>
        <w:t>No comments.</w:t>
      </w:r>
    </w:p>
    <w:p w14:paraId="257980B5" w14:textId="77777777" w:rsidR="00B367AD" w:rsidRPr="009976BF" w:rsidRDefault="00B367AD" w:rsidP="00B367AD">
      <w:pPr>
        <w:spacing w:before="240"/>
        <w:rPr>
          <w:rFonts w:eastAsia="Times New Roman"/>
          <w:szCs w:val="24"/>
        </w:rPr>
      </w:pPr>
      <w:r w:rsidRPr="009976BF">
        <w:rPr>
          <w:rFonts w:eastAsia="Times New Roman"/>
          <w:szCs w:val="24"/>
        </w:rPr>
        <w:t xml:space="preserve">The CWM L&amp;R Committee recommends a developing status for this item. </w:t>
      </w:r>
    </w:p>
    <w:p w14:paraId="414B57A7" w14:textId="77777777" w:rsidR="00B367AD" w:rsidRDefault="00B367AD" w:rsidP="00B367AD">
      <w:pPr>
        <w:jc w:val="left"/>
        <w:rPr>
          <w:u w:val="single"/>
        </w:rPr>
      </w:pPr>
      <w:r w:rsidRPr="006C7BFB">
        <w:rPr>
          <w:u w:val="single"/>
        </w:rPr>
        <w:t>NEWMA 202</w:t>
      </w:r>
      <w:r>
        <w:rPr>
          <w:u w:val="single"/>
        </w:rPr>
        <w:t>5</w:t>
      </w:r>
      <w:r w:rsidRPr="006C7BFB">
        <w:rPr>
          <w:u w:val="single"/>
        </w:rPr>
        <w:t xml:space="preserve"> Interim Meeting:</w:t>
      </w:r>
    </w:p>
    <w:p w14:paraId="026E687B" w14:textId="77777777" w:rsidR="00B367AD" w:rsidRDefault="00B367AD" w:rsidP="00B367AD">
      <w:pPr>
        <w:spacing w:before="240"/>
        <w:jc w:val="left"/>
        <w:rPr>
          <w:rFonts w:eastAsia="Times New Roman"/>
          <w:szCs w:val="24"/>
        </w:rPr>
      </w:pPr>
      <w:r>
        <w:rPr>
          <w:rFonts w:eastAsia="Times New Roman"/>
          <w:szCs w:val="24"/>
        </w:rPr>
        <w:lastRenderedPageBreak/>
        <w:t>No comments were heard on this item.  As this is a standing subcommittee report, the committee recommended a Developing status, and the body concurred.</w:t>
      </w:r>
    </w:p>
    <w:p w14:paraId="60AADCBF" w14:textId="77777777" w:rsidR="00B367AD" w:rsidRDefault="00B367AD" w:rsidP="00712C69">
      <w:pPr>
        <w:keepNext/>
        <w:keepLines/>
        <w:spacing w:before="240"/>
        <w:jc w:val="left"/>
        <w:rPr>
          <w:u w:val="single"/>
        </w:rPr>
      </w:pPr>
      <w:r>
        <w:rPr>
          <w:u w:val="single"/>
        </w:rPr>
        <w:t>S</w:t>
      </w:r>
      <w:r w:rsidRPr="00EF1ACC">
        <w:rPr>
          <w:u w:val="single"/>
        </w:rPr>
        <w:t>WMA 202</w:t>
      </w:r>
      <w:r>
        <w:rPr>
          <w:u w:val="single"/>
        </w:rPr>
        <w:t>5</w:t>
      </w:r>
      <w:r w:rsidRPr="00EF1ACC">
        <w:rPr>
          <w:u w:val="single"/>
        </w:rPr>
        <w:t xml:space="preserve"> </w:t>
      </w:r>
      <w:r>
        <w:rPr>
          <w:u w:val="single"/>
        </w:rPr>
        <w:t>Annual</w:t>
      </w:r>
      <w:r w:rsidRPr="00EF1ACC">
        <w:rPr>
          <w:u w:val="single"/>
        </w:rPr>
        <w:t xml:space="preserve"> Meeting</w:t>
      </w:r>
      <w:r>
        <w:rPr>
          <w:u w:val="single"/>
        </w:rPr>
        <w:t>:</w:t>
      </w:r>
    </w:p>
    <w:p w14:paraId="062B4768" w14:textId="0C7EFED4" w:rsidR="00B367AD" w:rsidRPr="00BA026A" w:rsidRDefault="00B367AD" w:rsidP="00712C69">
      <w:pPr>
        <w:keepNext/>
        <w:keepLines/>
        <w:rPr>
          <w:rFonts w:eastAsia="Times New Roman"/>
          <w:szCs w:val="24"/>
        </w:rPr>
      </w:pPr>
      <w:r>
        <w:rPr>
          <w:rFonts w:eastAsia="Times New Roman"/>
          <w:szCs w:val="24"/>
        </w:rPr>
        <w:t xml:space="preserve">Mr. </w:t>
      </w:r>
      <w:r w:rsidRPr="005F364B">
        <w:rPr>
          <w:rFonts w:eastAsia="Times New Roman"/>
          <w:szCs w:val="24"/>
        </w:rPr>
        <w:t>Randy Jennings</w:t>
      </w:r>
      <w:r>
        <w:rPr>
          <w:rFonts w:eastAsia="Times New Roman"/>
          <w:szCs w:val="24"/>
        </w:rPr>
        <w:t xml:space="preserve">, </w:t>
      </w:r>
      <w:r w:rsidRPr="005F364B">
        <w:rPr>
          <w:rFonts w:eastAsia="Times New Roman"/>
          <w:szCs w:val="24"/>
        </w:rPr>
        <w:t xml:space="preserve">FALS Vice Chair — </w:t>
      </w:r>
      <w:r>
        <w:rPr>
          <w:rFonts w:eastAsia="Times New Roman"/>
          <w:szCs w:val="24"/>
        </w:rPr>
        <w:t>commented that other</w:t>
      </w:r>
      <w:r w:rsidRPr="005F364B">
        <w:rPr>
          <w:rFonts w:eastAsia="Times New Roman"/>
          <w:szCs w:val="24"/>
        </w:rPr>
        <w:t xml:space="preserve"> than the information presented for FLR-26.1, </w:t>
      </w:r>
      <w:r>
        <w:rPr>
          <w:rFonts w:eastAsia="Times New Roman"/>
          <w:szCs w:val="24"/>
        </w:rPr>
        <w:t>the group</w:t>
      </w:r>
      <w:r w:rsidRPr="005F364B">
        <w:rPr>
          <w:rFonts w:eastAsia="Times New Roman"/>
          <w:szCs w:val="24"/>
        </w:rPr>
        <w:t xml:space="preserve"> do</w:t>
      </w:r>
      <w:r>
        <w:rPr>
          <w:rFonts w:eastAsia="Times New Roman"/>
          <w:szCs w:val="24"/>
        </w:rPr>
        <w:t>es</w:t>
      </w:r>
      <w:r w:rsidRPr="005F364B">
        <w:rPr>
          <w:rFonts w:eastAsia="Times New Roman"/>
          <w:szCs w:val="24"/>
        </w:rPr>
        <w:t xml:space="preserve"> not have any additional information to report at this time.  In addition to the Virtual Meeting that we will hold prior to the Interim, </w:t>
      </w:r>
      <w:r>
        <w:rPr>
          <w:rFonts w:eastAsia="Times New Roman"/>
          <w:szCs w:val="24"/>
        </w:rPr>
        <w:t>FALS</w:t>
      </w:r>
      <w:r w:rsidRPr="005F364B">
        <w:rPr>
          <w:rFonts w:eastAsia="Times New Roman"/>
          <w:szCs w:val="24"/>
        </w:rPr>
        <w:t xml:space="preserve"> will meet in-person at the NCWM Interim</w:t>
      </w:r>
      <w:r>
        <w:rPr>
          <w:rFonts w:eastAsia="Times New Roman"/>
          <w:szCs w:val="24"/>
        </w:rPr>
        <w:t xml:space="preserve"> </w:t>
      </w:r>
      <w:r w:rsidR="00AF66B3">
        <w:rPr>
          <w:rFonts w:eastAsia="Times New Roman"/>
          <w:szCs w:val="24"/>
        </w:rPr>
        <w:t>meeting,</w:t>
      </w:r>
      <w:r w:rsidRPr="005F364B">
        <w:rPr>
          <w:rFonts w:eastAsia="Times New Roman"/>
          <w:szCs w:val="24"/>
        </w:rPr>
        <w:t xml:space="preserve"> and an update will be provided to the NCWM L&amp;R</w:t>
      </w:r>
      <w:r>
        <w:rPr>
          <w:rFonts w:eastAsia="Times New Roman"/>
          <w:szCs w:val="24"/>
        </w:rPr>
        <w:t xml:space="preserve"> Committee</w:t>
      </w:r>
      <w:r w:rsidRPr="005F364B">
        <w:rPr>
          <w:rFonts w:eastAsia="Times New Roman"/>
          <w:szCs w:val="24"/>
        </w:rPr>
        <w:t xml:space="preserve"> during the open hearings.</w:t>
      </w:r>
    </w:p>
    <w:p w14:paraId="3509D3A2" w14:textId="37119D4C" w:rsidR="00C039A0" w:rsidRPr="00281428" w:rsidRDefault="00C039A0" w:rsidP="008E7141">
      <w:pPr>
        <w:pStyle w:val="ItemHeading"/>
        <w:tabs>
          <w:tab w:val="left" w:pos="2160"/>
        </w:tabs>
        <w:ind w:left="1710" w:hanging="1710"/>
      </w:pPr>
      <w:bookmarkStart w:id="293" w:name="_Toc224019627"/>
      <w:bookmarkStart w:id="294" w:name="_Hlk79567666"/>
      <w:bookmarkStart w:id="295" w:name="_Hlk61552411"/>
      <w:bookmarkEnd w:id="291"/>
      <w:bookmarkEnd w:id="292"/>
      <w:r w:rsidRPr="00281428">
        <w:t>OTH-</w:t>
      </w:r>
      <w:r w:rsidR="00B841BE" w:rsidRPr="00281428">
        <w:t>11.1</w:t>
      </w:r>
      <w:r w:rsidRPr="00281428">
        <w:tab/>
        <w:t>D</w:t>
      </w:r>
      <w:r w:rsidRPr="00281428">
        <w:tab/>
        <w:t>Packaging and Labeling Subcommittee</w:t>
      </w:r>
      <w:bookmarkEnd w:id="293"/>
    </w:p>
    <w:p w14:paraId="5508AFB6" w14:textId="7BC067E5" w:rsidR="00C039A0" w:rsidRPr="00281428" w:rsidRDefault="00C039A0" w:rsidP="000803DF">
      <w:pPr>
        <w:pStyle w:val="BoldHeading"/>
        <w:keepNext/>
      </w:pPr>
      <w:r w:rsidRPr="00281428">
        <w:t>Source:</w:t>
      </w:r>
    </w:p>
    <w:p w14:paraId="4949CC5B" w14:textId="41080313" w:rsidR="00C039A0" w:rsidRPr="00281428" w:rsidRDefault="00621147" w:rsidP="000803DF">
      <w:pPr>
        <w:keepNext/>
      </w:pPr>
      <w:r w:rsidRPr="00281428">
        <w:t xml:space="preserve">NCWM </w:t>
      </w:r>
      <w:r w:rsidR="00C039A0" w:rsidRPr="00281428">
        <w:t>Packaging and Labeling Subcommittee</w:t>
      </w:r>
      <w:r w:rsidR="006A4CBA" w:rsidRPr="00281428">
        <w:t xml:space="preserve"> (PALS)</w:t>
      </w:r>
    </w:p>
    <w:p w14:paraId="2F31A6D6" w14:textId="68551A2C" w:rsidR="00C039A0" w:rsidRPr="00281428" w:rsidRDefault="00C039A0" w:rsidP="000803DF">
      <w:pPr>
        <w:pStyle w:val="BoldHeading"/>
        <w:keepNext/>
      </w:pPr>
      <w:r w:rsidRPr="00281428">
        <w:t>Purpose:</w:t>
      </w:r>
    </w:p>
    <w:p w14:paraId="5660A2E2" w14:textId="77777777" w:rsidR="00866296" w:rsidRDefault="00C039A0" w:rsidP="00D335B6">
      <w:r w:rsidRPr="00281428">
        <w:t xml:space="preserve">Provide an update of the activities of this Subcommittee which reports to the L&amp;R Committee. </w:t>
      </w:r>
      <w:r w:rsidR="003B511D">
        <w:t xml:space="preserve"> </w:t>
      </w:r>
      <w:r w:rsidRPr="00281428">
        <w:t xml:space="preserve">The mission of PALS is to assist the L&amp;R Committee in the development of agenda </w:t>
      </w:r>
      <w:proofErr w:type="gramStart"/>
      <w:r w:rsidRPr="00281428">
        <w:t>item</w:t>
      </w:r>
      <w:proofErr w:type="gramEnd"/>
      <w:r w:rsidR="000E5F8F" w:rsidRPr="00281428">
        <w:t>, NCWM positions and new standards</w:t>
      </w:r>
      <w:r w:rsidRPr="00281428">
        <w:t xml:space="preserve"> related to packaging and labeling.  The Subcommittee will also be called upon to provide important and much needed guidance to the regulatory and consumer packaging communities on difficult questions.  </w:t>
      </w:r>
    </w:p>
    <w:p w14:paraId="1EDA292D" w14:textId="2DC76B00" w:rsidR="00C039A0" w:rsidRPr="00281428" w:rsidRDefault="00C039A0" w:rsidP="00D335B6">
      <w:r w:rsidRPr="00281428">
        <w:t>PALS will report to NCWM L&amp;R Committee.  The Subcommittee is comprised of a Chair</w:t>
      </w:r>
      <w:r w:rsidR="000E5F8F" w:rsidRPr="00281428">
        <w:t xml:space="preserve">, </w:t>
      </w:r>
      <w:r w:rsidRPr="00281428">
        <w:t>eight voting member</w:t>
      </w:r>
      <w:r w:rsidR="000E5F8F" w:rsidRPr="00281428">
        <w:t>s, and anyone interested in packaging and labeling standards.</w:t>
      </w:r>
    </w:p>
    <w:p w14:paraId="4892C8F6" w14:textId="77777777" w:rsidR="00B02E3D" w:rsidRDefault="00B02E3D" w:rsidP="00B02E3D">
      <w:pPr>
        <w:shd w:val="clear" w:color="auto" w:fill="FFFFFF"/>
        <w:spacing w:after="0"/>
        <w:textAlignment w:val="bottom"/>
        <w:rPr>
          <w:b/>
          <w:bCs/>
          <w:color w:val="000000"/>
        </w:rPr>
      </w:pPr>
      <w:bookmarkStart w:id="296" w:name="_Toc316645649"/>
      <w:bookmarkEnd w:id="294"/>
      <w:bookmarkEnd w:id="295"/>
      <w:r>
        <w:rPr>
          <w:b/>
          <w:bCs/>
          <w:color w:val="000000"/>
        </w:rPr>
        <w:t>Original Justification:</w:t>
      </w:r>
    </w:p>
    <w:p w14:paraId="42346C52" w14:textId="77777777" w:rsidR="00B02E3D" w:rsidRPr="00281428" w:rsidRDefault="00B02E3D" w:rsidP="00B02E3D">
      <w:pPr>
        <w:pStyle w:val="BoldHeading"/>
        <w:spacing w:after="240"/>
        <w:rPr>
          <w:b w:val="0"/>
        </w:rPr>
      </w:pPr>
      <w:r w:rsidRPr="00281428">
        <w:rPr>
          <w:b w:val="0"/>
        </w:rPr>
        <w:t>This item is to provide a report on the activities of the Packaging and Labeling Subcommittee which reports and provides recommendations to the Laws and Regulations Committee.</w:t>
      </w:r>
    </w:p>
    <w:p w14:paraId="702C4F4B" w14:textId="03A50C10" w:rsidR="00B02E3D" w:rsidRPr="00281428" w:rsidRDefault="00B02E3D" w:rsidP="00B02E3D">
      <w:pPr>
        <w:pStyle w:val="BoldHeading"/>
        <w:spacing w:after="240"/>
        <w:rPr>
          <w:b w:val="0"/>
        </w:rPr>
      </w:pPr>
      <w:r w:rsidRPr="00281428">
        <w:rPr>
          <w:b w:val="0"/>
        </w:rPr>
        <w:t xml:space="preserve">For more information or to provide </w:t>
      </w:r>
      <w:r w:rsidR="00FD3321" w:rsidRPr="00281428">
        <w:rPr>
          <w:b w:val="0"/>
        </w:rPr>
        <w:t>comments</w:t>
      </w:r>
      <w:r w:rsidRPr="00281428">
        <w:rPr>
          <w:b w:val="0"/>
        </w:rPr>
        <w:t>, please contact the PALS Cha</w:t>
      </w:r>
      <w:r>
        <w:rPr>
          <w:b w:val="0"/>
        </w:rPr>
        <w:t>i</w:t>
      </w:r>
      <w:r w:rsidRPr="00281428">
        <w:rPr>
          <w:b w:val="0"/>
        </w:rPr>
        <w:t>r:</w:t>
      </w:r>
    </w:p>
    <w:p w14:paraId="6EEAD15A" w14:textId="77777777" w:rsidR="00B02E3D" w:rsidRPr="00281428" w:rsidRDefault="00B02E3D" w:rsidP="00B02E3D">
      <w:pPr>
        <w:pStyle w:val="BoldHeading"/>
        <w:ind w:left="360"/>
        <w:rPr>
          <w:b w:val="0"/>
        </w:rPr>
      </w:pPr>
      <w:r w:rsidRPr="00281428">
        <w:rPr>
          <w:b w:val="0"/>
        </w:rPr>
        <w:t>Mr. Chris Guay</w:t>
      </w:r>
    </w:p>
    <w:p w14:paraId="416E531F" w14:textId="77777777" w:rsidR="00B02E3D" w:rsidRPr="00281428" w:rsidRDefault="00B02E3D" w:rsidP="00B02E3D">
      <w:pPr>
        <w:pStyle w:val="BoldHeading"/>
        <w:ind w:left="360"/>
        <w:rPr>
          <w:b w:val="0"/>
        </w:rPr>
      </w:pPr>
      <w:r>
        <w:rPr>
          <w:b w:val="0"/>
        </w:rPr>
        <w:t>CGGT</w:t>
      </w:r>
    </w:p>
    <w:p w14:paraId="4077959E" w14:textId="77777777" w:rsidR="00B02E3D" w:rsidRPr="00281428" w:rsidRDefault="00B02E3D" w:rsidP="00B02E3D">
      <w:pPr>
        <w:pStyle w:val="BoldHeading"/>
        <w:spacing w:after="240"/>
        <w:ind w:left="360"/>
        <w:rPr>
          <w:b w:val="0"/>
        </w:rPr>
      </w:pPr>
      <w:r w:rsidRPr="00281428">
        <w:rPr>
          <w:b w:val="0"/>
        </w:rPr>
        <w:t>513</w:t>
      </w:r>
      <w:r>
        <w:rPr>
          <w:b w:val="0"/>
        </w:rPr>
        <w:t>-</w:t>
      </w:r>
      <w:r w:rsidRPr="00281428">
        <w:rPr>
          <w:b w:val="0"/>
        </w:rPr>
        <w:t xml:space="preserve">652-6597, </w:t>
      </w:r>
      <w:hyperlink r:id="rId40" w:history="1">
        <w:r w:rsidRPr="00F749B2">
          <w:rPr>
            <w:b w:val="0"/>
            <w:u w:val="single"/>
          </w:rPr>
          <w:t>guay.cb@gmail.com</w:t>
        </w:r>
      </w:hyperlink>
      <w:r w:rsidRPr="00281428">
        <w:rPr>
          <w:rStyle w:val="Hyperlink"/>
          <w:b w:val="0"/>
          <w:bCs/>
          <w:noProof w:val="0"/>
          <w:color w:val="0000FF"/>
        </w:rPr>
        <w:t xml:space="preserve"> </w:t>
      </w:r>
    </w:p>
    <w:bookmarkEnd w:id="296"/>
    <w:p w14:paraId="755418E5" w14:textId="77777777" w:rsidR="000234D0" w:rsidRDefault="000234D0" w:rsidP="0099511C">
      <w:pPr>
        <w:spacing w:after="0"/>
        <w:rPr>
          <w:b/>
        </w:rPr>
      </w:pPr>
    </w:p>
    <w:p w14:paraId="61B8CDE4" w14:textId="77777777" w:rsidR="000234D0" w:rsidRDefault="000234D0" w:rsidP="0099511C">
      <w:pPr>
        <w:spacing w:after="0"/>
        <w:rPr>
          <w:b/>
        </w:rPr>
      </w:pPr>
    </w:p>
    <w:p w14:paraId="63B1EC7A" w14:textId="6A7D3DCD" w:rsidR="00C06684" w:rsidRPr="005415D2" w:rsidRDefault="00B02E3D" w:rsidP="0099511C">
      <w:pPr>
        <w:spacing w:after="0"/>
        <w:rPr>
          <w:b/>
        </w:rPr>
      </w:pPr>
      <w:r>
        <w:rPr>
          <w:b/>
        </w:rPr>
        <w:t>Item Development:</w:t>
      </w:r>
    </w:p>
    <w:p w14:paraId="3421B8F2" w14:textId="3BCE09AF" w:rsidR="00601667" w:rsidRDefault="00583DFB" w:rsidP="006D47A5">
      <w:pPr>
        <w:keepNext/>
        <w:keepLines/>
        <w:rPr>
          <w:szCs w:val="20"/>
        </w:rPr>
      </w:pPr>
      <w:r>
        <w:rPr>
          <w:u w:val="single"/>
        </w:rPr>
        <w:t>NCWM 202</w:t>
      </w:r>
      <w:r w:rsidR="00755D0D">
        <w:rPr>
          <w:u w:val="single"/>
        </w:rPr>
        <w:t>6</w:t>
      </w:r>
      <w:r>
        <w:rPr>
          <w:u w:val="single"/>
        </w:rPr>
        <w:t xml:space="preserve"> </w:t>
      </w:r>
      <w:r w:rsidR="006A0630">
        <w:rPr>
          <w:u w:val="single"/>
        </w:rPr>
        <w:t>Interim</w:t>
      </w:r>
      <w:r w:rsidR="00601667">
        <w:t xml:space="preserve">: </w:t>
      </w:r>
      <w:r w:rsidR="007807ED">
        <w:t xml:space="preserve">Mr. </w:t>
      </w:r>
      <w:r w:rsidR="00587AF5">
        <w:rPr>
          <w:szCs w:val="20"/>
        </w:rPr>
        <w:t>Mike Smith, New York</w:t>
      </w:r>
      <w:r w:rsidR="00874678">
        <w:rPr>
          <w:szCs w:val="20"/>
        </w:rPr>
        <w:t xml:space="preserve"> </w:t>
      </w:r>
      <w:r w:rsidR="00E66ECC">
        <w:rPr>
          <w:szCs w:val="20"/>
        </w:rPr>
        <w:t xml:space="preserve">representing PALS </w:t>
      </w:r>
      <w:r w:rsidR="00874678">
        <w:rPr>
          <w:szCs w:val="20"/>
        </w:rPr>
        <w:t xml:space="preserve">updated the Committee on </w:t>
      </w:r>
      <w:r w:rsidR="00257064">
        <w:rPr>
          <w:szCs w:val="20"/>
        </w:rPr>
        <w:t xml:space="preserve">PALS activities </w:t>
      </w:r>
      <w:r w:rsidR="00601667">
        <w:rPr>
          <w:szCs w:val="20"/>
        </w:rPr>
        <w:t>and provided the following</w:t>
      </w:r>
      <w:r w:rsidR="00755D0D">
        <w:rPr>
          <w:szCs w:val="20"/>
        </w:rPr>
        <w:t>:</w:t>
      </w:r>
    </w:p>
    <w:p w14:paraId="682A2E72" w14:textId="165D945C" w:rsidR="00755D0D" w:rsidRPr="00601667" w:rsidRDefault="00755D0D" w:rsidP="006D47A5">
      <w:pPr>
        <w:keepNext/>
        <w:keepLines/>
      </w:pPr>
      <w:r w:rsidRPr="00755D0D">
        <w:t>The Packaging and Labeling Subcommittee met on Sunday January 11, 2026.  We shared and discussed the Draft Best Practice Document called, “Quantity related expressions on a principal display panel”.  This document will provide guidance to manufacturers and regulators alike regarding the statements which appear in addition to a proper and correct Declaration of Net Quantity.  We hope to have this document completed by March and plan to submit this to the NCWM Board shortly thereafter so that an expert panel can be established to review and publish as an NCWM best practice publication.  PALS is optimistic that this document will be completed for the NCWM body, by the annual meeting in Philadelphia.</w:t>
      </w:r>
    </w:p>
    <w:p w14:paraId="5FE4EDE7" w14:textId="2A3DD81B" w:rsidR="00B55C17" w:rsidRPr="00EA21DF" w:rsidRDefault="00C262D1" w:rsidP="00EA21DF">
      <w:pPr>
        <w:keepNext/>
        <w:keepLines/>
        <w:rPr>
          <w:b/>
          <w:szCs w:val="20"/>
        </w:rPr>
      </w:pPr>
      <w:r w:rsidRPr="00B111BA">
        <w:rPr>
          <w:b/>
          <w:szCs w:val="20"/>
        </w:rPr>
        <w:t>Regional Associations’ Comments:</w:t>
      </w:r>
    </w:p>
    <w:p w14:paraId="7655A6AF" w14:textId="2DEECFF6" w:rsidR="00B55C17" w:rsidRDefault="000714DD" w:rsidP="00EA21DF">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12835E6F" w14:textId="3AB2C0A6" w:rsidR="00EE0333" w:rsidRDefault="00EE0333" w:rsidP="00EE0333">
      <w:pPr>
        <w:spacing w:after="0"/>
        <w:rPr>
          <w:rFonts w:eastAsia="Times New Roman"/>
          <w:szCs w:val="24"/>
        </w:rPr>
      </w:pPr>
      <w:r>
        <w:rPr>
          <w:rFonts w:eastAsia="Times New Roman"/>
          <w:szCs w:val="24"/>
        </w:rPr>
        <w:t>The committee heard no update from PALS.</w:t>
      </w:r>
    </w:p>
    <w:p w14:paraId="560BC854" w14:textId="05E9216E" w:rsidR="000714DD" w:rsidRPr="00A43BF4" w:rsidRDefault="00EE0333" w:rsidP="00EA21DF">
      <w:pPr>
        <w:rPr>
          <w:rFonts w:eastAsia="Times New Roman"/>
          <w:szCs w:val="24"/>
        </w:rPr>
      </w:pPr>
      <w:r>
        <w:rPr>
          <w:rFonts w:eastAsia="Times New Roman"/>
          <w:szCs w:val="24"/>
        </w:rPr>
        <w:t>The WWMA L&amp;R Committee thanks the Packaging and Labeling Subcommittee for its work and recommends this item remain developing.</w:t>
      </w:r>
    </w:p>
    <w:p w14:paraId="1D11137D" w14:textId="0A798544" w:rsidR="000714DD" w:rsidRDefault="000714DD" w:rsidP="000714DD">
      <w:pPr>
        <w:rPr>
          <w:rFonts w:eastAsia="Times New Roman"/>
          <w:szCs w:val="24"/>
          <w:u w:val="single"/>
        </w:rPr>
      </w:pPr>
      <w:r>
        <w:rPr>
          <w:rFonts w:eastAsia="Times New Roman"/>
          <w:szCs w:val="24"/>
          <w:u w:val="single"/>
        </w:rPr>
        <w:lastRenderedPageBreak/>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4149B1">
        <w:rPr>
          <w:rFonts w:eastAsia="Times New Roman"/>
          <w:szCs w:val="24"/>
          <w:u w:val="single"/>
        </w:rPr>
        <w:t>Interim</w:t>
      </w:r>
      <w:r w:rsidRPr="0051426D">
        <w:rPr>
          <w:rFonts w:eastAsia="Times New Roman"/>
          <w:szCs w:val="24"/>
          <w:u w:val="single"/>
        </w:rPr>
        <w:t xml:space="preserve"> Meeting:</w:t>
      </w:r>
    </w:p>
    <w:p w14:paraId="439954EF" w14:textId="77777777" w:rsidR="00B37B32" w:rsidRPr="00A43BF4" w:rsidRDefault="00B37B32" w:rsidP="00B37B32">
      <w:pPr>
        <w:spacing w:after="0"/>
        <w:rPr>
          <w:rFonts w:eastAsia="Times New Roman"/>
          <w:szCs w:val="24"/>
        </w:rPr>
      </w:pPr>
      <w:r>
        <w:rPr>
          <w:rFonts w:eastAsia="Times New Roman"/>
          <w:szCs w:val="24"/>
        </w:rPr>
        <w:t>No comments.</w:t>
      </w:r>
    </w:p>
    <w:p w14:paraId="27CE3F17" w14:textId="44DE4838" w:rsidR="00C23360" w:rsidRPr="000234D0" w:rsidRDefault="00B37B32" w:rsidP="000234D0">
      <w:pPr>
        <w:spacing w:before="240"/>
        <w:rPr>
          <w:rFonts w:eastAsia="Times New Roman"/>
          <w:szCs w:val="24"/>
        </w:rPr>
      </w:pPr>
      <w:r w:rsidRPr="009976BF">
        <w:rPr>
          <w:rFonts w:eastAsia="Times New Roman"/>
          <w:szCs w:val="24"/>
        </w:rPr>
        <w:t xml:space="preserve">The CWM L&amp;R Committee recommends a developing status for this item. </w:t>
      </w:r>
    </w:p>
    <w:p w14:paraId="665599AA" w14:textId="62C48279" w:rsidR="00F4722D" w:rsidRDefault="000714DD" w:rsidP="000714DD">
      <w:pPr>
        <w:jc w:val="left"/>
        <w:rPr>
          <w:u w:val="single"/>
        </w:rPr>
      </w:pPr>
      <w:r w:rsidRPr="006C7BFB">
        <w:rPr>
          <w:u w:val="single"/>
        </w:rPr>
        <w:t>NEWMA 202</w:t>
      </w:r>
      <w:r>
        <w:rPr>
          <w:u w:val="single"/>
        </w:rPr>
        <w:t>5</w:t>
      </w:r>
      <w:r w:rsidRPr="006C7BFB">
        <w:rPr>
          <w:u w:val="single"/>
        </w:rPr>
        <w:t xml:space="preserve"> Interim Meeting:</w:t>
      </w:r>
    </w:p>
    <w:p w14:paraId="56DD511D" w14:textId="77777777" w:rsidR="00EA21DF" w:rsidRDefault="00F4722D" w:rsidP="00EA21DF">
      <w:pPr>
        <w:jc w:val="left"/>
        <w:rPr>
          <w:rFonts w:eastAsia="Times New Roman"/>
          <w:szCs w:val="24"/>
        </w:rPr>
      </w:pPr>
      <w:r>
        <w:rPr>
          <w:rFonts w:eastAsia="Times New Roman"/>
          <w:szCs w:val="24"/>
        </w:rPr>
        <w:t>No comments were heard on this item.  As this is a standing subcommittee report, the committee recommended a Developing status, and the body concurred.</w:t>
      </w:r>
    </w:p>
    <w:p w14:paraId="76AAA55C" w14:textId="3AE6B30A" w:rsidR="00736499" w:rsidRDefault="000714DD" w:rsidP="00EA21DF">
      <w:pPr>
        <w:jc w:val="left"/>
        <w:rPr>
          <w:szCs w:val="20"/>
        </w:rPr>
      </w:pPr>
      <w:r>
        <w:rPr>
          <w:u w:val="single"/>
        </w:rPr>
        <w:t>S</w:t>
      </w:r>
      <w:r w:rsidRPr="00EF1ACC">
        <w:rPr>
          <w:u w:val="single"/>
        </w:rPr>
        <w:t>WMA 202</w:t>
      </w:r>
      <w:r>
        <w:rPr>
          <w:u w:val="single"/>
        </w:rPr>
        <w:t>5</w:t>
      </w:r>
      <w:r w:rsidRPr="00EF1ACC">
        <w:rPr>
          <w:u w:val="single"/>
        </w:rPr>
        <w:t xml:space="preserve"> </w:t>
      </w:r>
      <w:r w:rsidR="004149B1">
        <w:rPr>
          <w:u w:val="single"/>
        </w:rPr>
        <w:t>Annual</w:t>
      </w:r>
      <w:r w:rsidRPr="00EF1ACC">
        <w:rPr>
          <w:u w:val="single"/>
        </w:rPr>
        <w:t xml:space="preserve"> Meeting</w:t>
      </w:r>
      <w:r>
        <w:rPr>
          <w:u w:val="single"/>
        </w:rPr>
        <w:t>:</w:t>
      </w:r>
      <w:r w:rsidR="000F1208">
        <w:rPr>
          <w:szCs w:val="20"/>
        </w:rPr>
        <w:t xml:space="preserve"> </w:t>
      </w:r>
    </w:p>
    <w:p w14:paraId="2652C7A9" w14:textId="66B2A83D" w:rsidR="00736499" w:rsidRDefault="00736499" w:rsidP="00EA21DF">
      <w:pPr>
        <w:rPr>
          <w:rFonts w:eastAsia="Times New Roman"/>
          <w:szCs w:val="24"/>
        </w:rPr>
      </w:pPr>
      <w:r>
        <w:rPr>
          <w:rFonts w:eastAsia="Times New Roman"/>
          <w:szCs w:val="24"/>
        </w:rPr>
        <w:t>No comments were received during open hearing on this item.</w:t>
      </w:r>
    </w:p>
    <w:p w14:paraId="1430DB58" w14:textId="15D12B28" w:rsidR="00F4722D" w:rsidRPr="00EA21DF" w:rsidRDefault="00736499" w:rsidP="00EA21DF">
      <w:pPr>
        <w:jc w:val="left"/>
        <w:rPr>
          <w:szCs w:val="20"/>
        </w:rPr>
      </w:pPr>
      <w:r>
        <w:rPr>
          <w:rFonts w:eastAsia="Times New Roman"/>
          <w:szCs w:val="24"/>
        </w:rPr>
        <w:t>The Committee recommends this item remain Developing.</w:t>
      </w:r>
    </w:p>
    <w:p w14:paraId="1ED1A92C" w14:textId="1ED939B8" w:rsidR="00852C36" w:rsidRDefault="00852C36" w:rsidP="00852C36">
      <w:r w:rsidRPr="00B111BA">
        <w:rPr>
          <w:szCs w:val="20"/>
        </w:rPr>
        <w:t xml:space="preserve">Additional letters, </w:t>
      </w:r>
      <w:r w:rsidR="00AE5450" w:rsidRPr="00B111BA">
        <w:rPr>
          <w:szCs w:val="20"/>
        </w:rPr>
        <w:t>presentations</w:t>
      </w:r>
      <w:r w:rsidRPr="00B111BA">
        <w:rPr>
          <w:szCs w:val="20"/>
        </w:rPr>
        <w:t xml:space="preserve"> and</w:t>
      </w:r>
      <w:r>
        <w:t xml:space="preserve"> data may have been submitted for consideration with this item.  Please </w:t>
      </w:r>
      <w:proofErr w:type="gramStart"/>
      <w:r>
        <w:t xml:space="preserve">refer to </w:t>
      </w:r>
      <w:r>
        <w:rPr>
          <w:u w:val="single"/>
        </w:rPr>
        <w:t>https://www.ncwm.com/publication-15</w:t>
      </w:r>
      <w:proofErr w:type="gramEnd"/>
      <w:r>
        <w:t xml:space="preserve"> to </w:t>
      </w:r>
      <w:proofErr w:type="gramStart"/>
      <w:r>
        <w:t>review these documents.</w:t>
      </w:r>
      <w:proofErr w:type="gramEnd"/>
    </w:p>
    <w:p w14:paraId="1F718BAF" w14:textId="1F6EA832" w:rsidR="006540E5" w:rsidRDefault="006540E5" w:rsidP="006540E5">
      <w:pPr>
        <w:pStyle w:val="Heading1"/>
      </w:pPr>
      <w:bookmarkStart w:id="297" w:name="_Toc224019628"/>
      <w:r>
        <w:t>NET – Handbook 133</w:t>
      </w:r>
      <w:bookmarkEnd w:id="297"/>
    </w:p>
    <w:p w14:paraId="67AA14BF" w14:textId="7005EC97" w:rsidR="006540E5" w:rsidRPr="003C355F" w:rsidRDefault="006540E5" w:rsidP="006540E5">
      <w:pPr>
        <w:pStyle w:val="ItemHeading"/>
      </w:pPr>
      <w:bookmarkStart w:id="298" w:name="_Toc224019629"/>
      <w:r>
        <w:t>NET-26.1</w:t>
      </w:r>
      <w:r w:rsidRPr="003C355F">
        <w:tab/>
      </w:r>
      <w:r w:rsidR="00CF4B38">
        <w:t>W</w:t>
      </w:r>
      <w:r w:rsidRPr="003C355F">
        <w:tab/>
      </w:r>
      <w:r>
        <w:t>Table 2-3. Moisture Allowances</w:t>
      </w:r>
      <w:bookmarkEnd w:id="298"/>
    </w:p>
    <w:p w14:paraId="043EB6AA" w14:textId="77777777" w:rsidR="006540E5" w:rsidRPr="00E025F9" w:rsidRDefault="006540E5" w:rsidP="006540E5">
      <w:pPr>
        <w:spacing w:after="0"/>
        <w:rPr>
          <w:b/>
        </w:rPr>
      </w:pPr>
      <w:r w:rsidRPr="00E025F9">
        <w:rPr>
          <w:b/>
        </w:rPr>
        <w:t>Source:</w:t>
      </w:r>
    </w:p>
    <w:p w14:paraId="74F25D97" w14:textId="474253DD" w:rsidR="006540E5" w:rsidRDefault="006540E5" w:rsidP="006540E5">
      <w:r>
        <w:t>New Jersey Food Council</w:t>
      </w:r>
    </w:p>
    <w:p w14:paraId="10FD65C8" w14:textId="77777777" w:rsidR="006540E5" w:rsidRPr="00E025F9" w:rsidRDefault="006540E5" w:rsidP="006540E5">
      <w:pPr>
        <w:spacing w:after="0"/>
        <w:rPr>
          <w:b/>
        </w:rPr>
      </w:pPr>
      <w:r w:rsidRPr="00E025F9">
        <w:rPr>
          <w:b/>
        </w:rPr>
        <w:t>Purpose:</w:t>
      </w:r>
    </w:p>
    <w:p w14:paraId="64365EA1" w14:textId="268AD028" w:rsidR="006540E5" w:rsidRPr="00EE0333" w:rsidRDefault="006540E5" w:rsidP="00EE0333">
      <w:r w:rsidRPr="00EE0333">
        <w:t xml:space="preserve">The New Jersey Food Council, through its counsel, respectfully submit this proposal to amend the National Institute of Standards and Technology (“NIST”) Handbook 133 at Chapter 2, Section 2.3.8.1. It is being requested that this section be amended to provide a moisture allowance for </w:t>
      </w:r>
      <w:proofErr w:type="gramStart"/>
      <w:r w:rsidRPr="00EE0333">
        <w:t>produce</w:t>
      </w:r>
      <w:proofErr w:type="gramEnd"/>
      <w:r w:rsidRPr="00EE0333">
        <w:t xml:space="preserve"> at 6 percent, which reflects the </w:t>
      </w:r>
      <w:proofErr w:type="gramStart"/>
      <w:r w:rsidRPr="00EE0333">
        <w:t>high water</w:t>
      </w:r>
      <w:proofErr w:type="gramEnd"/>
      <w:r w:rsidRPr="00EE0333">
        <w:t xml:space="preserve"> volume of fruits and vegetables and the corresponding moisture loss upon harvesting. This proposal is made in conjunction with a separately submitted proposal to amend Handbook 130.</w:t>
      </w:r>
    </w:p>
    <w:p w14:paraId="14D93071" w14:textId="77777777" w:rsidR="006540E5" w:rsidRPr="00E025F9" w:rsidRDefault="006540E5" w:rsidP="006540E5">
      <w:pPr>
        <w:spacing w:after="0"/>
        <w:rPr>
          <w:b/>
        </w:rPr>
      </w:pPr>
      <w:r w:rsidRPr="00E025F9">
        <w:rPr>
          <w:b/>
        </w:rPr>
        <w:t>Item under Consideration:</w:t>
      </w:r>
    </w:p>
    <w:p w14:paraId="6B240C61" w14:textId="13A01E79" w:rsidR="006540E5" w:rsidRDefault="006540E5" w:rsidP="006540E5">
      <w:pPr>
        <w:spacing w:after="0"/>
      </w:pPr>
      <w:r>
        <w:t>Amend NIST Handbook 133 as follows:</w:t>
      </w:r>
    </w:p>
    <w:p w14:paraId="349731B8" w14:textId="591B0C77" w:rsidR="00096185" w:rsidRPr="00096185" w:rsidRDefault="006540E5" w:rsidP="00C918BF">
      <w:pPr>
        <w:keepNext/>
        <w:spacing w:before="240" w:after="0"/>
        <w:rPr>
          <w:b/>
        </w:rPr>
      </w:pPr>
      <w:r w:rsidRPr="00E025F9">
        <w:rPr>
          <w:b/>
        </w:rPr>
        <w:t xml:space="preserve">Previous </w:t>
      </w:r>
      <w:r>
        <w:rPr>
          <w:b/>
        </w:rPr>
        <w:t>Status</w:t>
      </w:r>
      <w:r w:rsidRPr="00E025F9">
        <w:rPr>
          <w:b/>
        </w:rPr>
        <w:t>:</w:t>
      </w:r>
    </w:p>
    <w:p w14:paraId="29C5A2D6" w14:textId="174D7A9E" w:rsidR="000076D9" w:rsidRDefault="006540E5" w:rsidP="000076D9">
      <w:r>
        <w:t xml:space="preserve">New Proposal </w:t>
      </w:r>
    </w:p>
    <w:p w14:paraId="47049B99" w14:textId="77777777" w:rsidR="002C2AB5" w:rsidRDefault="002C2AB5" w:rsidP="00A94B54">
      <w:pPr>
        <w:suppressLineNumbers/>
      </w:pPr>
    </w:p>
    <w:p w14:paraId="34DF3A1F" w14:textId="77777777" w:rsidR="002C2AB5" w:rsidRDefault="002C2AB5" w:rsidP="00A94B54">
      <w:pPr>
        <w:suppressLineNumbers/>
      </w:pPr>
    </w:p>
    <w:p w14:paraId="2B1696A2" w14:textId="77777777" w:rsidR="002C2AB5" w:rsidRDefault="002C2AB5" w:rsidP="00A94B54">
      <w:pPr>
        <w:suppressLineNumbers/>
      </w:pPr>
    </w:p>
    <w:p w14:paraId="7542C763" w14:textId="77777777" w:rsidR="002C2AB5" w:rsidRDefault="002C2AB5" w:rsidP="00A94B54">
      <w:pPr>
        <w:suppressLineNumbers/>
      </w:pPr>
    </w:p>
    <w:p w14:paraId="61587501" w14:textId="77777777" w:rsidR="002C2AB5" w:rsidRDefault="002C2AB5" w:rsidP="00A94B54">
      <w:pPr>
        <w:suppressLineNumbers/>
      </w:pPr>
    </w:p>
    <w:p w14:paraId="6511FFAE" w14:textId="77777777" w:rsidR="002C2AB5" w:rsidRDefault="002C2AB5" w:rsidP="00A94B54">
      <w:pPr>
        <w:suppressLineNumbers/>
      </w:pPr>
    </w:p>
    <w:p w14:paraId="6FB3793E" w14:textId="77777777" w:rsidR="002C2AB5" w:rsidRPr="000076D9" w:rsidRDefault="002C2AB5" w:rsidP="00A94B54">
      <w:pPr>
        <w:suppressLineNumbers/>
      </w:pPr>
    </w:p>
    <w:tbl>
      <w:tblPr>
        <w:tblpPr w:leftFromText="180" w:rightFromText="180" w:vertAnchor="text" w:tblpY="505"/>
        <w:tblW w:w="92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0"/>
        <w:gridCol w:w="1697"/>
        <w:gridCol w:w="5417"/>
      </w:tblGrid>
      <w:tr w:rsidR="000076D9" w:rsidRPr="000F0E7C" w14:paraId="3CCFDC47" w14:textId="77777777" w:rsidTr="00D22750">
        <w:trPr>
          <w:trHeight w:val="300"/>
        </w:trPr>
        <w:tc>
          <w:tcPr>
            <w:tcW w:w="9254" w:type="dxa"/>
            <w:gridSpan w:val="3"/>
            <w:tcBorders>
              <w:top w:val="double" w:sz="6" w:space="0" w:color="auto"/>
              <w:left w:val="double" w:sz="6" w:space="0" w:color="auto"/>
              <w:bottom w:val="double" w:sz="6" w:space="0" w:color="auto"/>
              <w:right w:val="double" w:sz="6" w:space="0" w:color="auto"/>
            </w:tcBorders>
            <w:vAlign w:val="center"/>
            <w:hideMark/>
          </w:tcPr>
          <w:p w14:paraId="00557D7C" w14:textId="77777777" w:rsidR="000076D9" w:rsidRPr="000F0E7C" w:rsidRDefault="000076D9" w:rsidP="00BC42B5">
            <w:pPr>
              <w:keepNext/>
              <w:keepLines/>
              <w:widowControl w:val="0"/>
              <w:spacing w:after="0"/>
              <w:jc w:val="center"/>
              <w:textAlignment w:val="baseline"/>
              <w:rPr>
                <w:rFonts w:ascii="Segoe UI" w:hAnsi="Segoe UI" w:cs="Segoe UI"/>
                <w:b/>
                <w:bCs/>
                <w:sz w:val="18"/>
                <w:szCs w:val="18"/>
              </w:rPr>
            </w:pPr>
            <w:r w:rsidRPr="000F0E7C">
              <w:rPr>
                <w:b/>
                <w:bCs/>
                <w:sz w:val="22"/>
              </w:rPr>
              <w:lastRenderedPageBreak/>
              <w:t>Table 2-3. </w:t>
            </w:r>
          </w:p>
          <w:p w14:paraId="6ABBAC5A" w14:textId="77777777" w:rsidR="000076D9" w:rsidRPr="000F0E7C" w:rsidRDefault="000076D9" w:rsidP="00BC42B5">
            <w:pPr>
              <w:keepNext/>
              <w:keepLines/>
              <w:widowControl w:val="0"/>
              <w:spacing w:after="0"/>
              <w:jc w:val="center"/>
              <w:textAlignment w:val="baseline"/>
              <w:rPr>
                <w:rFonts w:ascii="Segoe UI" w:hAnsi="Segoe UI" w:cs="Segoe UI"/>
                <w:b/>
                <w:bCs/>
                <w:sz w:val="18"/>
                <w:szCs w:val="18"/>
              </w:rPr>
            </w:pPr>
            <w:r w:rsidRPr="000F0E7C">
              <w:rPr>
                <w:b/>
                <w:bCs/>
                <w:sz w:val="22"/>
              </w:rPr>
              <w:t>Moisture Allowances  </w:t>
            </w:r>
          </w:p>
        </w:tc>
      </w:tr>
      <w:tr w:rsidR="000076D9" w:rsidRPr="000F0E7C" w14:paraId="283DD473" w14:textId="77777777" w:rsidTr="00D22750">
        <w:trPr>
          <w:trHeight w:val="300"/>
        </w:trPr>
        <w:tc>
          <w:tcPr>
            <w:tcW w:w="2140" w:type="dxa"/>
            <w:tcBorders>
              <w:top w:val="double" w:sz="6" w:space="0" w:color="auto"/>
              <w:left w:val="double" w:sz="6" w:space="0" w:color="auto"/>
              <w:bottom w:val="double" w:sz="6" w:space="0" w:color="auto"/>
              <w:right w:val="single" w:sz="6" w:space="0" w:color="auto"/>
            </w:tcBorders>
            <w:vAlign w:val="center"/>
            <w:hideMark/>
          </w:tcPr>
          <w:p w14:paraId="0D426105" w14:textId="77777777" w:rsidR="000076D9" w:rsidRPr="000F0E7C" w:rsidRDefault="000076D9" w:rsidP="00BC42B5">
            <w:pPr>
              <w:keepNext/>
              <w:keepLines/>
              <w:widowControl w:val="0"/>
              <w:spacing w:after="0"/>
              <w:jc w:val="center"/>
              <w:textAlignment w:val="baseline"/>
              <w:rPr>
                <w:rFonts w:ascii="Segoe UI" w:hAnsi="Segoe UI" w:cs="Segoe UI"/>
                <w:b/>
                <w:bCs/>
                <w:sz w:val="18"/>
                <w:szCs w:val="18"/>
              </w:rPr>
            </w:pPr>
            <w:r w:rsidRPr="000F0E7C">
              <w:rPr>
                <w:b/>
                <w:bCs/>
                <w:sz w:val="22"/>
              </w:rPr>
              <w:t>Verifying the labeled net weight of packages of: </w:t>
            </w:r>
          </w:p>
        </w:tc>
        <w:tc>
          <w:tcPr>
            <w:tcW w:w="1697" w:type="dxa"/>
            <w:tcBorders>
              <w:top w:val="double" w:sz="6" w:space="0" w:color="auto"/>
              <w:left w:val="single" w:sz="6" w:space="0" w:color="auto"/>
              <w:bottom w:val="double" w:sz="6" w:space="0" w:color="auto"/>
              <w:right w:val="single" w:sz="6" w:space="0" w:color="auto"/>
            </w:tcBorders>
            <w:vAlign w:val="center"/>
            <w:hideMark/>
          </w:tcPr>
          <w:p w14:paraId="4690AC65" w14:textId="77777777" w:rsidR="000076D9" w:rsidRPr="000F0E7C" w:rsidRDefault="000076D9" w:rsidP="00BC42B5">
            <w:pPr>
              <w:keepNext/>
              <w:keepLines/>
              <w:widowControl w:val="0"/>
              <w:spacing w:after="0"/>
              <w:jc w:val="center"/>
              <w:textAlignment w:val="baseline"/>
              <w:rPr>
                <w:rFonts w:ascii="Segoe UI" w:hAnsi="Segoe UI" w:cs="Segoe UI"/>
                <w:b/>
                <w:bCs/>
                <w:sz w:val="18"/>
                <w:szCs w:val="18"/>
              </w:rPr>
            </w:pPr>
            <w:r w:rsidRPr="000F0E7C">
              <w:rPr>
                <w:b/>
                <w:bCs/>
                <w:sz w:val="22"/>
              </w:rPr>
              <w:t>Moisture Allowance is: </w:t>
            </w:r>
          </w:p>
        </w:tc>
        <w:tc>
          <w:tcPr>
            <w:tcW w:w="5417" w:type="dxa"/>
            <w:tcBorders>
              <w:top w:val="double" w:sz="6" w:space="0" w:color="auto"/>
              <w:left w:val="single" w:sz="6" w:space="0" w:color="auto"/>
              <w:bottom w:val="double" w:sz="6" w:space="0" w:color="auto"/>
              <w:right w:val="double" w:sz="6" w:space="0" w:color="auto"/>
            </w:tcBorders>
            <w:vAlign w:val="center"/>
            <w:hideMark/>
          </w:tcPr>
          <w:p w14:paraId="373285A5" w14:textId="77777777" w:rsidR="000076D9" w:rsidRPr="000F0E7C" w:rsidRDefault="000076D9" w:rsidP="00BC42B5">
            <w:pPr>
              <w:keepNext/>
              <w:keepLines/>
              <w:widowControl w:val="0"/>
              <w:spacing w:after="0"/>
              <w:jc w:val="center"/>
              <w:textAlignment w:val="baseline"/>
              <w:rPr>
                <w:rFonts w:ascii="Segoe UI" w:hAnsi="Segoe UI" w:cs="Segoe UI"/>
                <w:b/>
                <w:bCs/>
                <w:sz w:val="18"/>
                <w:szCs w:val="18"/>
              </w:rPr>
            </w:pPr>
            <w:r w:rsidRPr="000F0E7C">
              <w:rPr>
                <w:b/>
                <w:bCs/>
                <w:sz w:val="22"/>
              </w:rPr>
              <w:t>Notes </w:t>
            </w:r>
          </w:p>
        </w:tc>
      </w:tr>
      <w:tr w:rsidR="000076D9" w:rsidRPr="000F0E7C" w14:paraId="79F12789" w14:textId="77777777" w:rsidTr="00D22750">
        <w:trPr>
          <w:trHeight w:val="300"/>
        </w:trPr>
        <w:tc>
          <w:tcPr>
            <w:tcW w:w="2140" w:type="dxa"/>
            <w:tcBorders>
              <w:top w:val="double" w:sz="6" w:space="0" w:color="auto"/>
              <w:left w:val="double" w:sz="6" w:space="0" w:color="auto"/>
              <w:bottom w:val="single" w:sz="6" w:space="0" w:color="auto"/>
              <w:right w:val="single" w:sz="6" w:space="0" w:color="auto"/>
            </w:tcBorders>
            <w:vAlign w:val="center"/>
            <w:hideMark/>
          </w:tcPr>
          <w:p w14:paraId="670BFA85"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Flour </w:t>
            </w:r>
          </w:p>
        </w:tc>
        <w:tc>
          <w:tcPr>
            <w:tcW w:w="1697" w:type="dxa"/>
            <w:tcBorders>
              <w:top w:val="double" w:sz="6" w:space="0" w:color="auto"/>
              <w:left w:val="single" w:sz="6" w:space="0" w:color="auto"/>
              <w:bottom w:val="single" w:sz="6" w:space="0" w:color="auto"/>
              <w:right w:val="single" w:sz="6" w:space="0" w:color="auto"/>
            </w:tcBorders>
            <w:vAlign w:val="center"/>
            <w:hideMark/>
          </w:tcPr>
          <w:p w14:paraId="5196A9BD"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3 % </w:t>
            </w:r>
          </w:p>
        </w:tc>
        <w:tc>
          <w:tcPr>
            <w:tcW w:w="5417" w:type="dxa"/>
            <w:tcBorders>
              <w:top w:val="double" w:sz="6" w:space="0" w:color="auto"/>
              <w:left w:val="single" w:sz="6" w:space="0" w:color="auto"/>
              <w:bottom w:val="single" w:sz="6" w:space="0" w:color="auto"/>
              <w:right w:val="double" w:sz="6" w:space="0" w:color="auto"/>
            </w:tcBorders>
            <w:vAlign w:val="center"/>
            <w:hideMark/>
          </w:tcPr>
          <w:p w14:paraId="1BFAA74E"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 </w:t>
            </w:r>
          </w:p>
        </w:tc>
      </w:tr>
      <w:tr w:rsidR="000076D9" w:rsidRPr="000F0E7C" w14:paraId="786CB647" w14:textId="77777777" w:rsidTr="00D22750">
        <w:trPr>
          <w:trHeight w:val="300"/>
        </w:trPr>
        <w:tc>
          <w:tcPr>
            <w:tcW w:w="2140" w:type="dxa"/>
            <w:tcBorders>
              <w:top w:val="single" w:sz="6" w:space="0" w:color="auto"/>
              <w:left w:val="double" w:sz="6" w:space="0" w:color="auto"/>
              <w:bottom w:val="single" w:sz="6" w:space="0" w:color="auto"/>
              <w:right w:val="single" w:sz="6" w:space="0" w:color="auto"/>
            </w:tcBorders>
            <w:vAlign w:val="center"/>
            <w:hideMark/>
          </w:tcPr>
          <w:p w14:paraId="3386A88F"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Dry pet food </w:t>
            </w:r>
          </w:p>
        </w:tc>
        <w:tc>
          <w:tcPr>
            <w:tcW w:w="1697" w:type="dxa"/>
            <w:tcBorders>
              <w:top w:val="single" w:sz="6" w:space="0" w:color="auto"/>
              <w:left w:val="single" w:sz="6" w:space="0" w:color="auto"/>
              <w:bottom w:val="single" w:sz="6" w:space="0" w:color="auto"/>
              <w:right w:val="single" w:sz="6" w:space="0" w:color="auto"/>
            </w:tcBorders>
            <w:vAlign w:val="center"/>
            <w:hideMark/>
          </w:tcPr>
          <w:p w14:paraId="4FFD3E1B"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3 % </w:t>
            </w:r>
          </w:p>
        </w:tc>
        <w:tc>
          <w:tcPr>
            <w:tcW w:w="5417" w:type="dxa"/>
            <w:tcBorders>
              <w:top w:val="single" w:sz="6" w:space="0" w:color="auto"/>
              <w:left w:val="single" w:sz="6" w:space="0" w:color="auto"/>
              <w:bottom w:val="single" w:sz="6" w:space="0" w:color="auto"/>
              <w:right w:val="double" w:sz="6" w:space="0" w:color="auto"/>
            </w:tcBorders>
            <w:vAlign w:val="center"/>
            <w:hideMark/>
          </w:tcPr>
          <w:p w14:paraId="41446893" w14:textId="77777777" w:rsidR="000076D9" w:rsidRPr="000F0E7C" w:rsidRDefault="000076D9" w:rsidP="00BC42B5">
            <w:pPr>
              <w:keepNext/>
              <w:keepLines/>
              <w:widowControl w:val="0"/>
              <w:spacing w:after="0"/>
              <w:textAlignment w:val="baseline"/>
              <w:rPr>
                <w:rFonts w:ascii="Segoe UI" w:hAnsi="Segoe UI" w:cs="Segoe UI"/>
                <w:sz w:val="18"/>
                <w:szCs w:val="18"/>
              </w:rPr>
            </w:pPr>
            <w:r w:rsidRPr="000F0E7C">
              <w:rPr>
                <w:sz w:val="22"/>
              </w:rPr>
              <w:t>Dry pet food means all extruded dog and cat foods and baked treats packaged in Kraft paper bags and/or cardboard boxes with a moisture content of 13 % or less at time of pack. </w:t>
            </w:r>
          </w:p>
        </w:tc>
      </w:tr>
      <w:tr w:rsidR="000076D9" w:rsidRPr="000F0E7C" w14:paraId="4137AE64" w14:textId="77777777" w:rsidTr="00D22750">
        <w:trPr>
          <w:trHeight w:val="300"/>
        </w:trPr>
        <w:tc>
          <w:tcPr>
            <w:tcW w:w="2140" w:type="dxa"/>
            <w:tcBorders>
              <w:top w:val="single" w:sz="6" w:space="0" w:color="auto"/>
              <w:left w:val="double" w:sz="6" w:space="0" w:color="auto"/>
              <w:bottom w:val="single" w:sz="6" w:space="0" w:color="auto"/>
              <w:right w:val="single" w:sz="6" w:space="0" w:color="auto"/>
            </w:tcBorders>
            <w:vAlign w:val="center"/>
            <w:hideMark/>
          </w:tcPr>
          <w:p w14:paraId="7D99AAB0"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Pasta products </w:t>
            </w:r>
          </w:p>
        </w:tc>
        <w:tc>
          <w:tcPr>
            <w:tcW w:w="1697" w:type="dxa"/>
            <w:tcBorders>
              <w:top w:val="single" w:sz="6" w:space="0" w:color="auto"/>
              <w:left w:val="single" w:sz="6" w:space="0" w:color="auto"/>
              <w:bottom w:val="single" w:sz="6" w:space="0" w:color="auto"/>
              <w:right w:val="single" w:sz="6" w:space="0" w:color="auto"/>
            </w:tcBorders>
            <w:vAlign w:val="center"/>
            <w:hideMark/>
          </w:tcPr>
          <w:p w14:paraId="0B362D88"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3 % </w:t>
            </w:r>
          </w:p>
        </w:tc>
        <w:tc>
          <w:tcPr>
            <w:tcW w:w="5417" w:type="dxa"/>
            <w:tcBorders>
              <w:top w:val="single" w:sz="6" w:space="0" w:color="auto"/>
              <w:left w:val="single" w:sz="6" w:space="0" w:color="auto"/>
              <w:bottom w:val="single" w:sz="6" w:space="0" w:color="auto"/>
              <w:right w:val="double" w:sz="6" w:space="0" w:color="auto"/>
            </w:tcBorders>
            <w:vAlign w:val="center"/>
            <w:hideMark/>
          </w:tcPr>
          <w:p w14:paraId="387D7D2B" w14:textId="77777777" w:rsidR="000076D9" w:rsidRPr="000F0E7C" w:rsidRDefault="000076D9" w:rsidP="00BC42B5">
            <w:pPr>
              <w:keepNext/>
              <w:keepLines/>
              <w:widowControl w:val="0"/>
              <w:spacing w:after="0"/>
              <w:textAlignment w:val="baseline"/>
              <w:rPr>
                <w:rFonts w:ascii="Segoe UI" w:hAnsi="Segoe UI" w:cs="Segoe UI"/>
                <w:sz w:val="18"/>
                <w:szCs w:val="18"/>
              </w:rPr>
            </w:pPr>
            <w:r w:rsidRPr="000F0E7C">
              <w:rPr>
                <w:sz w:val="22"/>
              </w:rPr>
              <w:t xml:space="preserve">Pasta products </w:t>
            </w:r>
            <w:proofErr w:type="gramStart"/>
            <w:r w:rsidRPr="000F0E7C">
              <w:rPr>
                <w:sz w:val="22"/>
              </w:rPr>
              <w:t>means</w:t>
            </w:r>
            <w:proofErr w:type="gramEnd"/>
            <w:r w:rsidRPr="000F0E7C">
              <w:rPr>
                <w:sz w:val="22"/>
              </w:rPr>
              <w:t xml:space="preserve"> all macaroni, </w:t>
            </w:r>
            <w:proofErr w:type="gramStart"/>
            <w:r w:rsidRPr="000F0E7C">
              <w:rPr>
                <w:sz w:val="22"/>
              </w:rPr>
              <w:t>noodle</w:t>
            </w:r>
            <w:proofErr w:type="gramEnd"/>
            <w:r w:rsidRPr="000F0E7C">
              <w:rPr>
                <w:sz w:val="22"/>
              </w:rPr>
              <w:t>, and like products packaged in kraft paper bags, paperboard cartons, and/or flexible plastic bags with a moisture content of 13 % or less at the time of pack. </w:t>
            </w:r>
          </w:p>
        </w:tc>
      </w:tr>
      <w:tr w:rsidR="000076D9" w:rsidRPr="000F0E7C" w14:paraId="5C4D82D3" w14:textId="77777777" w:rsidTr="00D22750">
        <w:trPr>
          <w:trHeight w:val="300"/>
        </w:trPr>
        <w:tc>
          <w:tcPr>
            <w:tcW w:w="2140" w:type="dxa"/>
            <w:tcBorders>
              <w:top w:val="single" w:sz="6" w:space="0" w:color="auto"/>
              <w:left w:val="double" w:sz="6" w:space="0" w:color="auto"/>
              <w:bottom w:val="double" w:sz="6" w:space="0" w:color="auto"/>
              <w:right w:val="single" w:sz="6" w:space="0" w:color="auto"/>
            </w:tcBorders>
            <w:vAlign w:val="center"/>
            <w:hideMark/>
          </w:tcPr>
          <w:p w14:paraId="102A0F05"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Borax </w:t>
            </w:r>
          </w:p>
        </w:tc>
        <w:tc>
          <w:tcPr>
            <w:tcW w:w="1697" w:type="dxa"/>
            <w:tcBorders>
              <w:top w:val="single" w:sz="6" w:space="0" w:color="auto"/>
              <w:left w:val="single" w:sz="6" w:space="0" w:color="auto"/>
              <w:bottom w:val="double" w:sz="6" w:space="0" w:color="auto"/>
              <w:right w:val="single" w:sz="6" w:space="0" w:color="auto"/>
            </w:tcBorders>
            <w:vAlign w:val="center"/>
            <w:hideMark/>
          </w:tcPr>
          <w:p w14:paraId="388EDA61"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see Section  </w:t>
            </w:r>
          </w:p>
          <w:p w14:paraId="5B5C917B"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2.4. Borax </w:t>
            </w:r>
          </w:p>
        </w:tc>
        <w:tc>
          <w:tcPr>
            <w:tcW w:w="5417" w:type="dxa"/>
            <w:tcBorders>
              <w:top w:val="single" w:sz="6" w:space="0" w:color="auto"/>
              <w:left w:val="single" w:sz="6" w:space="0" w:color="auto"/>
              <w:bottom w:val="double" w:sz="6" w:space="0" w:color="auto"/>
              <w:right w:val="double" w:sz="6" w:space="0" w:color="auto"/>
            </w:tcBorders>
            <w:vAlign w:val="center"/>
            <w:hideMark/>
          </w:tcPr>
          <w:p w14:paraId="0945F826"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 </w:t>
            </w:r>
          </w:p>
        </w:tc>
      </w:tr>
      <w:tr w:rsidR="000076D9" w:rsidRPr="000F0E7C" w14:paraId="207DCFC9" w14:textId="77777777" w:rsidTr="00D22750">
        <w:trPr>
          <w:trHeight w:val="300"/>
        </w:trPr>
        <w:tc>
          <w:tcPr>
            <w:tcW w:w="2140" w:type="dxa"/>
            <w:tcBorders>
              <w:top w:val="single" w:sz="6" w:space="0" w:color="auto"/>
              <w:left w:val="double" w:sz="6" w:space="0" w:color="auto"/>
              <w:bottom w:val="double" w:sz="6" w:space="0" w:color="auto"/>
              <w:right w:val="single" w:sz="6" w:space="0" w:color="auto"/>
            </w:tcBorders>
            <w:vAlign w:val="center"/>
            <w:hideMark/>
          </w:tcPr>
          <w:p w14:paraId="24A0BB43"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i/>
                <w:iCs/>
                <w:sz w:val="22"/>
              </w:rPr>
              <w:t>Cannabis</w:t>
            </w:r>
            <w:r w:rsidRPr="000F0E7C">
              <w:rPr>
                <w:sz w:val="22"/>
              </w:rPr>
              <w:t> </w:t>
            </w:r>
          </w:p>
        </w:tc>
        <w:tc>
          <w:tcPr>
            <w:tcW w:w="1697" w:type="dxa"/>
            <w:tcBorders>
              <w:top w:val="single" w:sz="6" w:space="0" w:color="auto"/>
              <w:left w:val="single" w:sz="6" w:space="0" w:color="auto"/>
              <w:bottom w:val="double" w:sz="6" w:space="0" w:color="auto"/>
              <w:right w:val="single" w:sz="6" w:space="0" w:color="auto"/>
            </w:tcBorders>
            <w:vAlign w:val="center"/>
            <w:hideMark/>
          </w:tcPr>
          <w:p w14:paraId="453CAE50" w14:textId="77777777" w:rsidR="000076D9" w:rsidRPr="000F0E7C" w:rsidRDefault="000076D9" w:rsidP="00BC42B5">
            <w:pPr>
              <w:keepNext/>
              <w:keepLines/>
              <w:widowControl w:val="0"/>
              <w:spacing w:after="0"/>
              <w:jc w:val="center"/>
              <w:textAlignment w:val="baseline"/>
              <w:rPr>
                <w:rFonts w:ascii="Segoe UI" w:hAnsi="Segoe UI" w:cs="Segoe UI"/>
                <w:sz w:val="18"/>
                <w:szCs w:val="18"/>
              </w:rPr>
            </w:pPr>
            <w:r w:rsidRPr="000F0E7C">
              <w:rPr>
                <w:sz w:val="22"/>
              </w:rPr>
              <w:t>3 % </w:t>
            </w:r>
          </w:p>
        </w:tc>
        <w:tc>
          <w:tcPr>
            <w:tcW w:w="5417" w:type="dxa"/>
            <w:tcBorders>
              <w:top w:val="single" w:sz="6" w:space="0" w:color="auto"/>
              <w:left w:val="single" w:sz="6" w:space="0" w:color="auto"/>
              <w:bottom w:val="double" w:sz="6" w:space="0" w:color="auto"/>
              <w:right w:val="double" w:sz="6" w:space="0" w:color="auto"/>
            </w:tcBorders>
            <w:vAlign w:val="center"/>
            <w:hideMark/>
          </w:tcPr>
          <w:p w14:paraId="43F81D03" w14:textId="77777777" w:rsidR="000076D9" w:rsidRPr="000F0E7C" w:rsidRDefault="000076D9" w:rsidP="00BC42B5">
            <w:pPr>
              <w:keepNext/>
              <w:keepLines/>
              <w:widowControl w:val="0"/>
              <w:spacing w:after="0"/>
              <w:textAlignment w:val="baseline"/>
              <w:rPr>
                <w:rFonts w:ascii="Segoe UI" w:hAnsi="Segoe UI" w:cs="Segoe UI"/>
                <w:sz w:val="18"/>
                <w:szCs w:val="18"/>
              </w:rPr>
            </w:pPr>
            <w:r w:rsidRPr="000F0E7C">
              <w:rPr>
                <w:i/>
                <w:iCs/>
                <w:sz w:val="22"/>
              </w:rPr>
              <w:t>Cannabis</w:t>
            </w:r>
            <w:r w:rsidRPr="000F0E7C">
              <w:rPr>
                <w:sz w:val="22"/>
              </w:rPr>
              <w:t xml:space="preserve"> means plant material only, and not products containing </w:t>
            </w:r>
            <w:r w:rsidRPr="000F0E7C">
              <w:rPr>
                <w:i/>
                <w:iCs/>
                <w:sz w:val="22"/>
              </w:rPr>
              <w:t>Cannabis</w:t>
            </w:r>
            <w:r w:rsidRPr="000F0E7C">
              <w:rPr>
                <w:sz w:val="22"/>
              </w:rPr>
              <w:t>, whether containing more than 0.3 % Total Delta-9 THC (also known as cannabis, Marijuana, or Marihuana) or containing 0.3 % or less Total Delta-9 THC (also known as Hemp). </w:t>
            </w:r>
          </w:p>
        </w:tc>
      </w:tr>
      <w:tr w:rsidR="000076D9" w:rsidRPr="006540E5" w14:paraId="2D5DBBBF" w14:textId="77777777" w:rsidTr="00D22750">
        <w:trPr>
          <w:trHeight w:val="300"/>
        </w:trPr>
        <w:tc>
          <w:tcPr>
            <w:tcW w:w="2140" w:type="dxa"/>
            <w:tcBorders>
              <w:top w:val="single" w:sz="6" w:space="0" w:color="auto"/>
              <w:left w:val="double" w:sz="6" w:space="0" w:color="auto"/>
              <w:bottom w:val="double" w:sz="6" w:space="0" w:color="auto"/>
              <w:right w:val="single" w:sz="6" w:space="0" w:color="auto"/>
            </w:tcBorders>
            <w:vAlign w:val="center"/>
            <w:hideMark/>
          </w:tcPr>
          <w:p w14:paraId="159927BE" w14:textId="77777777" w:rsidR="000076D9" w:rsidRPr="006540E5" w:rsidRDefault="000076D9" w:rsidP="00BC42B5">
            <w:pPr>
              <w:pStyle w:val="paragraph"/>
              <w:keepNext/>
              <w:keepLines/>
              <w:widowControl w:val="0"/>
              <w:spacing w:before="0" w:beforeAutospacing="0" w:after="0" w:afterAutospacing="0"/>
              <w:jc w:val="center"/>
              <w:textAlignment w:val="baseline"/>
              <w:rPr>
                <w:rFonts w:ascii="Segoe UI" w:hAnsi="Segoe UI" w:cs="Segoe UI"/>
                <w:b/>
                <w:bCs/>
                <w:sz w:val="18"/>
                <w:szCs w:val="18"/>
              </w:rPr>
            </w:pPr>
            <w:r w:rsidRPr="006540E5">
              <w:rPr>
                <w:rStyle w:val="normaltextrun"/>
                <w:b/>
                <w:bCs/>
                <w:sz w:val="22"/>
                <w:szCs w:val="22"/>
                <w:u w:val="single"/>
              </w:rPr>
              <w:t>Fruits</w:t>
            </w:r>
            <w:r w:rsidRPr="006540E5">
              <w:rPr>
                <w:rStyle w:val="eop"/>
                <w:b/>
                <w:bCs/>
                <w:sz w:val="22"/>
                <w:szCs w:val="22"/>
              </w:rPr>
              <w:t> </w:t>
            </w:r>
          </w:p>
        </w:tc>
        <w:tc>
          <w:tcPr>
            <w:tcW w:w="1697" w:type="dxa"/>
            <w:tcBorders>
              <w:top w:val="single" w:sz="6" w:space="0" w:color="auto"/>
              <w:left w:val="single" w:sz="6" w:space="0" w:color="auto"/>
              <w:bottom w:val="double" w:sz="6" w:space="0" w:color="auto"/>
              <w:right w:val="single" w:sz="6" w:space="0" w:color="auto"/>
            </w:tcBorders>
            <w:vAlign w:val="center"/>
            <w:hideMark/>
          </w:tcPr>
          <w:p w14:paraId="2F964FB5" w14:textId="77777777" w:rsidR="000076D9" w:rsidRPr="006540E5" w:rsidRDefault="000076D9" w:rsidP="00BC42B5">
            <w:pPr>
              <w:pStyle w:val="paragraph"/>
              <w:keepNext/>
              <w:keepLines/>
              <w:widowControl w:val="0"/>
              <w:spacing w:before="0" w:beforeAutospacing="0" w:after="0" w:afterAutospacing="0"/>
              <w:jc w:val="center"/>
              <w:textAlignment w:val="baseline"/>
              <w:rPr>
                <w:rFonts w:ascii="Segoe UI" w:hAnsi="Segoe UI" w:cs="Segoe UI"/>
                <w:b/>
                <w:bCs/>
                <w:sz w:val="18"/>
                <w:szCs w:val="18"/>
              </w:rPr>
            </w:pPr>
            <w:r w:rsidRPr="006540E5">
              <w:rPr>
                <w:rStyle w:val="normaltextrun"/>
                <w:b/>
                <w:bCs/>
                <w:sz w:val="22"/>
                <w:szCs w:val="22"/>
                <w:u w:val="single"/>
              </w:rPr>
              <w:t>6 %</w:t>
            </w:r>
            <w:r w:rsidRPr="006540E5">
              <w:rPr>
                <w:rStyle w:val="eop"/>
                <w:b/>
                <w:bCs/>
                <w:sz w:val="22"/>
                <w:szCs w:val="22"/>
              </w:rPr>
              <w:t> </w:t>
            </w:r>
          </w:p>
        </w:tc>
        <w:tc>
          <w:tcPr>
            <w:tcW w:w="5417" w:type="dxa"/>
            <w:tcBorders>
              <w:top w:val="single" w:sz="6" w:space="0" w:color="auto"/>
              <w:left w:val="single" w:sz="6" w:space="0" w:color="auto"/>
              <w:bottom w:val="double" w:sz="6" w:space="0" w:color="auto"/>
              <w:right w:val="double" w:sz="6" w:space="0" w:color="auto"/>
            </w:tcBorders>
            <w:vAlign w:val="center"/>
            <w:hideMark/>
          </w:tcPr>
          <w:p w14:paraId="347CA89F" w14:textId="77777777" w:rsidR="000076D9" w:rsidRPr="006540E5" w:rsidRDefault="000076D9" w:rsidP="00BC42B5">
            <w:pPr>
              <w:pStyle w:val="paragraph"/>
              <w:keepNext/>
              <w:keepLines/>
              <w:widowControl w:val="0"/>
              <w:spacing w:before="0" w:beforeAutospacing="0" w:after="0" w:afterAutospacing="0"/>
              <w:textAlignment w:val="baseline"/>
              <w:rPr>
                <w:rFonts w:ascii="Segoe UI" w:hAnsi="Segoe UI" w:cs="Segoe UI"/>
                <w:b/>
                <w:bCs/>
                <w:sz w:val="18"/>
                <w:szCs w:val="18"/>
              </w:rPr>
            </w:pPr>
            <w:r w:rsidRPr="006540E5">
              <w:rPr>
                <w:rStyle w:val="normaltextrun"/>
                <w:b/>
                <w:bCs/>
                <w:sz w:val="22"/>
                <w:szCs w:val="22"/>
                <w:u w:val="single"/>
              </w:rPr>
              <w:t>Fruits mean the mature or ripened reproductive structures (ovary of a flower) formed by plants that enclose seeds and help with their dispersal. Fruits</w:t>
            </w:r>
            <w:r w:rsidRPr="006540E5">
              <w:rPr>
                <w:rStyle w:val="normaltextrun"/>
                <w:b/>
                <w:bCs/>
                <w:i/>
                <w:iCs/>
                <w:sz w:val="22"/>
                <w:szCs w:val="22"/>
                <w:u w:val="single"/>
              </w:rPr>
              <w:t xml:space="preserve"> </w:t>
            </w:r>
            <w:r w:rsidRPr="006540E5">
              <w:rPr>
                <w:rStyle w:val="normaltextrun"/>
                <w:b/>
                <w:bCs/>
                <w:sz w:val="22"/>
                <w:szCs w:val="22"/>
                <w:u w:val="single"/>
              </w:rPr>
              <w:t xml:space="preserve">shall </w:t>
            </w:r>
            <w:proofErr w:type="gramStart"/>
            <w:r w:rsidRPr="006540E5">
              <w:rPr>
                <w:rStyle w:val="normaltextrun"/>
                <w:b/>
                <w:bCs/>
                <w:sz w:val="22"/>
                <w:szCs w:val="22"/>
                <w:u w:val="single"/>
              </w:rPr>
              <w:t>include:</w:t>
            </w:r>
            <w:proofErr w:type="gramEnd"/>
            <w:r w:rsidRPr="006540E5">
              <w:rPr>
                <w:rStyle w:val="normaltextrun"/>
                <w:b/>
                <w:bCs/>
                <w:sz w:val="22"/>
                <w:szCs w:val="22"/>
                <w:u w:val="single"/>
              </w:rPr>
              <w:t xml:space="preserve"> a)</w:t>
            </w:r>
            <w:r w:rsidRPr="006540E5">
              <w:rPr>
                <w:rStyle w:val="normaltextrun"/>
                <w:b/>
                <w:bCs/>
                <w:i/>
                <w:iCs/>
                <w:sz w:val="22"/>
                <w:szCs w:val="22"/>
                <w:u w:val="single"/>
              </w:rPr>
              <w:t xml:space="preserve"> </w:t>
            </w:r>
            <w:r w:rsidRPr="006540E5">
              <w:rPr>
                <w:rStyle w:val="normaltextrun"/>
                <w:b/>
                <w:bCs/>
                <w:sz w:val="22"/>
                <w:szCs w:val="22"/>
                <w:u w:val="single"/>
              </w:rPr>
              <w:t>“small fruits” which includes, but is not limited to, cherries, currants, and cherry tomatoes; and b) “berries,” which includes all fruit whose names end in the term “berry”, except when offered for sale and sold by the box, basket or other standard dry-measure receptacle.</w:t>
            </w:r>
            <w:r w:rsidRPr="006540E5">
              <w:rPr>
                <w:rStyle w:val="eop"/>
                <w:b/>
                <w:bCs/>
                <w:sz w:val="22"/>
                <w:szCs w:val="22"/>
              </w:rPr>
              <w:t> </w:t>
            </w:r>
          </w:p>
        </w:tc>
      </w:tr>
      <w:tr w:rsidR="000076D9" w:rsidRPr="006540E5" w14:paraId="6DAE63A0" w14:textId="77777777" w:rsidTr="00D22750">
        <w:trPr>
          <w:trHeight w:val="540"/>
        </w:trPr>
        <w:tc>
          <w:tcPr>
            <w:tcW w:w="2140" w:type="dxa"/>
            <w:tcBorders>
              <w:top w:val="single" w:sz="6" w:space="0" w:color="auto"/>
              <w:left w:val="double" w:sz="6" w:space="0" w:color="auto"/>
              <w:bottom w:val="single" w:sz="6" w:space="0" w:color="auto"/>
              <w:right w:val="single" w:sz="6" w:space="0" w:color="auto"/>
            </w:tcBorders>
            <w:vAlign w:val="center"/>
            <w:hideMark/>
          </w:tcPr>
          <w:p w14:paraId="7FF85C02" w14:textId="77777777" w:rsidR="000076D9" w:rsidRPr="006540E5" w:rsidRDefault="000076D9" w:rsidP="00BC42B5">
            <w:pPr>
              <w:pStyle w:val="paragraph"/>
              <w:keepNext/>
              <w:keepLines/>
              <w:widowControl w:val="0"/>
              <w:spacing w:before="0" w:beforeAutospacing="0" w:after="0" w:afterAutospacing="0"/>
              <w:jc w:val="center"/>
              <w:textAlignment w:val="baseline"/>
              <w:rPr>
                <w:rFonts w:ascii="Segoe UI" w:hAnsi="Segoe UI" w:cs="Segoe UI"/>
                <w:b/>
                <w:bCs/>
                <w:sz w:val="18"/>
                <w:szCs w:val="18"/>
              </w:rPr>
            </w:pPr>
            <w:r w:rsidRPr="006540E5">
              <w:rPr>
                <w:rStyle w:val="normaltextrun"/>
                <w:b/>
                <w:bCs/>
                <w:sz w:val="22"/>
                <w:szCs w:val="22"/>
                <w:u w:val="single"/>
              </w:rPr>
              <w:t>Vegetables</w:t>
            </w:r>
            <w:r w:rsidRPr="006540E5">
              <w:rPr>
                <w:rStyle w:val="eop"/>
                <w:b/>
                <w:bCs/>
                <w:sz w:val="22"/>
                <w:szCs w:val="22"/>
              </w:rPr>
              <w:t> </w:t>
            </w:r>
          </w:p>
        </w:tc>
        <w:tc>
          <w:tcPr>
            <w:tcW w:w="1697" w:type="dxa"/>
            <w:tcBorders>
              <w:top w:val="single" w:sz="6" w:space="0" w:color="auto"/>
              <w:left w:val="single" w:sz="6" w:space="0" w:color="auto"/>
              <w:bottom w:val="single" w:sz="6" w:space="0" w:color="auto"/>
              <w:right w:val="single" w:sz="6" w:space="0" w:color="auto"/>
            </w:tcBorders>
            <w:vAlign w:val="center"/>
            <w:hideMark/>
          </w:tcPr>
          <w:p w14:paraId="75EEBFD2" w14:textId="77777777" w:rsidR="000076D9" w:rsidRPr="006540E5" w:rsidRDefault="000076D9" w:rsidP="00BC42B5">
            <w:pPr>
              <w:pStyle w:val="paragraph"/>
              <w:keepNext/>
              <w:keepLines/>
              <w:widowControl w:val="0"/>
              <w:spacing w:before="0" w:beforeAutospacing="0" w:after="0" w:afterAutospacing="0"/>
              <w:jc w:val="center"/>
              <w:textAlignment w:val="baseline"/>
              <w:rPr>
                <w:rFonts w:ascii="Segoe UI" w:hAnsi="Segoe UI" w:cs="Segoe UI"/>
                <w:b/>
                <w:bCs/>
                <w:sz w:val="18"/>
                <w:szCs w:val="18"/>
              </w:rPr>
            </w:pPr>
            <w:r w:rsidRPr="006540E5">
              <w:rPr>
                <w:rStyle w:val="normaltextrun"/>
                <w:b/>
                <w:bCs/>
                <w:sz w:val="22"/>
                <w:szCs w:val="22"/>
                <w:u w:val="single"/>
              </w:rPr>
              <w:t>6 %</w:t>
            </w:r>
            <w:r w:rsidRPr="006540E5">
              <w:rPr>
                <w:rStyle w:val="eop"/>
                <w:b/>
                <w:bCs/>
                <w:sz w:val="22"/>
                <w:szCs w:val="22"/>
              </w:rPr>
              <w:t> </w:t>
            </w:r>
          </w:p>
        </w:tc>
        <w:tc>
          <w:tcPr>
            <w:tcW w:w="5417" w:type="dxa"/>
            <w:tcBorders>
              <w:top w:val="single" w:sz="6" w:space="0" w:color="auto"/>
              <w:left w:val="single" w:sz="6" w:space="0" w:color="auto"/>
              <w:bottom w:val="single" w:sz="6" w:space="0" w:color="auto"/>
              <w:right w:val="double" w:sz="6" w:space="0" w:color="auto"/>
            </w:tcBorders>
            <w:vAlign w:val="center"/>
            <w:hideMark/>
          </w:tcPr>
          <w:p w14:paraId="6341C84F" w14:textId="77777777" w:rsidR="000076D9" w:rsidRPr="006540E5" w:rsidRDefault="000076D9" w:rsidP="00BC42B5">
            <w:pPr>
              <w:pStyle w:val="paragraph"/>
              <w:keepNext/>
              <w:keepLines/>
              <w:widowControl w:val="0"/>
              <w:spacing w:before="0" w:beforeAutospacing="0" w:after="0" w:afterAutospacing="0"/>
              <w:textAlignment w:val="baseline"/>
              <w:rPr>
                <w:b/>
                <w:bCs/>
                <w:sz w:val="22"/>
                <w:szCs w:val="22"/>
                <w:u w:val="single"/>
              </w:rPr>
            </w:pPr>
            <w:r w:rsidRPr="006540E5">
              <w:rPr>
                <w:rStyle w:val="normaltextrun"/>
                <w:b/>
                <w:bCs/>
                <w:sz w:val="22"/>
                <w:szCs w:val="22"/>
                <w:u w:val="single"/>
              </w:rPr>
              <w:t>Vegetables means any part of a plant including:</w:t>
            </w:r>
            <w:r w:rsidRPr="006540E5">
              <w:rPr>
                <w:rStyle w:val="eop"/>
                <w:b/>
                <w:bCs/>
                <w:sz w:val="22"/>
                <w:szCs w:val="22"/>
                <w:u w:val="single"/>
              </w:rPr>
              <w:t xml:space="preserve"> (a) edible underground parts, such as roots, tubers, and bulbs; (b) edible above ground parts, such as stems, leaves, and flowers; and (c) edible fruits and seeds, such as usually unripe fruits and seeds. </w:t>
            </w:r>
          </w:p>
        </w:tc>
      </w:tr>
    </w:tbl>
    <w:p w14:paraId="4977AC87" w14:textId="77777777" w:rsidR="000076D9" w:rsidRDefault="000076D9" w:rsidP="00A94B54">
      <w:pPr>
        <w:keepNext/>
        <w:suppressLineNumbers/>
        <w:spacing w:after="0"/>
        <w:rPr>
          <w:b/>
        </w:rPr>
      </w:pPr>
    </w:p>
    <w:p w14:paraId="67D67289" w14:textId="77777777" w:rsidR="000076D9" w:rsidRDefault="000076D9" w:rsidP="00A94B54">
      <w:pPr>
        <w:keepNext/>
        <w:suppressLineNumbers/>
        <w:spacing w:after="0"/>
        <w:rPr>
          <w:b/>
        </w:rPr>
      </w:pPr>
    </w:p>
    <w:p w14:paraId="26513310" w14:textId="77777777" w:rsidR="00F3666E" w:rsidRDefault="00F3666E" w:rsidP="006540E5">
      <w:pPr>
        <w:keepNext/>
        <w:spacing w:after="0"/>
        <w:rPr>
          <w:b/>
        </w:rPr>
      </w:pPr>
    </w:p>
    <w:p w14:paraId="38E3FAC4" w14:textId="09A8A867" w:rsidR="006540E5" w:rsidRPr="00AB010B" w:rsidRDefault="006540E5" w:rsidP="006540E5">
      <w:pPr>
        <w:keepNext/>
        <w:spacing w:after="0"/>
        <w:rPr>
          <w:b/>
        </w:rPr>
      </w:pPr>
      <w:r w:rsidRPr="00AB010B">
        <w:rPr>
          <w:b/>
        </w:rPr>
        <w:t>Original Justification:</w:t>
      </w:r>
    </w:p>
    <w:p w14:paraId="1D17F7CA" w14:textId="4F022100" w:rsidR="006540E5" w:rsidRPr="006B28C1" w:rsidRDefault="006540E5" w:rsidP="006B28C1">
      <w:r w:rsidRPr="006B28C1">
        <w:t>The revisions to Handbook 133 being presented for consideration reflect modern supply chains and sales practices as it concerns fresh produce. While several products such as meat, poultry, flour, pasta and even cannabis are provided a “moisture allowance,” produce is not. Yet fruits and vegetables are generally more than 80 percent water. Moisture loss is a scientifically recognized, inevitable process during storage and distribution of produce due to its perishable and hydrophilic nature. Failing to account for this natural variability imposes an unfair compliance burden on industry and does not reflect the true intent of fair packaging and labeling practices.</w:t>
      </w:r>
    </w:p>
    <w:p w14:paraId="264ABC1E" w14:textId="2E99FA8C" w:rsidR="003C3D8E" w:rsidRPr="006B28C1" w:rsidRDefault="003C3D8E" w:rsidP="006B28C1">
      <w:r w:rsidRPr="006B28C1">
        <w:t xml:space="preserve">The submitter acknowledges that some may argue that the moisture loss requested is too </w:t>
      </w:r>
      <w:proofErr w:type="gramStart"/>
      <w:r w:rsidRPr="006B28C1">
        <w:t>high as</w:t>
      </w:r>
      <w:proofErr w:type="gramEnd"/>
      <w:r w:rsidRPr="006B28C1">
        <w:t xml:space="preserve"> compared to other products.</w:t>
      </w:r>
    </w:p>
    <w:p w14:paraId="6C2E21CF" w14:textId="26FA0023" w:rsidR="003C3D8E" w:rsidRPr="006B28C1" w:rsidRDefault="003C3D8E" w:rsidP="006B28C1">
      <w:r w:rsidRPr="006B28C1">
        <w:t>The submitter requested Voting status in 2026.</w:t>
      </w:r>
    </w:p>
    <w:p w14:paraId="3B89B7E8" w14:textId="77777777" w:rsidR="006540E5" w:rsidRPr="002A7C3B" w:rsidRDefault="006540E5" w:rsidP="006540E5">
      <w:pPr>
        <w:keepNext/>
        <w:rPr>
          <w:b/>
        </w:rPr>
      </w:pPr>
      <w:r>
        <w:rPr>
          <w:b/>
        </w:rPr>
        <w:lastRenderedPageBreak/>
        <w:t>Comments</w:t>
      </w:r>
      <w:r w:rsidRPr="002A7C3B">
        <w:rPr>
          <w:b/>
        </w:rPr>
        <w:t xml:space="preserve"> in Favor:</w:t>
      </w:r>
    </w:p>
    <w:p w14:paraId="2D61099D" w14:textId="0A17382B" w:rsidR="006540E5" w:rsidRPr="002A7C3B" w:rsidRDefault="0042639E" w:rsidP="006540E5">
      <w:pPr>
        <w:keepNext/>
        <w:spacing w:after="0"/>
        <w:ind w:left="720"/>
        <w:rPr>
          <w:b/>
        </w:rPr>
      </w:pPr>
      <w:r>
        <w:rPr>
          <w:b/>
        </w:rPr>
        <w:t>Weights and Measures Officials</w:t>
      </w:r>
      <w:r w:rsidR="006540E5" w:rsidRPr="002A7C3B">
        <w:rPr>
          <w:b/>
        </w:rPr>
        <w:t>:</w:t>
      </w:r>
    </w:p>
    <w:p w14:paraId="7EBA86B3" w14:textId="0BACAC8C" w:rsidR="006540E5" w:rsidRPr="002A7C3B" w:rsidRDefault="00BF47F7" w:rsidP="006540E5">
      <w:pPr>
        <w:pStyle w:val="ListParagraph"/>
        <w:numPr>
          <w:ilvl w:val="0"/>
          <w:numId w:val="26"/>
        </w:numPr>
        <w:spacing w:after="0" w:line="259" w:lineRule="auto"/>
        <w:contextualSpacing/>
        <w:jc w:val="left"/>
      </w:pPr>
      <w:r>
        <w:t>None</w:t>
      </w:r>
    </w:p>
    <w:p w14:paraId="54CE89D8" w14:textId="77777777" w:rsidR="006540E5" w:rsidRPr="002A7C3B" w:rsidRDefault="006540E5" w:rsidP="006540E5">
      <w:pPr>
        <w:spacing w:before="240" w:after="0"/>
        <w:ind w:left="720"/>
        <w:rPr>
          <w:b/>
        </w:rPr>
      </w:pPr>
      <w:r w:rsidRPr="002A7C3B">
        <w:rPr>
          <w:b/>
        </w:rPr>
        <w:t>Industry:</w:t>
      </w:r>
    </w:p>
    <w:p w14:paraId="128B1763" w14:textId="47A9D663" w:rsidR="006540E5" w:rsidRPr="002A7C3B" w:rsidRDefault="00774F1D" w:rsidP="006540E5">
      <w:pPr>
        <w:pStyle w:val="ListParagraph"/>
        <w:numPr>
          <w:ilvl w:val="0"/>
          <w:numId w:val="26"/>
        </w:numPr>
        <w:spacing w:after="0" w:line="259" w:lineRule="auto"/>
        <w:contextualSpacing/>
        <w:jc w:val="left"/>
      </w:pPr>
      <w:r>
        <w:t>None</w:t>
      </w:r>
    </w:p>
    <w:p w14:paraId="7D0CE45D" w14:textId="77777777" w:rsidR="006540E5" w:rsidRPr="002A7C3B" w:rsidRDefault="006540E5" w:rsidP="006540E5">
      <w:pPr>
        <w:spacing w:before="240" w:after="0"/>
        <w:ind w:left="720"/>
        <w:rPr>
          <w:b/>
        </w:rPr>
      </w:pPr>
      <w:r w:rsidRPr="002A7C3B">
        <w:rPr>
          <w:b/>
        </w:rPr>
        <w:t>Advisory:</w:t>
      </w:r>
    </w:p>
    <w:p w14:paraId="72A1B4D9" w14:textId="072895A6" w:rsidR="006540E5" w:rsidRPr="002A7C3B" w:rsidRDefault="00774F1D" w:rsidP="006540E5">
      <w:pPr>
        <w:pStyle w:val="ListParagraph"/>
        <w:numPr>
          <w:ilvl w:val="0"/>
          <w:numId w:val="26"/>
        </w:numPr>
        <w:spacing w:after="0" w:line="259" w:lineRule="auto"/>
        <w:contextualSpacing/>
        <w:jc w:val="left"/>
      </w:pPr>
      <w:r>
        <w:t>None</w:t>
      </w:r>
    </w:p>
    <w:p w14:paraId="40A3ECC8" w14:textId="77777777" w:rsidR="006540E5" w:rsidRPr="002A7C3B" w:rsidRDefault="006540E5" w:rsidP="006540E5">
      <w:pPr>
        <w:spacing w:before="240"/>
        <w:rPr>
          <w:b/>
        </w:rPr>
      </w:pPr>
      <w:r>
        <w:rPr>
          <w:b/>
        </w:rPr>
        <w:t>Comments</w:t>
      </w:r>
      <w:r w:rsidRPr="002A7C3B">
        <w:rPr>
          <w:b/>
        </w:rPr>
        <w:t xml:space="preserve"> Against:</w:t>
      </w:r>
    </w:p>
    <w:p w14:paraId="6BBF898C" w14:textId="37D286C3" w:rsidR="006540E5" w:rsidRPr="002A7C3B" w:rsidRDefault="0042639E" w:rsidP="006540E5">
      <w:pPr>
        <w:spacing w:after="0"/>
        <w:ind w:left="720"/>
        <w:rPr>
          <w:b/>
        </w:rPr>
      </w:pPr>
      <w:r>
        <w:rPr>
          <w:b/>
        </w:rPr>
        <w:t>Weights and Measures Officials</w:t>
      </w:r>
      <w:r w:rsidR="006540E5" w:rsidRPr="002A7C3B">
        <w:rPr>
          <w:b/>
        </w:rPr>
        <w:t>:</w:t>
      </w:r>
    </w:p>
    <w:p w14:paraId="2E0CB858" w14:textId="6CE6A161" w:rsidR="006540E5" w:rsidRPr="002A7C3B" w:rsidRDefault="002812FC" w:rsidP="00AD2867">
      <w:pPr>
        <w:pStyle w:val="ListParagraph"/>
        <w:numPr>
          <w:ilvl w:val="0"/>
          <w:numId w:val="27"/>
        </w:numPr>
        <w:spacing w:after="0" w:line="259" w:lineRule="auto"/>
        <w:contextualSpacing/>
        <w:jc w:val="left"/>
      </w:pPr>
      <w:r>
        <w:t xml:space="preserve">Multiple </w:t>
      </w:r>
      <w:r w:rsidR="001B29F9">
        <w:t>w</w:t>
      </w:r>
      <w:r w:rsidRPr="001B29F9">
        <w:t xml:space="preserve">eights and </w:t>
      </w:r>
      <w:r w:rsidR="001B29F9">
        <w:t>m</w:t>
      </w:r>
      <w:r w:rsidRPr="001B29F9">
        <w:t xml:space="preserve">easures </w:t>
      </w:r>
      <w:r w:rsidR="006D1E9C" w:rsidRPr="001B29F9">
        <w:t>officials</w:t>
      </w:r>
      <w:r>
        <w:t xml:space="preserve"> opposed the item citing insufficient data to support the requested moisture allowance and a broad categorization system which would group products with greatly different moisture loss profiles.  They recommended withdrawing the item, although appreciation was expressed for the submitters’ efforts and they were invited to resubmit with data provided for specific or narrowly categorized commodities.</w:t>
      </w:r>
    </w:p>
    <w:p w14:paraId="3908E4CE" w14:textId="77777777" w:rsidR="006540E5" w:rsidRPr="002A7C3B" w:rsidRDefault="006540E5" w:rsidP="006540E5">
      <w:pPr>
        <w:spacing w:before="240" w:after="0"/>
        <w:ind w:left="720"/>
        <w:rPr>
          <w:b/>
        </w:rPr>
      </w:pPr>
      <w:r w:rsidRPr="002A7C3B">
        <w:rPr>
          <w:b/>
        </w:rPr>
        <w:t>Industry:</w:t>
      </w:r>
    </w:p>
    <w:p w14:paraId="253E8EB3" w14:textId="3EADBF20" w:rsidR="006540E5" w:rsidRPr="002A7C3B" w:rsidRDefault="00D80656" w:rsidP="006540E5">
      <w:pPr>
        <w:pStyle w:val="ListParagraph"/>
        <w:numPr>
          <w:ilvl w:val="0"/>
          <w:numId w:val="27"/>
        </w:numPr>
        <w:spacing w:after="0" w:line="259" w:lineRule="auto"/>
        <w:contextualSpacing/>
        <w:jc w:val="left"/>
      </w:pPr>
      <w:r>
        <w:t>None</w:t>
      </w:r>
    </w:p>
    <w:p w14:paraId="6BF53706" w14:textId="77777777" w:rsidR="006540E5" w:rsidRPr="00AC5B86" w:rsidRDefault="006540E5" w:rsidP="006540E5">
      <w:pPr>
        <w:spacing w:before="240" w:after="0"/>
        <w:ind w:left="720"/>
        <w:rPr>
          <w:b/>
        </w:rPr>
      </w:pPr>
      <w:r w:rsidRPr="002A7C3B">
        <w:rPr>
          <w:b/>
        </w:rPr>
        <w:t>Advisory:</w:t>
      </w:r>
    </w:p>
    <w:p w14:paraId="394CE4C1" w14:textId="7FC4427B" w:rsidR="006540E5" w:rsidRDefault="00D07FB7" w:rsidP="00D07FB7">
      <w:pPr>
        <w:pStyle w:val="ListParagraph"/>
        <w:numPr>
          <w:ilvl w:val="0"/>
          <w:numId w:val="27"/>
        </w:numPr>
        <w:spacing w:after="0" w:line="259" w:lineRule="auto"/>
        <w:contextualSpacing/>
        <w:jc w:val="left"/>
      </w:pPr>
      <w:r>
        <w:t>A NIST OWM advisor suggested the item should be withdrawn due to insufficient data and an overly broad categorization system.</w:t>
      </w:r>
    </w:p>
    <w:p w14:paraId="55F09874" w14:textId="77777777" w:rsidR="006540E5" w:rsidRPr="002A7C3B" w:rsidRDefault="006540E5" w:rsidP="006540E5">
      <w:pPr>
        <w:spacing w:before="240"/>
        <w:rPr>
          <w:b/>
        </w:rPr>
      </w:pPr>
      <w:r>
        <w:rPr>
          <w:b/>
        </w:rPr>
        <w:t>Neutral Comments</w:t>
      </w:r>
      <w:r w:rsidRPr="002A7C3B">
        <w:rPr>
          <w:b/>
        </w:rPr>
        <w:t>:</w:t>
      </w:r>
    </w:p>
    <w:p w14:paraId="0A1579E7" w14:textId="7AA0B7F3" w:rsidR="006540E5" w:rsidRPr="002A7C3B" w:rsidRDefault="0042639E" w:rsidP="006540E5">
      <w:pPr>
        <w:spacing w:after="0"/>
        <w:ind w:left="720"/>
        <w:rPr>
          <w:b/>
        </w:rPr>
      </w:pPr>
      <w:r>
        <w:rPr>
          <w:b/>
        </w:rPr>
        <w:t>Weights and Measures Officials</w:t>
      </w:r>
      <w:r w:rsidR="006540E5" w:rsidRPr="002A7C3B">
        <w:rPr>
          <w:b/>
        </w:rPr>
        <w:t>:</w:t>
      </w:r>
    </w:p>
    <w:p w14:paraId="74F24BA3" w14:textId="32513CA6" w:rsidR="006540E5" w:rsidRPr="002A7C3B" w:rsidRDefault="00D80656" w:rsidP="006540E5">
      <w:pPr>
        <w:pStyle w:val="ListParagraph"/>
        <w:numPr>
          <w:ilvl w:val="0"/>
          <w:numId w:val="27"/>
        </w:numPr>
        <w:spacing w:after="0" w:line="259" w:lineRule="auto"/>
        <w:contextualSpacing/>
        <w:jc w:val="left"/>
      </w:pPr>
      <w:r>
        <w:t>None</w:t>
      </w:r>
    </w:p>
    <w:p w14:paraId="0E4C9950" w14:textId="77777777" w:rsidR="006540E5" w:rsidRPr="002A7C3B" w:rsidRDefault="006540E5" w:rsidP="006540E5">
      <w:pPr>
        <w:spacing w:before="240" w:after="0"/>
        <w:ind w:left="720"/>
        <w:rPr>
          <w:b/>
        </w:rPr>
      </w:pPr>
      <w:r w:rsidRPr="002A7C3B">
        <w:rPr>
          <w:b/>
        </w:rPr>
        <w:t>Industry:</w:t>
      </w:r>
    </w:p>
    <w:p w14:paraId="2BA25786" w14:textId="7277FEBA" w:rsidR="006540E5" w:rsidRPr="002A7C3B" w:rsidRDefault="00D02002" w:rsidP="00D02002">
      <w:pPr>
        <w:pStyle w:val="ListParagraph"/>
        <w:numPr>
          <w:ilvl w:val="0"/>
          <w:numId w:val="27"/>
        </w:numPr>
        <w:spacing w:after="0" w:line="259" w:lineRule="auto"/>
        <w:contextualSpacing/>
        <w:jc w:val="left"/>
      </w:pPr>
      <w:r>
        <w:t xml:space="preserve">The original submitter acknowledged the lack of data to support the requested moisture allowance and need for more narrowly defined </w:t>
      </w:r>
      <w:r w:rsidR="00195193">
        <w:t>categories but</w:t>
      </w:r>
      <w:r>
        <w:t xml:space="preserve"> suggested assigning the item to a Work Group for further research.</w:t>
      </w:r>
    </w:p>
    <w:p w14:paraId="0E0471C5" w14:textId="77777777" w:rsidR="006540E5" w:rsidRPr="002A7C3B" w:rsidRDefault="006540E5" w:rsidP="006540E5">
      <w:pPr>
        <w:spacing w:before="240" w:after="0"/>
        <w:ind w:left="720"/>
        <w:rPr>
          <w:b/>
        </w:rPr>
      </w:pPr>
      <w:r w:rsidRPr="002A7C3B">
        <w:rPr>
          <w:b/>
        </w:rPr>
        <w:t>Advisory:</w:t>
      </w:r>
    </w:p>
    <w:p w14:paraId="5B8D4DFC" w14:textId="6089C948" w:rsidR="006540E5" w:rsidRDefault="00732CC7" w:rsidP="006540E5">
      <w:pPr>
        <w:pStyle w:val="ListParagraph"/>
        <w:numPr>
          <w:ilvl w:val="0"/>
          <w:numId w:val="27"/>
        </w:numPr>
        <w:spacing w:after="0" w:line="259" w:lineRule="auto"/>
        <w:contextualSpacing/>
        <w:jc w:val="left"/>
      </w:pPr>
      <w:r>
        <w:t>None</w:t>
      </w:r>
    </w:p>
    <w:p w14:paraId="56F597F5" w14:textId="77777777" w:rsidR="006540E5" w:rsidRPr="00E025F9" w:rsidRDefault="006540E5" w:rsidP="006540E5">
      <w:pPr>
        <w:spacing w:before="240" w:after="0"/>
        <w:rPr>
          <w:b/>
        </w:rPr>
      </w:pPr>
      <w:r w:rsidRPr="002A7C3B">
        <w:rPr>
          <w:b/>
        </w:rPr>
        <w:t>Item Develop</w:t>
      </w:r>
      <w:r w:rsidRPr="00E025F9">
        <w:rPr>
          <w:b/>
        </w:rPr>
        <w:t>ment:</w:t>
      </w:r>
    </w:p>
    <w:p w14:paraId="26D382EC" w14:textId="3E63122A" w:rsidR="006540E5" w:rsidRDefault="003C3D8E" w:rsidP="006540E5">
      <w:r>
        <w:t>New Proposal</w:t>
      </w:r>
      <w:r w:rsidR="00384BD9">
        <w:t xml:space="preserve"> 2026</w:t>
      </w:r>
    </w:p>
    <w:p w14:paraId="6BF94588" w14:textId="06165FD8" w:rsidR="009C33DD" w:rsidRPr="009C33DD" w:rsidRDefault="009C33DD" w:rsidP="006540E5">
      <w:pPr>
        <w:rPr>
          <w:u w:val="single"/>
        </w:rPr>
      </w:pPr>
      <w:r w:rsidRPr="009C33DD">
        <w:rPr>
          <w:u w:val="single"/>
        </w:rPr>
        <w:t>NCWM Interim 2026</w:t>
      </w:r>
      <w:proofErr w:type="gramStart"/>
      <w:r w:rsidRPr="009C33DD">
        <w:rPr>
          <w:u w:val="single"/>
        </w:rPr>
        <w:t>:</w:t>
      </w:r>
      <w:r w:rsidR="00215960" w:rsidRPr="00195193">
        <w:t xml:space="preserve">  The</w:t>
      </w:r>
      <w:proofErr w:type="gramEnd"/>
      <w:r w:rsidR="00215960" w:rsidRPr="00195193">
        <w:t xml:space="preserve"> Committee, hearing </w:t>
      </w:r>
      <w:r w:rsidR="00D75739" w:rsidRPr="00195193">
        <w:t>no support for this item withdrew it.</w:t>
      </w:r>
    </w:p>
    <w:p w14:paraId="1B526750" w14:textId="77777777" w:rsidR="006540E5" w:rsidRPr="00E025F9" w:rsidRDefault="006540E5" w:rsidP="006540E5">
      <w:pPr>
        <w:spacing w:after="0"/>
        <w:rPr>
          <w:b/>
        </w:rPr>
      </w:pPr>
      <w:r w:rsidRPr="00E025F9">
        <w:rPr>
          <w:b/>
        </w:rPr>
        <w:t>Regional Associations’ Comments:</w:t>
      </w:r>
    </w:p>
    <w:p w14:paraId="2C0586D0" w14:textId="6D65E553" w:rsidR="00B55C17" w:rsidRDefault="000714DD" w:rsidP="00C918BF">
      <w:pPr>
        <w:spacing w:before="240"/>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62A7D6E3" w14:textId="36FE22C9" w:rsidR="003A3CE3" w:rsidRDefault="003A3CE3" w:rsidP="00C918BF">
      <w:pPr>
        <w:rPr>
          <w:rFonts w:eastAsia="Times New Roman"/>
          <w:szCs w:val="24"/>
        </w:rPr>
      </w:pPr>
      <w:r>
        <w:rPr>
          <w:rFonts w:eastAsia="Times New Roman"/>
          <w:szCs w:val="24"/>
        </w:rPr>
        <w:t xml:space="preserve">Mr. Austin Shepherd (County of San Diego, California) spoke to discussions which occurred at the NCWM Annual Meeting regarding moisture loss and that the percentages in the table were based upon supporting data which was </w:t>
      </w:r>
      <w:r>
        <w:rPr>
          <w:rFonts w:eastAsia="Times New Roman"/>
          <w:szCs w:val="24"/>
        </w:rPr>
        <w:lastRenderedPageBreak/>
        <w:t>provided by industry. Because the submitter provided no data for this proposal, he recommended a developing status or that the item be withdrawn.</w:t>
      </w:r>
    </w:p>
    <w:p w14:paraId="79BF938E" w14:textId="209DA31B" w:rsidR="003A3CE3" w:rsidRDefault="003A3CE3" w:rsidP="00C918BF">
      <w:pPr>
        <w:rPr>
          <w:rFonts w:eastAsia="Times New Roman"/>
          <w:szCs w:val="24"/>
        </w:rPr>
      </w:pPr>
      <w:r>
        <w:rPr>
          <w:rFonts w:eastAsia="Times New Roman"/>
          <w:szCs w:val="24"/>
        </w:rPr>
        <w:t>Mr. Jose Arriaga (County of Orange, California) stated that the descriptions in the proposal are broad and agreed with Mr. Shepherd. He clarified that using the botanical descriptions might not be appropriate and suggested that the submitter works with USDA to classify products.</w:t>
      </w:r>
    </w:p>
    <w:p w14:paraId="428A3C93" w14:textId="23AC012E" w:rsidR="003A3CE3" w:rsidRDefault="003A3CE3" w:rsidP="00C918BF">
      <w:pPr>
        <w:rPr>
          <w:rFonts w:eastAsia="Times New Roman"/>
          <w:szCs w:val="24"/>
        </w:rPr>
      </w:pPr>
      <w:r w:rsidRPr="006D1AE8">
        <w:rPr>
          <w:rFonts w:eastAsia="Times New Roman"/>
          <w:szCs w:val="24"/>
        </w:rPr>
        <w:t>Ms. Wendy Hahn (County of Stanislaus, California)</w:t>
      </w:r>
      <w:r>
        <w:rPr>
          <w:rFonts w:eastAsia="Times New Roman"/>
          <w:szCs w:val="24"/>
        </w:rPr>
        <w:t xml:space="preserve"> stated that fruits and vegetables are much more perishable than other products and that the range in moisture loss for given fruits or vegetables may be broad.</w:t>
      </w:r>
    </w:p>
    <w:p w14:paraId="3766F964" w14:textId="13110076" w:rsidR="003A3CE3" w:rsidRDefault="003A3CE3" w:rsidP="00C918BF">
      <w:pPr>
        <w:rPr>
          <w:rFonts w:eastAsia="Times New Roman"/>
          <w:szCs w:val="24"/>
        </w:rPr>
      </w:pPr>
      <w:r>
        <w:rPr>
          <w:rFonts w:eastAsia="Times New Roman"/>
          <w:szCs w:val="24"/>
        </w:rPr>
        <w:t xml:space="preserve">Mr. Aaron Yanker </w:t>
      </w:r>
      <w:r w:rsidRPr="005D61E3">
        <w:rPr>
          <w:rFonts w:eastAsia="Times New Roman"/>
          <w:szCs w:val="24"/>
        </w:rPr>
        <w:t>(Colorado Department</w:t>
      </w:r>
      <w:r>
        <w:rPr>
          <w:rFonts w:eastAsia="Times New Roman"/>
          <w:szCs w:val="24"/>
        </w:rPr>
        <w:t xml:space="preserve"> </w:t>
      </w:r>
      <w:r w:rsidRPr="005D61E3">
        <w:rPr>
          <w:rFonts w:eastAsia="Times New Roman"/>
          <w:szCs w:val="24"/>
        </w:rPr>
        <w:t>of Agriculture, Weights and Measures)</w:t>
      </w:r>
      <w:r>
        <w:rPr>
          <w:rFonts w:eastAsia="Times New Roman"/>
          <w:szCs w:val="24"/>
        </w:rPr>
        <w:t xml:space="preserve"> stated that he did not recognize the intent or see the merit in the item and recommended that the item be withdrawn. He also recognized that there is a Moisture Allowance Task Group addressing moisture loss for all items.</w:t>
      </w:r>
    </w:p>
    <w:p w14:paraId="62046967" w14:textId="2D640B4A" w:rsidR="003A3CE3" w:rsidRDefault="003A3CE3" w:rsidP="00C918BF">
      <w:pPr>
        <w:rPr>
          <w:rFonts w:eastAsia="Times New Roman"/>
          <w:szCs w:val="24"/>
        </w:rPr>
      </w:pPr>
      <w:r>
        <w:rPr>
          <w:rFonts w:eastAsia="Times New Roman"/>
          <w:szCs w:val="24"/>
        </w:rPr>
        <w:t>Mr. Matt Douglas (California Division of Measurement Standards) recognized that t</w:t>
      </w:r>
      <w:r w:rsidRPr="00444CC1">
        <w:rPr>
          <w:rFonts w:eastAsia="Times New Roman"/>
          <w:szCs w:val="24"/>
        </w:rPr>
        <w:t>here are already items on the agenda and a work group assessing the applicability of moisture loss.</w:t>
      </w:r>
      <w:r>
        <w:rPr>
          <w:rFonts w:eastAsia="Times New Roman"/>
          <w:szCs w:val="24"/>
        </w:rPr>
        <w:t xml:space="preserve"> He r</w:t>
      </w:r>
      <w:r w:rsidRPr="00444CC1">
        <w:rPr>
          <w:rFonts w:eastAsia="Times New Roman"/>
          <w:szCs w:val="24"/>
        </w:rPr>
        <w:t>ecommend</w:t>
      </w:r>
      <w:r>
        <w:rPr>
          <w:rFonts w:eastAsia="Times New Roman"/>
          <w:szCs w:val="24"/>
        </w:rPr>
        <w:t>ed that</w:t>
      </w:r>
      <w:r w:rsidRPr="00444CC1">
        <w:rPr>
          <w:rFonts w:eastAsia="Times New Roman"/>
          <w:szCs w:val="24"/>
        </w:rPr>
        <w:t xml:space="preserve"> this item be withdrawn pending the results of the workgroup.</w:t>
      </w:r>
      <w:r>
        <w:rPr>
          <w:rFonts w:eastAsia="Times New Roman"/>
          <w:szCs w:val="24"/>
        </w:rPr>
        <w:t xml:space="preserve"> He stated that if the item stays on the agenda </w:t>
      </w:r>
      <w:r>
        <w:t>the submitter should work with NIST and/or the workgroup to identify how to develop the item including providing data, or that the</w:t>
      </w:r>
      <w:r w:rsidRPr="00271565">
        <w:t xml:space="preserve"> item </w:t>
      </w:r>
      <w:r>
        <w:t xml:space="preserve">should </w:t>
      </w:r>
      <w:r w:rsidRPr="00271565">
        <w:t>be assigned to the moisture allowance task group to evaluate whether the item is necessary, and whether the proposed percentages and descriptions are appropriate.</w:t>
      </w:r>
    </w:p>
    <w:p w14:paraId="3A56104A" w14:textId="1C62204E" w:rsidR="003A3CE3" w:rsidRPr="00A43BF4" w:rsidRDefault="003A3CE3" w:rsidP="00C918BF">
      <w:pPr>
        <w:rPr>
          <w:rFonts w:eastAsia="Times New Roman"/>
          <w:szCs w:val="24"/>
        </w:rPr>
      </w:pPr>
      <w:r>
        <w:rPr>
          <w:rFonts w:eastAsia="Times New Roman"/>
          <w:szCs w:val="24"/>
        </w:rPr>
        <w:t>Mr. Kurt Floren (County of Los Angeles, California) spoke to concerns about the item as presented including the percentage of moisture loss identified, the lack of data, and the broadness of the categories to which this moisture loss would apply. However, he expressed support for the idea in principle and encouraged the council to engage with industry, noting that it was unusual for industry to reach out and ask for this. He suggested the creation of a task group to work with industry to seek additional data and develop these moisture loss “allowances”.</w:t>
      </w:r>
    </w:p>
    <w:p w14:paraId="1375C295" w14:textId="3E6464C2" w:rsidR="000714DD" w:rsidRPr="00A43BF4" w:rsidRDefault="003A3CE3" w:rsidP="00C918BF">
      <w:pPr>
        <w:rPr>
          <w:rFonts w:eastAsia="Times New Roman"/>
          <w:szCs w:val="24"/>
        </w:rPr>
      </w:pPr>
      <w:r>
        <w:rPr>
          <w:rFonts w:eastAsia="Times New Roman"/>
          <w:szCs w:val="24"/>
        </w:rPr>
        <w:t>The WWMA L&amp;R Committee recommends that this item be assigned to a new task group.</w:t>
      </w:r>
    </w:p>
    <w:p w14:paraId="27B67E4F" w14:textId="44CB3613" w:rsidR="000714DD" w:rsidRDefault="000714DD" w:rsidP="000714DD">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4149B1">
        <w:rPr>
          <w:rFonts w:eastAsia="Times New Roman"/>
          <w:szCs w:val="24"/>
          <w:u w:val="single"/>
        </w:rPr>
        <w:t>Interim</w:t>
      </w:r>
      <w:r w:rsidRPr="0051426D">
        <w:rPr>
          <w:rFonts w:eastAsia="Times New Roman"/>
          <w:szCs w:val="24"/>
          <w:u w:val="single"/>
        </w:rPr>
        <w:t xml:space="preserve"> Meeting:</w:t>
      </w:r>
    </w:p>
    <w:p w14:paraId="0015A88E" w14:textId="77777777" w:rsidR="00C918BF" w:rsidRDefault="00637F9B" w:rsidP="00C918BF">
      <w:pPr>
        <w:rPr>
          <w:rFonts w:eastAsia="Times New Roman"/>
          <w:szCs w:val="24"/>
        </w:rPr>
      </w:pPr>
      <w:r>
        <w:rPr>
          <w:rFonts w:eastAsia="Times New Roman"/>
          <w:szCs w:val="24"/>
        </w:rPr>
        <w:t xml:space="preserve">Several regulators and </w:t>
      </w:r>
      <w:proofErr w:type="gramStart"/>
      <w:r>
        <w:rPr>
          <w:rFonts w:eastAsia="Times New Roman"/>
          <w:szCs w:val="24"/>
        </w:rPr>
        <w:t>a retired individual</w:t>
      </w:r>
      <w:proofErr w:type="gramEnd"/>
      <w:r>
        <w:rPr>
          <w:rFonts w:eastAsia="Times New Roman"/>
          <w:szCs w:val="24"/>
        </w:rPr>
        <w:t xml:space="preserve"> were opposed to this item and recommended withdrawal. A NIST representative had no official position but would likely not support the item. </w:t>
      </w:r>
    </w:p>
    <w:p w14:paraId="0BF6A091" w14:textId="699479E8" w:rsidR="00C918BF" w:rsidRDefault="00637F9B" w:rsidP="00C918BF">
      <w:pPr>
        <w:rPr>
          <w:rFonts w:eastAsia="Times New Roman"/>
          <w:szCs w:val="24"/>
        </w:rPr>
      </w:pPr>
      <w:r>
        <w:rPr>
          <w:rFonts w:eastAsia="Times New Roman"/>
          <w:szCs w:val="24"/>
        </w:rPr>
        <w:t>No data was included to support this item.</w:t>
      </w:r>
    </w:p>
    <w:p w14:paraId="1302D16B" w14:textId="2691382C" w:rsidR="00CC0A1B" w:rsidRPr="00637F9B" w:rsidRDefault="00CC0A1B" w:rsidP="00C918BF">
      <w:pPr>
        <w:rPr>
          <w:rFonts w:eastAsia="Times New Roman"/>
          <w:szCs w:val="24"/>
        </w:rPr>
      </w:pPr>
      <w:r>
        <w:rPr>
          <w:rFonts w:eastAsia="Times New Roman"/>
          <w:szCs w:val="24"/>
        </w:rPr>
        <w:t xml:space="preserve">The CWMA L&amp;R Committee Recommends a withdrawn status for this item. </w:t>
      </w:r>
    </w:p>
    <w:p w14:paraId="056AD8EF" w14:textId="77777777" w:rsidR="00DA0537" w:rsidRDefault="000714DD" w:rsidP="000714DD">
      <w:pPr>
        <w:jc w:val="left"/>
        <w:rPr>
          <w:u w:val="single"/>
        </w:rPr>
      </w:pPr>
      <w:r w:rsidRPr="006C7BFB">
        <w:rPr>
          <w:u w:val="single"/>
        </w:rPr>
        <w:t>NEWMA 202</w:t>
      </w:r>
      <w:r>
        <w:rPr>
          <w:u w:val="single"/>
        </w:rPr>
        <w:t>5</w:t>
      </w:r>
      <w:r w:rsidRPr="006C7BFB">
        <w:rPr>
          <w:u w:val="single"/>
        </w:rPr>
        <w:t xml:space="preserve"> Interim Meeting:</w:t>
      </w:r>
    </w:p>
    <w:p w14:paraId="761C9D1B" w14:textId="2CC1AA0F" w:rsidR="00DA0537" w:rsidRDefault="00DA0537" w:rsidP="00C918BF">
      <w:pPr>
        <w:rPr>
          <w:rFonts w:eastAsia="Times New Roman"/>
          <w:szCs w:val="24"/>
        </w:rPr>
      </w:pPr>
      <w:r>
        <w:rPr>
          <w:rFonts w:eastAsia="Times New Roman"/>
          <w:szCs w:val="24"/>
        </w:rPr>
        <w:t xml:space="preserve">A representative from Gibbons, P.C., on behalf of the New Jersey Food Council (NJFC), gave a presentation regarding the letter they submitted as a supporting document that appears on the NEWMA website.  They commented that sales practices for produce have changed over the years and most produce products are shipped in from other </w:t>
      </w:r>
      <w:proofErr w:type="gramStart"/>
      <w:r>
        <w:rPr>
          <w:rFonts w:eastAsia="Times New Roman"/>
          <w:szCs w:val="24"/>
        </w:rPr>
        <w:t>state</w:t>
      </w:r>
      <w:proofErr w:type="gramEnd"/>
      <w:r>
        <w:rPr>
          <w:rFonts w:eastAsia="Times New Roman"/>
          <w:szCs w:val="24"/>
        </w:rPr>
        <w:t xml:space="preserve"> or countries.  He also commented that produce has high moisture content and gave the following examples: romaine lettuce 95%, blueberries and strawberries 90%, and blueberries have up to 14% moisture loss.  The request for 6% is because of the nature of the products being so complex and full of water, they felt that doubling the 3% consideration for other listed products was appropriate.  A regulator from New York commented that in the justification of the item, “fresh produce” is mentioned, however, in the table “fresh” does not appear, meaning this would apply to all produce; canned, dried, cooked, etc.  The regulator also commented that moisture loss is not a </w:t>
      </w:r>
      <w:proofErr w:type="gramStart"/>
      <w:r>
        <w:rPr>
          <w:rFonts w:eastAsia="Times New Roman"/>
          <w:szCs w:val="24"/>
        </w:rPr>
        <w:t>require allowance</w:t>
      </w:r>
      <w:proofErr w:type="gramEnd"/>
      <w:r>
        <w:rPr>
          <w:rFonts w:eastAsia="Times New Roman"/>
          <w:szCs w:val="24"/>
        </w:rPr>
        <w:t xml:space="preserve">, but a consideration.  He also indicated that if this item moves forward, it could be </w:t>
      </w:r>
      <w:proofErr w:type="gramStart"/>
      <w:r>
        <w:rPr>
          <w:rFonts w:eastAsia="Times New Roman"/>
          <w:szCs w:val="24"/>
        </w:rPr>
        <w:t>group</w:t>
      </w:r>
      <w:proofErr w:type="gramEnd"/>
      <w:r>
        <w:rPr>
          <w:rFonts w:eastAsia="Times New Roman"/>
          <w:szCs w:val="24"/>
        </w:rPr>
        <w:t xml:space="preserve"> within Block 4.  A regulator from Westchester County, NY commented that he has concerns that this item, as written, would also apply to cut produce that is prepared instore or elsewhere.  The representative on behalf of the NJFC indicated that this item was intended for fresh whole produce only.  A regulator from Connecticut commented that misters could be used to solve the moisture issue at retail, and the representative on behalf of the NJFC indicated that misters present slip and fall liability so they have largely been discontinued.  A regulator from New Jersey commented that the taxonomic definitions of vegetables </w:t>
      </w:r>
      <w:r>
        <w:rPr>
          <w:rFonts w:eastAsia="Times New Roman"/>
          <w:szCs w:val="24"/>
        </w:rPr>
        <w:lastRenderedPageBreak/>
        <w:t xml:space="preserve">and fruits left out fungi, such as mushrooms, which is a form of produce.  He also commented that the submitter has not provided any data regarding moisture loss for any specific product and a blanket 6% is not appropriate.  He also commented that while the Supreme Court ruled that we must consider variation in product weight, those considerations are already in place with Maximum Allowable Variations.  To consider additional variations, data would need to be provided on a case-by-case basis.  New Jersey recommended this item be withdrawn.  A regulator from Vermont commented that he has performed a lot of </w:t>
      </w:r>
      <w:proofErr w:type="gramStart"/>
      <w:r>
        <w:rPr>
          <w:rFonts w:eastAsia="Times New Roman"/>
          <w:szCs w:val="24"/>
        </w:rPr>
        <w:t>package</w:t>
      </w:r>
      <w:proofErr w:type="gramEnd"/>
      <w:r>
        <w:rPr>
          <w:rFonts w:eastAsia="Times New Roman"/>
          <w:szCs w:val="24"/>
        </w:rPr>
        <w:t xml:space="preserve"> weighing over the years and 6% without a study is arbitrary and recommends a withdrawn status.  The representative on behalf of the NJFC pointed to the studies that were referenced in the supporting document letter.  A regulator from Westchester County, NY commented that if a comparison was to be made from produce to a commodity in the Table, it would be cannabis.  The representative on behalf of the NJFC indicated that cannabis is still a federally illegal substance and should not be compared to produce.  A regulator from New York echoed the comments made by New Jersey and Vermont and recommended a withdrawn status.</w:t>
      </w:r>
    </w:p>
    <w:p w14:paraId="4C8C9420" w14:textId="25CA8F4C" w:rsidR="00C918BF" w:rsidRDefault="00DA0537" w:rsidP="00C918BF">
      <w:pPr>
        <w:spacing w:before="240"/>
        <w:jc w:val="left"/>
        <w:rPr>
          <w:u w:val="single"/>
        </w:rPr>
      </w:pPr>
      <w:r>
        <w:rPr>
          <w:rFonts w:eastAsia="Times New Roman"/>
          <w:szCs w:val="24"/>
        </w:rPr>
        <w:t>After hearing comments from the floor and reviewing the supporting documents, the committee recommended a Withdrawn status, and the body concurred.</w:t>
      </w:r>
    </w:p>
    <w:p w14:paraId="7743A15F" w14:textId="083EFCB5" w:rsidR="00736499" w:rsidRDefault="000714DD" w:rsidP="00C918BF">
      <w:pPr>
        <w:spacing w:before="240"/>
        <w:jc w:val="left"/>
        <w:rPr>
          <w:u w:val="single"/>
        </w:rPr>
      </w:pPr>
      <w:r>
        <w:rPr>
          <w:u w:val="single"/>
        </w:rPr>
        <w:t>S</w:t>
      </w:r>
      <w:r w:rsidRPr="00EF1ACC">
        <w:rPr>
          <w:u w:val="single"/>
        </w:rPr>
        <w:t>WMA 202</w:t>
      </w:r>
      <w:r>
        <w:rPr>
          <w:u w:val="single"/>
        </w:rPr>
        <w:t>5</w:t>
      </w:r>
      <w:r w:rsidRPr="00EF1ACC">
        <w:rPr>
          <w:u w:val="single"/>
        </w:rPr>
        <w:t xml:space="preserve"> </w:t>
      </w:r>
      <w:r w:rsidR="004149B1">
        <w:rPr>
          <w:u w:val="single"/>
        </w:rPr>
        <w:t>Annual</w:t>
      </w:r>
      <w:r w:rsidRPr="00EF1ACC">
        <w:rPr>
          <w:u w:val="single"/>
        </w:rPr>
        <w:t xml:space="preserve"> Meeting</w:t>
      </w:r>
      <w:r>
        <w:rPr>
          <w:u w:val="single"/>
        </w:rPr>
        <w:t>:</w:t>
      </w:r>
    </w:p>
    <w:p w14:paraId="7FCB9156" w14:textId="085E8DD9" w:rsidR="0097450B" w:rsidRDefault="0097450B" w:rsidP="00C918BF">
      <w:pPr>
        <w:rPr>
          <w:rFonts w:eastAsia="Times New Roman"/>
          <w:szCs w:val="24"/>
        </w:rPr>
      </w:pPr>
      <w:r>
        <w:rPr>
          <w:rFonts w:eastAsia="Times New Roman"/>
          <w:szCs w:val="24"/>
        </w:rPr>
        <w:t xml:space="preserve">Mr. Tory Brewer with the State of West Virgina questions where the proposer gets the 6% value from. There is no supporting data for this value and recommends a Withdraw status. </w:t>
      </w:r>
    </w:p>
    <w:p w14:paraId="1B94D1AD" w14:textId="0050B475" w:rsidR="0097450B" w:rsidRDefault="0097450B" w:rsidP="0097450B">
      <w:pPr>
        <w:spacing w:after="0"/>
        <w:rPr>
          <w:rFonts w:eastAsia="Times New Roman"/>
          <w:szCs w:val="24"/>
        </w:rPr>
      </w:pPr>
      <w:r>
        <w:rPr>
          <w:rFonts w:eastAsia="Times New Roman"/>
          <w:szCs w:val="24"/>
        </w:rPr>
        <w:t xml:space="preserve">The Committee heard comments from Dr. </w:t>
      </w:r>
      <w:r w:rsidRPr="006E4EF6">
        <w:rPr>
          <w:rFonts w:eastAsia="Times New Roman"/>
          <w:szCs w:val="24"/>
        </w:rPr>
        <w:t xml:space="preserve">Matthew Curran, Florida – </w:t>
      </w:r>
      <w:r>
        <w:rPr>
          <w:rFonts w:eastAsia="Times New Roman"/>
          <w:szCs w:val="24"/>
        </w:rPr>
        <w:t>He</w:t>
      </w:r>
      <w:r w:rsidRPr="006E4EF6">
        <w:rPr>
          <w:rFonts w:eastAsia="Times New Roman"/>
          <w:szCs w:val="24"/>
        </w:rPr>
        <w:t xml:space="preserve"> recommend not forwarding this to the NCWM as we do not believe it has merit. Fruits and vegetables have a wide range of moisture contents, some moist and some dry, so a blanket 6% allowance sets the table for inequitable sales and fraud in the worst. Further, no scientific data has been presented to justify any specific moisture allowance.</w:t>
      </w:r>
    </w:p>
    <w:p w14:paraId="2D3C6A54" w14:textId="7F122B5A" w:rsidR="0097450B" w:rsidRDefault="0097450B" w:rsidP="00C918BF">
      <w:pPr>
        <w:rPr>
          <w:rFonts w:eastAsia="Times New Roman"/>
          <w:szCs w:val="24"/>
        </w:rPr>
      </w:pPr>
      <w:r>
        <w:rPr>
          <w:rFonts w:eastAsia="Times New Roman"/>
          <w:szCs w:val="24"/>
        </w:rPr>
        <w:t xml:space="preserve">Several other state representatives echoed the state of West Virgina and Florida and recommended a Withdraw status. </w:t>
      </w:r>
    </w:p>
    <w:p w14:paraId="1DCF10AE" w14:textId="55F40FC2" w:rsidR="00736499" w:rsidRPr="00DA0537" w:rsidRDefault="0097450B" w:rsidP="00C918BF">
      <w:pPr>
        <w:rPr>
          <w:rFonts w:eastAsia="Times New Roman"/>
          <w:szCs w:val="24"/>
        </w:rPr>
      </w:pPr>
      <w:r>
        <w:rPr>
          <w:rFonts w:eastAsia="Times New Roman"/>
          <w:szCs w:val="24"/>
        </w:rPr>
        <w:t>Based on the comments received from the floor the Committee recommends a Withdraw status.</w:t>
      </w:r>
    </w:p>
    <w:p w14:paraId="1FB8E0D7" w14:textId="3F679545" w:rsidR="006540E5" w:rsidRDefault="006540E5" w:rsidP="006540E5">
      <w:r>
        <w:t xml:space="preserve">Additional letters, </w:t>
      </w:r>
      <w:proofErr w:type="gramStart"/>
      <w:r>
        <w:t>presentation</w:t>
      </w:r>
      <w:proofErr w:type="gramEnd"/>
      <w:r>
        <w:t xml:space="preserve"> and data may have been submitted for consideration with this item.  Please refer to </w:t>
      </w:r>
      <w:hyperlink r:id="rId41" w:history="1">
        <w:r w:rsidRPr="002A1164">
          <w:rPr>
            <w:rStyle w:val="Hyperlink"/>
          </w:rPr>
          <w:t>https://www.ncwm.com/publication-15</w:t>
        </w:r>
      </w:hyperlink>
      <w:r>
        <w:t xml:space="preserve"> to </w:t>
      </w:r>
      <w:proofErr w:type="gramStart"/>
      <w:r>
        <w:t>review these documents.</w:t>
      </w:r>
      <w:proofErr w:type="gramEnd"/>
    </w:p>
    <w:p w14:paraId="10305244" w14:textId="4B150D90" w:rsidR="00AE42A9" w:rsidRPr="008401BB" w:rsidRDefault="008401BB" w:rsidP="004C7E52">
      <w:pPr>
        <w:pStyle w:val="Heading1"/>
      </w:pPr>
      <w:bookmarkStart w:id="299" w:name="_Toc224019630"/>
      <w:bookmarkEnd w:id="12"/>
      <w:bookmarkEnd w:id="13"/>
      <w:bookmarkEnd w:id="14"/>
      <w:bookmarkEnd w:id="15"/>
      <w:bookmarkEnd w:id="16"/>
      <w:bookmarkEnd w:id="17"/>
      <w:bookmarkEnd w:id="18"/>
      <w:bookmarkEnd w:id="19"/>
      <w:bookmarkEnd w:id="287"/>
      <w:r w:rsidRPr="00C0174F">
        <w:t>ITEM Block 4 (B4</w:t>
      </w:r>
      <w:proofErr w:type="gramStart"/>
      <w:r w:rsidRPr="00C0174F">
        <w:t>)</w:t>
      </w:r>
      <w:r w:rsidR="00AE42A9" w:rsidRPr="00C0174F">
        <w:t xml:space="preserve"> </w:t>
      </w:r>
      <w:r w:rsidR="00AE42A9" w:rsidRPr="00C0174F">
        <w:tab/>
      </w:r>
      <w:r w:rsidRPr="00C0174F">
        <w:t>MOISTURE</w:t>
      </w:r>
      <w:proofErr w:type="gramEnd"/>
      <w:r w:rsidRPr="00C0174F">
        <w:t xml:space="preserve"> ALLOWANCE </w:t>
      </w:r>
      <w:r w:rsidRPr="00C0174F">
        <w:rPr>
          <w:u w:val="single"/>
        </w:rPr>
        <w:t>CONSIDERATION</w:t>
      </w:r>
      <w:bookmarkEnd w:id="299"/>
      <w:r w:rsidR="00AE42A9" w:rsidRPr="008401BB">
        <w:t xml:space="preserve"> </w:t>
      </w:r>
    </w:p>
    <w:p w14:paraId="1A5A3B02" w14:textId="77777777" w:rsidR="00F4289C" w:rsidRPr="00E025F9" w:rsidRDefault="00F4289C" w:rsidP="004C7E52">
      <w:pPr>
        <w:keepNext/>
        <w:keepLines/>
        <w:spacing w:after="0"/>
        <w:rPr>
          <w:b/>
        </w:rPr>
      </w:pPr>
      <w:r w:rsidRPr="00E025F9">
        <w:rPr>
          <w:b/>
        </w:rPr>
        <w:t>Source:</w:t>
      </w:r>
    </w:p>
    <w:p w14:paraId="1296847C" w14:textId="77777777" w:rsidR="00F4289C" w:rsidRDefault="00F4289C" w:rsidP="004C7E52">
      <w:pPr>
        <w:keepNext/>
        <w:keepLines/>
      </w:pPr>
      <w:r>
        <w:t>Michigan Department of Agriculture &amp; Rural Development</w:t>
      </w:r>
    </w:p>
    <w:p w14:paraId="33654AD6" w14:textId="77777777" w:rsidR="00F4289C" w:rsidRPr="00E025F9" w:rsidRDefault="00F4289C" w:rsidP="004C7E52">
      <w:pPr>
        <w:keepNext/>
        <w:keepLines/>
        <w:spacing w:after="0"/>
        <w:rPr>
          <w:b/>
        </w:rPr>
      </w:pPr>
      <w:r w:rsidRPr="00E025F9">
        <w:rPr>
          <w:b/>
        </w:rPr>
        <w:t>Purpose:</w:t>
      </w:r>
    </w:p>
    <w:p w14:paraId="4FF4B9A6" w14:textId="77777777" w:rsidR="00F4289C" w:rsidRPr="00497532" w:rsidRDefault="00F4289C" w:rsidP="004C7E52">
      <w:pPr>
        <w:keepNext/>
        <w:keepLines/>
      </w:pPr>
      <w:r w:rsidRPr="00497532">
        <w:rPr>
          <w:spacing w:val="-2"/>
          <w:w w:val="110"/>
        </w:rPr>
        <w:t>Change</w:t>
      </w:r>
      <w:r w:rsidRPr="00497532">
        <w:rPr>
          <w:spacing w:val="-7"/>
          <w:w w:val="110"/>
        </w:rPr>
        <w:t xml:space="preserve"> </w:t>
      </w:r>
      <w:r w:rsidRPr="00497532">
        <w:rPr>
          <w:spacing w:val="-2"/>
          <w:w w:val="110"/>
        </w:rPr>
        <w:t>the</w:t>
      </w:r>
      <w:r w:rsidRPr="00497532">
        <w:rPr>
          <w:spacing w:val="-7"/>
          <w:w w:val="110"/>
        </w:rPr>
        <w:t xml:space="preserve"> </w:t>
      </w:r>
      <w:r w:rsidRPr="00497532">
        <w:rPr>
          <w:spacing w:val="-2"/>
          <w:w w:val="110"/>
        </w:rPr>
        <w:t>language</w:t>
      </w:r>
      <w:r w:rsidRPr="00497532">
        <w:rPr>
          <w:spacing w:val="-7"/>
          <w:w w:val="110"/>
        </w:rPr>
        <w:t xml:space="preserve"> </w:t>
      </w:r>
      <w:r w:rsidRPr="00497532">
        <w:rPr>
          <w:spacing w:val="-2"/>
          <w:w w:val="110"/>
        </w:rPr>
        <w:t>for</w:t>
      </w:r>
      <w:r w:rsidRPr="00497532">
        <w:rPr>
          <w:spacing w:val="-7"/>
          <w:w w:val="110"/>
        </w:rPr>
        <w:t xml:space="preserve"> </w:t>
      </w:r>
      <w:r w:rsidRPr="00497532">
        <w:rPr>
          <w:spacing w:val="-2"/>
          <w:w w:val="110"/>
        </w:rPr>
        <w:t>the</w:t>
      </w:r>
      <w:r w:rsidRPr="00497532">
        <w:rPr>
          <w:spacing w:val="-7"/>
          <w:w w:val="110"/>
        </w:rPr>
        <w:t xml:space="preserve"> </w:t>
      </w:r>
      <w:r w:rsidRPr="00497532">
        <w:rPr>
          <w:spacing w:val="-2"/>
          <w:w w:val="110"/>
        </w:rPr>
        <w:t>moisture</w:t>
      </w:r>
      <w:r w:rsidRPr="00497532">
        <w:rPr>
          <w:spacing w:val="-7"/>
          <w:w w:val="110"/>
        </w:rPr>
        <w:t xml:space="preserve"> </w:t>
      </w:r>
      <w:r w:rsidRPr="00497532">
        <w:rPr>
          <w:spacing w:val="-2"/>
          <w:w w:val="110"/>
        </w:rPr>
        <w:t>gray</w:t>
      </w:r>
      <w:r w:rsidRPr="00497532">
        <w:rPr>
          <w:spacing w:val="-7"/>
          <w:w w:val="110"/>
        </w:rPr>
        <w:t xml:space="preserve"> </w:t>
      </w:r>
      <w:r w:rsidRPr="00497532">
        <w:rPr>
          <w:spacing w:val="-2"/>
          <w:w w:val="110"/>
        </w:rPr>
        <w:t>area</w:t>
      </w:r>
      <w:r w:rsidRPr="00497532">
        <w:rPr>
          <w:spacing w:val="-7"/>
          <w:w w:val="110"/>
        </w:rPr>
        <w:t xml:space="preserve"> </w:t>
      </w:r>
      <w:r w:rsidRPr="00497532">
        <w:rPr>
          <w:spacing w:val="-2"/>
          <w:w w:val="110"/>
        </w:rPr>
        <w:t>from</w:t>
      </w:r>
      <w:r w:rsidRPr="00497532">
        <w:rPr>
          <w:spacing w:val="-7"/>
          <w:w w:val="110"/>
        </w:rPr>
        <w:t xml:space="preserve"> </w:t>
      </w:r>
      <w:r w:rsidRPr="00497532">
        <w:rPr>
          <w:spacing w:val="-2"/>
          <w:w w:val="110"/>
        </w:rPr>
        <w:t>"moisture</w:t>
      </w:r>
      <w:r w:rsidRPr="00497532">
        <w:rPr>
          <w:spacing w:val="-7"/>
          <w:w w:val="110"/>
        </w:rPr>
        <w:t xml:space="preserve"> </w:t>
      </w:r>
      <w:r w:rsidRPr="00497532">
        <w:rPr>
          <w:spacing w:val="-2"/>
          <w:w w:val="110"/>
        </w:rPr>
        <w:t>allowance"</w:t>
      </w:r>
      <w:r w:rsidRPr="00497532">
        <w:rPr>
          <w:spacing w:val="-7"/>
          <w:w w:val="110"/>
        </w:rPr>
        <w:t xml:space="preserve"> </w:t>
      </w:r>
      <w:r w:rsidRPr="00497532">
        <w:rPr>
          <w:spacing w:val="-2"/>
          <w:w w:val="110"/>
        </w:rPr>
        <w:t>to</w:t>
      </w:r>
      <w:r w:rsidRPr="00497532">
        <w:rPr>
          <w:spacing w:val="-7"/>
          <w:w w:val="110"/>
        </w:rPr>
        <w:t xml:space="preserve"> </w:t>
      </w:r>
      <w:r w:rsidRPr="00497532">
        <w:rPr>
          <w:spacing w:val="-2"/>
          <w:w w:val="110"/>
        </w:rPr>
        <w:t>"moisture</w:t>
      </w:r>
      <w:r w:rsidRPr="00497532">
        <w:rPr>
          <w:spacing w:val="-7"/>
          <w:w w:val="110"/>
        </w:rPr>
        <w:t xml:space="preserve"> </w:t>
      </w:r>
      <w:r w:rsidRPr="00497532">
        <w:rPr>
          <w:spacing w:val="-2"/>
          <w:w w:val="110"/>
        </w:rPr>
        <w:t>consideration."</w:t>
      </w:r>
    </w:p>
    <w:p w14:paraId="5C96CBE1" w14:textId="77777777" w:rsidR="00F4289C" w:rsidRDefault="00F4289C" w:rsidP="004C7E52">
      <w:pPr>
        <w:keepNext/>
        <w:keepLines/>
        <w:spacing w:after="0"/>
      </w:pPr>
      <w:r w:rsidRPr="00E025F9">
        <w:rPr>
          <w:b/>
        </w:rPr>
        <w:t xml:space="preserve">Previous </w:t>
      </w:r>
      <w:r>
        <w:rPr>
          <w:b/>
        </w:rPr>
        <w:t>Status</w:t>
      </w:r>
      <w:r w:rsidRPr="00E025F9">
        <w:rPr>
          <w:b/>
        </w:rPr>
        <w:t>:</w:t>
      </w:r>
    </w:p>
    <w:p w14:paraId="2CA9F245" w14:textId="177E7346" w:rsidR="00F962D0" w:rsidRDefault="00F4289C" w:rsidP="004D22C3">
      <w:pPr>
        <w:keepNext/>
        <w:keepLines/>
        <w:ind w:firstLine="720"/>
      </w:pPr>
      <w:r>
        <w:t xml:space="preserve">2025: New Proposal </w:t>
      </w:r>
      <w:r w:rsidR="00F962D0">
        <w:t xml:space="preserve">Assigned to </w:t>
      </w:r>
      <w:r w:rsidR="004D22C3">
        <w:t>Work Group after 2025 Annual Meeting</w:t>
      </w:r>
    </w:p>
    <w:p w14:paraId="62D4AD09" w14:textId="77777777" w:rsidR="00F4289C" w:rsidRPr="00AB010B" w:rsidRDefault="00F4289C" w:rsidP="00F4289C">
      <w:pPr>
        <w:keepNext/>
        <w:spacing w:after="0"/>
        <w:rPr>
          <w:b/>
        </w:rPr>
      </w:pPr>
      <w:r w:rsidRPr="00AB010B">
        <w:rPr>
          <w:b/>
        </w:rPr>
        <w:t>Original Justification:</w:t>
      </w:r>
    </w:p>
    <w:p w14:paraId="13FF1BFF" w14:textId="77777777" w:rsidR="00F4289C" w:rsidRPr="00497532" w:rsidRDefault="00F4289C" w:rsidP="00497532">
      <w:r w:rsidRPr="00497532">
        <w:t>This is a companion item to those changes requested for HB133.</w:t>
      </w:r>
    </w:p>
    <w:p w14:paraId="3CE1C46D" w14:textId="77777777" w:rsidR="00F4289C" w:rsidRPr="00497532" w:rsidRDefault="00F4289C" w:rsidP="00497532">
      <w:r w:rsidRPr="00497532">
        <w:t xml:space="preserve">In speaking with both weights and measures officials and industry, quite often both interpret the language "moisture allowance" to mean "tolerance" which should automatically be given to inspection results when a lot is found short. Changing the wording to "moisture consideration" should be </w:t>
      </w:r>
      <w:proofErr w:type="gramStart"/>
      <w:r w:rsidRPr="00497532">
        <w:t>more clear</w:t>
      </w:r>
      <w:proofErr w:type="gramEnd"/>
      <w:r w:rsidRPr="00497532">
        <w:t xml:space="preserve"> that "Further information is required to determine lot compliance or noncompliance", as stated in the glossary.</w:t>
      </w:r>
    </w:p>
    <w:p w14:paraId="5D31DB57" w14:textId="087A521B" w:rsidR="00F4289C" w:rsidRPr="00497532" w:rsidRDefault="00F4289C" w:rsidP="00497532">
      <w:r w:rsidRPr="00497532">
        <w:t>Some industries m</w:t>
      </w:r>
      <w:r w:rsidR="00FD0D2C" w:rsidRPr="00497532">
        <w:t>a</w:t>
      </w:r>
      <w:r w:rsidRPr="00497532">
        <w:t>y believe "moisture allowance" should be used as a tolerance and have always used it as same. There may also be enforcement jurisdictions that want to continue to use it as a tolerance rather than conducting additional investigations into the root cause of shortages found in those packages that allow moisture consideration.</w:t>
      </w:r>
    </w:p>
    <w:p w14:paraId="5CB875BD" w14:textId="77777777" w:rsidR="00F4289C" w:rsidRDefault="00F4289C" w:rsidP="00F4289C">
      <w:pPr>
        <w:keepNext/>
        <w:spacing w:after="0"/>
      </w:pPr>
      <w:r w:rsidRPr="00E025F9">
        <w:rPr>
          <w:b/>
        </w:rPr>
        <w:lastRenderedPageBreak/>
        <w:t xml:space="preserve">Previous </w:t>
      </w:r>
      <w:r>
        <w:rPr>
          <w:b/>
        </w:rPr>
        <w:t>Status</w:t>
      </w:r>
      <w:r w:rsidRPr="00E025F9">
        <w:rPr>
          <w:b/>
        </w:rPr>
        <w:t>:</w:t>
      </w:r>
    </w:p>
    <w:p w14:paraId="2B89CB66" w14:textId="77777777" w:rsidR="00F4289C" w:rsidRDefault="00F4289C" w:rsidP="0022672C">
      <w:r>
        <w:t xml:space="preserve">2025: New Proposal </w:t>
      </w:r>
    </w:p>
    <w:p w14:paraId="0FE9293B" w14:textId="03B59C36" w:rsidR="00F4289C" w:rsidRPr="003C355F" w:rsidRDefault="00126165" w:rsidP="00F4289C">
      <w:pPr>
        <w:pStyle w:val="ItemHeading"/>
      </w:pPr>
      <w:bookmarkStart w:id="300" w:name="_Toc224019631"/>
      <w:r>
        <w:t xml:space="preserve">B4: </w:t>
      </w:r>
      <w:r w:rsidR="00F4289C">
        <w:t>POL-25.1</w:t>
      </w:r>
      <w:r w:rsidR="00F4289C" w:rsidRPr="003C355F">
        <w:tab/>
      </w:r>
      <w:r w:rsidR="00194CFF">
        <w:t>A</w:t>
      </w:r>
      <w:r w:rsidR="00F4289C" w:rsidRPr="003C355F">
        <w:tab/>
      </w:r>
      <w:r w:rsidR="00F4289C">
        <w:t>2.6.12. Point-of-Pack Inspection Guidelines.</w:t>
      </w:r>
      <w:bookmarkEnd w:id="300"/>
    </w:p>
    <w:p w14:paraId="7EDF67E3" w14:textId="77777777" w:rsidR="00F4289C" w:rsidRPr="00E025F9" w:rsidRDefault="00F4289C" w:rsidP="00F4289C">
      <w:pPr>
        <w:spacing w:after="0"/>
        <w:rPr>
          <w:b/>
        </w:rPr>
      </w:pPr>
      <w:r w:rsidRPr="00E025F9">
        <w:rPr>
          <w:b/>
        </w:rPr>
        <w:t>Item under Consideration:</w:t>
      </w:r>
    </w:p>
    <w:p w14:paraId="5BA17D27" w14:textId="77777777" w:rsidR="00F4289C" w:rsidRDefault="00F4289C" w:rsidP="00F4289C">
      <w:r>
        <w:t>Amend Handbook 130 NCWM Policy, Interpretations, and Guidelines as follows:</w:t>
      </w:r>
    </w:p>
    <w:p w14:paraId="5D4B2D96" w14:textId="77777777" w:rsidR="00F4289C" w:rsidRPr="00E74729" w:rsidRDefault="00F4289C" w:rsidP="00F4289C">
      <w:pPr>
        <w:tabs>
          <w:tab w:val="left" w:pos="6887"/>
        </w:tabs>
        <w:ind w:left="270"/>
        <w:rPr>
          <w:b/>
          <w:bCs/>
          <w:color w:val="000000"/>
          <w:szCs w:val="20"/>
        </w:rPr>
      </w:pPr>
      <w:r w:rsidRPr="00E74729">
        <w:rPr>
          <w:b/>
          <w:bCs/>
          <w:color w:val="000000"/>
          <w:szCs w:val="20"/>
        </w:rPr>
        <w:t xml:space="preserve">2.6.12. Point-of-Pack Inspection Guidelines. </w:t>
      </w:r>
    </w:p>
    <w:p w14:paraId="2820CD54" w14:textId="77777777" w:rsidR="00F4289C" w:rsidRPr="00E74729" w:rsidRDefault="00F4289C" w:rsidP="00F4289C">
      <w:pPr>
        <w:ind w:left="720"/>
        <w:rPr>
          <w:b/>
          <w:bCs/>
          <w:color w:val="000000"/>
          <w:szCs w:val="20"/>
        </w:rPr>
      </w:pPr>
      <w:r w:rsidRPr="00E74729">
        <w:rPr>
          <w:b/>
          <w:bCs/>
          <w:color w:val="000000"/>
          <w:szCs w:val="20"/>
        </w:rPr>
        <w:t xml:space="preserve">A. Weights and Measures Officials’ Responsibilities. </w:t>
      </w:r>
    </w:p>
    <w:p w14:paraId="38A4473E" w14:textId="132B8BB3" w:rsidR="00F4289C" w:rsidRPr="00E74729" w:rsidRDefault="00F4289C" w:rsidP="009D2986">
      <w:pPr>
        <w:tabs>
          <w:tab w:val="left" w:pos="990"/>
        </w:tabs>
        <w:spacing w:after="0"/>
        <w:rPr>
          <w:color w:val="000000"/>
          <w:szCs w:val="20"/>
        </w:rPr>
      </w:pPr>
      <w:r>
        <w:rPr>
          <w:b/>
          <w:bCs/>
          <w:color w:val="000000"/>
          <w:szCs w:val="20"/>
        </w:rPr>
        <w:t>.</w:t>
      </w:r>
      <w:r w:rsidR="009D2986">
        <w:rPr>
          <w:b/>
          <w:bCs/>
          <w:color w:val="000000"/>
          <w:szCs w:val="20"/>
        </w:rPr>
        <w:t>.</w:t>
      </w:r>
      <w:r>
        <w:rPr>
          <w:b/>
          <w:bCs/>
          <w:color w:val="000000"/>
          <w:szCs w:val="20"/>
        </w:rPr>
        <w:t>.</w:t>
      </w:r>
      <w:r>
        <w:rPr>
          <w:color w:val="000000"/>
          <w:szCs w:val="20"/>
        </w:rPr>
        <w:tab/>
      </w:r>
    </w:p>
    <w:p w14:paraId="5504FF73" w14:textId="114DE254" w:rsidR="00F4289C" w:rsidRDefault="00F4289C" w:rsidP="001475E9">
      <w:r>
        <w:tab/>
      </w:r>
      <w:r w:rsidRPr="00E74729">
        <w:t>vi. Apply moisture</w:t>
      </w:r>
      <w:r w:rsidRPr="00FD0D2C">
        <w:t xml:space="preserve"> allowance</w:t>
      </w:r>
      <w:r w:rsidRPr="004A7E28">
        <w:rPr>
          <w:strike/>
        </w:rPr>
        <w:t>s</w:t>
      </w:r>
      <w:r w:rsidRPr="00E74729">
        <w:t xml:space="preserve"> </w:t>
      </w:r>
      <w:r w:rsidRPr="00E74729">
        <w:rPr>
          <w:b/>
          <w:bCs/>
          <w:u w:val="single"/>
        </w:rPr>
        <w:t>considerations</w:t>
      </w:r>
      <w:r w:rsidRPr="00E74729">
        <w:t>, if applicable.</w:t>
      </w:r>
    </w:p>
    <w:p w14:paraId="7D4304B0" w14:textId="72E2A5E0" w:rsidR="00D0707F" w:rsidRPr="005E73F6" w:rsidRDefault="00D0707F" w:rsidP="005E73F6">
      <w:pPr>
        <w:rPr>
          <w:b/>
        </w:rPr>
      </w:pPr>
      <w:r w:rsidRPr="00E025F9">
        <w:rPr>
          <w:b/>
        </w:rPr>
        <w:t>Regional Associations’ Comments:</w:t>
      </w:r>
    </w:p>
    <w:p w14:paraId="6DC4A73A" w14:textId="6BFEDC2C" w:rsidR="00B55C17" w:rsidRDefault="00D0707F" w:rsidP="005E73F6">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2E8650C0" w14:textId="735566E3" w:rsidR="001A754C" w:rsidRDefault="001A754C" w:rsidP="005E73F6">
      <w:pPr>
        <w:rPr>
          <w:rFonts w:eastAsia="Times New Roman"/>
          <w:szCs w:val="24"/>
        </w:rPr>
      </w:pPr>
      <w:r>
        <w:rPr>
          <w:rFonts w:eastAsia="Times New Roman"/>
          <w:szCs w:val="24"/>
        </w:rPr>
        <w:t>The WWMA L&amp;R Committee heard comments on this item as part of Block 4 rather than as an individual item, so these comments apply to the whole block.</w:t>
      </w:r>
    </w:p>
    <w:p w14:paraId="038CD1A2" w14:textId="79B3B940" w:rsidR="001A754C" w:rsidRDefault="001A754C" w:rsidP="001A754C">
      <w:pPr>
        <w:spacing w:after="0"/>
        <w:rPr>
          <w:rFonts w:eastAsia="Times New Roman"/>
          <w:szCs w:val="24"/>
        </w:rPr>
      </w:pPr>
      <w:r>
        <w:rPr>
          <w:rFonts w:eastAsia="Times New Roman"/>
          <w:szCs w:val="24"/>
        </w:rPr>
        <w:t>Mr. Kurt Floren (County of Los Angeles, California) stated that he w</w:t>
      </w:r>
      <w:r w:rsidRPr="004762F4">
        <w:rPr>
          <w:rFonts w:eastAsia="Times New Roman"/>
          <w:szCs w:val="24"/>
        </w:rPr>
        <w:t xml:space="preserve">as </w:t>
      </w:r>
      <w:r>
        <w:rPr>
          <w:rFonts w:eastAsia="Times New Roman"/>
          <w:szCs w:val="24"/>
        </w:rPr>
        <w:t>a</w:t>
      </w:r>
      <w:r w:rsidRPr="004762F4">
        <w:rPr>
          <w:rFonts w:eastAsia="Times New Roman"/>
          <w:szCs w:val="24"/>
        </w:rPr>
        <w:t xml:space="preserve"> </w:t>
      </w:r>
      <w:r>
        <w:rPr>
          <w:rFonts w:eastAsia="Times New Roman"/>
          <w:szCs w:val="24"/>
        </w:rPr>
        <w:t>member</w:t>
      </w:r>
      <w:r w:rsidRPr="004762F4">
        <w:rPr>
          <w:rFonts w:eastAsia="Times New Roman"/>
          <w:szCs w:val="24"/>
        </w:rPr>
        <w:t xml:space="preserve"> of the</w:t>
      </w:r>
      <w:r>
        <w:rPr>
          <w:rFonts w:eastAsia="Times New Roman"/>
          <w:szCs w:val="24"/>
        </w:rPr>
        <w:t xml:space="preserve"> Moisture Allowance</w:t>
      </w:r>
      <w:r w:rsidRPr="004762F4">
        <w:rPr>
          <w:rFonts w:eastAsia="Times New Roman"/>
          <w:szCs w:val="24"/>
        </w:rPr>
        <w:t xml:space="preserve"> </w:t>
      </w:r>
      <w:r>
        <w:rPr>
          <w:rFonts w:eastAsia="Times New Roman"/>
          <w:szCs w:val="24"/>
        </w:rPr>
        <w:t>Task</w:t>
      </w:r>
      <w:r w:rsidRPr="004762F4">
        <w:rPr>
          <w:rFonts w:eastAsia="Times New Roman"/>
          <w:szCs w:val="24"/>
        </w:rPr>
        <w:t xml:space="preserve"> </w:t>
      </w:r>
      <w:r>
        <w:rPr>
          <w:rFonts w:eastAsia="Times New Roman"/>
          <w:szCs w:val="24"/>
        </w:rPr>
        <w:t>G</w:t>
      </w:r>
      <w:r w:rsidRPr="004762F4">
        <w:rPr>
          <w:rFonts w:eastAsia="Times New Roman"/>
          <w:szCs w:val="24"/>
        </w:rPr>
        <w:t xml:space="preserve">roup. </w:t>
      </w:r>
      <w:r>
        <w:rPr>
          <w:rFonts w:eastAsia="Times New Roman"/>
          <w:szCs w:val="24"/>
        </w:rPr>
        <w:t>This proposal is being considered b</w:t>
      </w:r>
      <w:r w:rsidRPr="004762F4">
        <w:rPr>
          <w:rFonts w:eastAsia="Times New Roman"/>
          <w:szCs w:val="24"/>
        </w:rPr>
        <w:t xml:space="preserve">ecause federal laws </w:t>
      </w:r>
      <w:r>
        <w:rPr>
          <w:rFonts w:eastAsia="Times New Roman"/>
          <w:szCs w:val="24"/>
        </w:rPr>
        <w:t xml:space="preserve">require regulators to consider moisture loss when applying tolerances. </w:t>
      </w:r>
      <w:r w:rsidRPr="004762F4">
        <w:rPr>
          <w:rFonts w:eastAsia="Times New Roman"/>
          <w:szCs w:val="24"/>
        </w:rPr>
        <w:t xml:space="preserve">Variations </w:t>
      </w:r>
      <w:r>
        <w:rPr>
          <w:rFonts w:eastAsia="Times New Roman"/>
          <w:szCs w:val="24"/>
        </w:rPr>
        <w:t xml:space="preserve">in net weight </w:t>
      </w:r>
      <w:r w:rsidRPr="004762F4">
        <w:rPr>
          <w:rFonts w:eastAsia="Times New Roman"/>
          <w:szCs w:val="24"/>
        </w:rPr>
        <w:t>occur</w:t>
      </w:r>
      <w:r>
        <w:rPr>
          <w:rFonts w:eastAsia="Times New Roman"/>
          <w:szCs w:val="24"/>
        </w:rPr>
        <w:t xml:space="preserve"> due to fluctuations </w:t>
      </w:r>
      <w:r w:rsidRPr="004762F4">
        <w:rPr>
          <w:rFonts w:eastAsia="Times New Roman"/>
          <w:szCs w:val="24"/>
        </w:rPr>
        <w:t>in</w:t>
      </w:r>
      <w:r>
        <w:rPr>
          <w:rFonts w:eastAsia="Times New Roman"/>
          <w:szCs w:val="24"/>
        </w:rPr>
        <w:t xml:space="preserve"> moisture even with</w:t>
      </w:r>
      <w:r w:rsidRPr="004762F4">
        <w:rPr>
          <w:rFonts w:eastAsia="Times New Roman"/>
          <w:szCs w:val="24"/>
        </w:rPr>
        <w:t xml:space="preserve"> good distribution practice</w:t>
      </w:r>
      <w:r>
        <w:rPr>
          <w:rFonts w:eastAsia="Times New Roman"/>
          <w:szCs w:val="24"/>
        </w:rPr>
        <w:t>s</w:t>
      </w:r>
      <w:r w:rsidRPr="004762F4">
        <w:rPr>
          <w:rFonts w:eastAsia="Times New Roman"/>
          <w:szCs w:val="24"/>
        </w:rPr>
        <w:t>.</w:t>
      </w:r>
      <w:r>
        <w:rPr>
          <w:rFonts w:eastAsia="Times New Roman"/>
          <w:szCs w:val="24"/>
        </w:rPr>
        <w:t xml:space="preserve"> The language the task group will be developing will be based upon the language in </w:t>
      </w:r>
      <w:r w:rsidRPr="004762F4">
        <w:rPr>
          <w:rFonts w:eastAsia="Times New Roman"/>
          <w:szCs w:val="24"/>
        </w:rPr>
        <w:t xml:space="preserve">Federal law </w:t>
      </w:r>
      <w:r>
        <w:rPr>
          <w:rFonts w:eastAsia="Times New Roman"/>
          <w:szCs w:val="24"/>
        </w:rPr>
        <w:t xml:space="preserve">which </w:t>
      </w:r>
      <w:r w:rsidRPr="004762F4">
        <w:rPr>
          <w:rFonts w:eastAsia="Times New Roman"/>
          <w:szCs w:val="24"/>
        </w:rPr>
        <w:t>speak</w:t>
      </w:r>
      <w:r>
        <w:rPr>
          <w:rFonts w:eastAsia="Times New Roman"/>
          <w:szCs w:val="24"/>
        </w:rPr>
        <w:t>s to</w:t>
      </w:r>
      <w:r w:rsidRPr="004762F4">
        <w:rPr>
          <w:rFonts w:eastAsia="Times New Roman"/>
          <w:szCs w:val="24"/>
        </w:rPr>
        <w:t xml:space="preserve"> </w:t>
      </w:r>
      <w:r>
        <w:rPr>
          <w:rFonts w:eastAsia="Times New Roman"/>
          <w:szCs w:val="24"/>
        </w:rPr>
        <w:t>“</w:t>
      </w:r>
      <w:r w:rsidRPr="004762F4">
        <w:rPr>
          <w:rFonts w:eastAsia="Times New Roman"/>
          <w:szCs w:val="24"/>
        </w:rPr>
        <w:t>reasonable variation</w:t>
      </w:r>
      <w:r>
        <w:rPr>
          <w:rFonts w:eastAsia="Times New Roman"/>
          <w:szCs w:val="24"/>
        </w:rPr>
        <w:t>”</w:t>
      </w:r>
      <w:r w:rsidRPr="004762F4">
        <w:rPr>
          <w:rFonts w:eastAsia="Times New Roman"/>
          <w:szCs w:val="24"/>
        </w:rPr>
        <w:t xml:space="preserve">. </w:t>
      </w:r>
    </w:p>
    <w:p w14:paraId="2153AC47" w14:textId="40A33BA1" w:rsidR="001A754C" w:rsidRPr="00A43BF4" w:rsidRDefault="001A754C" w:rsidP="005E73F6">
      <w:pPr>
        <w:rPr>
          <w:rFonts w:eastAsia="Times New Roman"/>
          <w:szCs w:val="24"/>
        </w:rPr>
      </w:pPr>
      <w:r w:rsidRPr="008B1174">
        <w:rPr>
          <w:rFonts w:eastAsia="Times New Roman"/>
          <w:szCs w:val="24"/>
        </w:rPr>
        <w:t>Mr. Aaron Yanker (Colorado Department of Agriculture, Weights and Measures)</w:t>
      </w:r>
      <w:r>
        <w:rPr>
          <w:rFonts w:eastAsia="Times New Roman"/>
          <w:szCs w:val="24"/>
        </w:rPr>
        <w:t xml:space="preserve">, Mr. Austin Shepherd (County of San Diego, California), and </w:t>
      </w:r>
      <w:r w:rsidRPr="000A0675">
        <w:rPr>
          <w:rFonts w:eastAsia="Times New Roman"/>
          <w:szCs w:val="24"/>
        </w:rPr>
        <w:t xml:space="preserve">Mr. Matt Douglas </w:t>
      </w:r>
      <w:r>
        <w:rPr>
          <w:rFonts w:eastAsia="Times New Roman"/>
          <w:szCs w:val="24"/>
        </w:rPr>
        <w:t>(</w:t>
      </w:r>
      <w:r w:rsidRPr="000A0675">
        <w:rPr>
          <w:rFonts w:eastAsia="Times New Roman"/>
          <w:szCs w:val="24"/>
        </w:rPr>
        <w:t>California</w:t>
      </w:r>
      <w:r>
        <w:rPr>
          <w:rFonts w:eastAsia="Times New Roman"/>
          <w:szCs w:val="24"/>
        </w:rPr>
        <w:t xml:space="preserve"> Division of Measurement Standards) expressed support for the task group and the comments made by Mr. Floren.</w:t>
      </w:r>
    </w:p>
    <w:p w14:paraId="219F6168" w14:textId="448A838B" w:rsidR="00D0707F" w:rsidRPr="00A43BF4" w:rsidRDefault="001A754C" w:rsidP="005E73F6">
      <w:pPr>
        <w:rPr>
          <w:rFonts w:eastAsia="Times New Roman"/>
          <w:szCs w:val="24"/>
        </w:rPr>
      </w:pPr>
      <w:r>
        <w:rPr>
          <w:rFonts w:eastAsia="Times New Roman"/>
          <w:szCs w:val="24"/>
        </w:rPr>
        <w:t>The WWMA L&amp;R Committee recommends this item remain assigned.</w:t>
      </w:r>
    </w:p>
    <w:p w14:paraId="7A68916B" w14:textId="1C4BD63C" w:rsidR="00D0707F" w:rsidRDefault="00D0707F" w:rsidP="00D0707F">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151371">
        <w:rPr>
          <w:rFonts w:eastAsia="Times New Roman"/>
          <w:szCs w:val="24"/>
          <w:u w:val="single"/>
        </w:rPr>
        <w:t>Interim</w:t>
      </w:r>
      <w:r w:rsidRPr="0051426D">
        <w:rPr>
          <w:rFonts w:eastAsia="Times New Roman"/>
          <w:szCs w:val="24"/>
          <w:u w:val="single"/>
        </w:rPr>
        <w:t xml:space="preserve"> Meeting:</w:t>
      </w:r>
    </w:p>
    <w:p w14:paraId="36A37C60" w14:textId="77777777" w:rsidR="005E73F6" w:rsidRDefault="00F85220" w:rsidP="00F85220">
      <w:pPr>
        <w:jc w:val="left"/>
        <w:rPr>
          <w:rFonts w:eastAsia="Times New Roman"/>
          <w:szCs w:val="24"/>
        </w:rPr>
      </w:pPr>
      <w:r>
        <w:rPr>
          <w:rFonts w:eastAsia="Times New Roman"/>
          <w:szCs w:val="24"/>
        </w:rPr>
        <w:t xml:space="preserve">One regulator recommended withdrawal while another regulator </w:t>
      </w:r>
      <w:proofErr w:type="gramStart"/>
      <w:r>
        <w:rPr>
          <w:rFonts w:eastAsia="Times New Roman"/>
          <w:szCs w:val="24"/>
        </w:rPr>
        <w:t>recommend</w:t>
      </w:r>
      <w:proofErr w:type="gramEnd"/>
      <w:r>
        <w:rPr>
          <w:rFonts w:eastAsia="Times New Roman"/>
          <w:szCs w:val="24"/>
        </w:rPr>
        <w:t xml:space="preserve"> assigned status.  Concerns were raised regarding the definitions of “Allowances Considerations”.</w:t>
      </w:r>
    </w:p>
    <w:p w14:paraId="1010A96B" w14:textId="532E69F3" w:rsidR="00C57A8A" w:rsidRDefault="00F85220" w:rsidP="00F85220">
      <w:pPr>
        <w:jc w:val="left"/>
        <w:rPr>
          <w:rFonts w:eastAsia="Times New Roman"/>
          <w:szCs w:val="24"/>
          <w:u w:val="single"/>
        </w:rPr>
      </w:pPr>
      <w:r w:rsidRPr="00526679">
        <w:rPr>
          <w:rFonts w:eastAsia="Times New Roman"/>
          <w:szCs w:val="24"/>
        </w:rPr>
        <w:t xml:space="preserve">The CWMA L&amp;R Committee recommends </w:t>
      </w:r>
      <w:r w:rsidR="00526679" w:rsidRPr="00526679">
        <w:rPr>
          <w:rFonts w:eastAsia="Times New Roman"/>
          <w:szCs w:val="24"/>
        </w:rPr>
        <w:t xml:space="preserve">this item remains assigned. </w:t>
      </w:r>
    </w:p>
    <w:p w14:paraId="48701A6C" w14:textId="77777777" w:rsidR="00EE0428" w:rsidRDefault="00D0707F" w:rsidP="00D0707F">
      <w:pPr>
        <w:jc w:val="left"/>
        <w:rPr>
          <w:u w:val="single"/>
        </w:rPr>
      </w:pPr>
      <w:r w:rsidRPr="006C7BFB">
        <w:rPr>
          <w:u w:val="single"/>
        </w:rPr>
        <w:t>NEWMA 202</w:t>
      </w:r>
      <w:r>
        <w:rPr>
          <w:u w:val="single"/>
        </w:rPr>
        <w:t>5</w:t>
      </w:r>
      <w:r w:rsidRPr="006C7BFB">
        <w:rPr>
          <w:u w:val="single"/>
        </w:rPr>
        <w:t xml:space="preserve"> Interim Meeting:</w:t>
      </w:r>
    </w:p>
    <w:p w14:paraId="19AFD178" w14:textId="61A4CCEC" w:rsidR="00EE0428" w:rsidRDefault="00EE0428" w:rsidP="005E73F6">
      <w:pPr>
        <w:rPr>
          <w:rFonts w:eastAsia="Times New Roman"/>
          <w:szCs w:val="24"/>
        </w:rPr>
      </w:pPr>
      <w:r>
        <w:rPr>
          <w:rFonts w:eastAsia="Times New Roman"/>
          <w:szCs w:val="24"/>
        </w:rPr>
        <w:t>Comments were heard together on all items in Block 4.  All comments heard apply to each item in this Block 4.</w:t>
      </w:r>
    </w:p>
    <w:p w14:paraId="699B7AD0" w14:textId="2720A8EA" w:rsidR="00EE0428" w:rsidRDefault="00EE0428" w:rsidP="005E73F6">
      <w:pPr>
        <w:rPr>
          <w:rFonts w:eastAsia="Times New Roman"/>
          <w:szCs w:val="24"/>
        </w:rPr>
      </w:pPr>
      <w:r>
        <w:rPr>
          <w:rFonts w:eastAsia="Times New Roman"/>
          <w:szCs w:val="24"/>
        </w:rPr>
        <w:t xml:space="preserve">A regulator from New York (and member of the Moisture Task Group) gave an update.  He commented that the task group met on October 7, </w:t>
      </w:r>
      <w:proofErr w:type="gramStart"/>
      <w:r>
        <w:rPr>
          <w:rFonts w:eastAsia="Times New Roman"/>
          <w:szCs w:val="24"/>
        </w:rPr>
        <w:t>2025</w:t>
      </w:r>
      <w:proofErr w:type="gramEnd"/>
      <w:r>
        <w:rPr>
          <w:rFonts w:eastAsia="Times New Roman"/>
          <w:szCs w:val="24"/>
        </w:rPr>
        <w:t xml:space="preserve"> and will be meeting monthly.  They are looking to align the language with federal language.  A regulator from New Jersey commented they are looking forward to the work of the task group and recommended an Assigned status.</w:t>
      </w:r>
    </w:p>
    <w:p w14:paraId="27D4AD46" w14:textId="77777777" w:rsidR="005E73F6" w:rsidRDefault="00EE0428" w:rsidP="00EE0428">
      <w:pPr>
        <w:spacing w:after="0"/>
        <w:rPr>
          <w:rFonts w:eastAsia="Times New Roman"/>
          <w:szCs w:val="24"/>
        </w:rPr>
      </w:pPr>
      <w:r>
        <w:rPr>
          <w:rFonts w:eastAsia="Times New Roman"/>
          <w:szCs w:val="24"/>
        </w:rPr>
        <w:t xml:space="preserve">After hearing comments from the floor, the committee recommended an Assigned </w:t>
      </w:r>
      <w:proofErr w:type="gramStart"/>
      <w:r>
        <w:rPr>
          <w:rFonts w:eastAsia="Times New Roman"/>
          <w:szCs w:val="24"/>
        </w:rPr>
        <w:t>status</w:t>
      </w:r>
      <w:proofErr w:type="gramEnd"/>
      <w:r>
        <w:rPr>
          <w:rFonts w:eastAsia="Times New Roman"/>
          <w:szCs w:val="24"/>
        </w:rPr>
        <w:t>, and the body concurred.</w:t>
      </w:r>
    </w:p>
    <w:p w14:paraId="4FB9818B" w14:textId="6375A4F7" w:rsidR="00CE57D8" w:rsidRDefault="00D0707F" w:rsidP="005E73F6">
      <w:pPr>
        <w:spacing w:before="240"/>
        <w:rPr>
          <w:u w:val="single"/>
        </w:rPr>
      </w:pPr>
      <w:r>
        <w:rPr>
          <w:u w:val="single"/>
        </w:rPr>
        <w:t>S</w:t>
      </w:r>
      <w:r w:rsidRPr="00EF1ACC">
        <w:rPr>
          <w:u w:val="single"/>
        </w:rPr>
        <w:t>WMA 202</w:t>
      </w:r>
      <w:r>
        <w:rPr>
          <w:u w:val="single"/>
        </w:rPr>
        <w:t>5</w:t>
      </w:r>
      <w:r w:rsidRPr="00EF1ACC">
        <w:rPr>
          <w:u w:val="single"/>
        </w:rPr>
        <w:t xml:space="preserve"> </w:t>
      </w:r>
      <w:r w:rsidR="00151371">
        <w:rPr>
          <w:u w:val="single"/>
        </w:rPr>
        <w:t>Annual</w:t>
      </w:r>
      <w:r w:rsidRPr="00EF1ACC">
        <w:rPr>
          <w:u w:val="single"/>
        </w:rPr>
        <w:t xml:space="preserve"> Meeting</w:t>
      </w:r>
      <w:r>
        <w:rPr>
          <w:u w:val="single"/>
        </w:rPr>
        <w:t>:</w:t>
      </w:r>
    </w:p>
    <w:p w14:paraId="1CEC23AD" w14:textId="3C865638" w:rsidR="00CE57D8" w:rsidRDefault="00CE57D8" w:rsidP="005E73F6">
      <w:pPr>
        <w:rPr>
          <w:rFonts w:eastAsia="Times New Roman"/>
          <w:szCs w:val="24"/>
        </w:rPr>
      </w:pPr>
      <w:r>
        <w:rPr>
          <w:rFonts w:eastAsia="Times New Roman"/>
          <w:szCs w:val="24"/>
        </w:rPr>
        <w:lastRenderedPageBreak/>
        <w:t xml:space="preserve">Mr. Tory Brewer, moisture allowance task group chair, commented that the moisture allowance task group has met only once and has decided to rewrite the entire moisture allowance section. The group will meet again in November and plans on having a tentative draft that will be presented in January at the NCWM 2026 interim. </w:t>
      </w:r>
    </w:p>
    <w:p w14:paraId="19A5D20D" w14:textId="2E2C6332" w:rsidR="00CE57D8" w:rsidRPr="00EE0428" w:rsidRDefault="00CE57D8" w:rsidP="00EE0428">
      <w:pPr>
        <w:spacing w:after="0"/>
        <w:rPr>
          <w:rFonts w:eastAsia="Times New Roman"/>
          <w:szCs w:val="24"/>
        </w:rPr>
      </w:pPr>
      <w:r>
        <w:rPr>
          <w:rFonts w:eastAsia="Times New Roman"/>
          <w:szCs w:val="24"/>
        </w:rPr>
        <w:t>The Committee recommends this item remain Assigned. This applies to all items in Block 4.</w:t>
      </w:r>
    </w:p>
    <w:p w14:paraId="5232F9BF" w14:textId="36ECBFF9" w:rsidR="00F4289C" w:rsidRPr="004E72B6" w:rsidRDefault="00126165" w:rsidP="00F4289C">
      <w:pPr>
        <w:pStyle w:val="ItemHeading"/>
        <w:rPr>
          <w:u w:val="single"/>
        </w:rPr>
      </w:pPr>
      <w:bookmarkStart w:id="301" w:name="_Toc224019632"/>
      <w:r>
        <w:t xml:space="preserve">B4: </w:t>
      </w:r>
      <w:r w:rsidR="00F4289C">
        <w:t>NET-25.1</w:t>
      </w:r>
      <w:r w:rsidR="00F4289C" w:rsidRPr="003C355F">
        <w:tab/>
      </w:r>
      <w:r w:rsidR="00194CFF">
        <w:t>A</w:t>
      </w:r>
      <w:r w:rsidR="00F4289C" w:rsidRPr="003C355F">
        <w:tab/>
      </w:r>
      <w:r w:rsidR="00F4289C">
        <w:t xml:space="preserve">1.2.6.1. Applying a Moisture </w:t>
      </w:r>
      <w:r w:rsidR="00F4289C" w:rsidRPr="009F745D">
        <w:t>Allowance</w:t>
      </w:r>
      <w:r w:rsidR="00E3312C" w:rsidRPr="009F745D">
        <w:t xml:space="preserve"> </w:t>
      </w:r>
      <w:r w:rsidR="00F4289C">
        <w:rPr>
          <w:u w:val="single"/>
        </w:rPr>
        <w:t>Consideration,</w:t>
      </w:r>
      <w:r w:rsidR="00F4289C">
        <w:t xml:space="preserve"> 2.3.8. Moisture </w:t>
      </w:r>
      <w:r w:rsidR="00F4289C" w:rsidRPr="00003E9C">
        <w:t>Allowance</w:t>
      </w:r>
      <w:r w:rsidR="00F4289C" w:rsidRPr="004A7E28">
        <w:rPr>
          <w:strike/>
        </w:rPr>
        <w:t>s</w:t>
      </w:r>
      <w:r w:rsidR="00E3312C" w:rsidRPr="00003E9C">
        <w:t xml:space="preserve"> </w:t>
      </w:r>
      <w:r w:rsidR="00F4289C">
        <w:rPr>
          <w:u w:val="single"/>
        </w:rPr>
        <w:t>Considerations</w:t>
      </w:r>
      <w:r w:rsidR="00F4289C">
        <w:t xml:space="preserve">, </w:t>
      </w:r>
      <w:r w:rsidR="00F4289C" w:rsidRPr="00B530E4">
        <w:rPr>
          <w:strike/>
        </w:rPr>
        <w:t xml:space="preserve">4.10.2.2. </w:t>
      </w:r>
      <w:bookmarkStart w:id="302" w:name="_Hlk205282193"/>
      <w:r w:rsidR="00F4289C" w:rsidRPr="00B530E4">
        <w:rPr>
          <w:strike/>
        </w:rPr>
        <w:t>Moisture Shrinkage Allowance</w:t>
      </w:r>
      <w:r w:rsidR="00E3312C" w:rsidRPr="00B530E4">
        <w:rPr>
          <w:strike/>
        </w:rPr>
        <w:t xml:space="preserve"> </w:t>
      </w:r>
      <w:r w:rsidR="00F4289C" w:rsidRPr="00B530E4">
        <w:rPr>
          <w:strike/>
          <w:u w:val="single"/>
        </w:rPr>
        <w:t>Consideration</w:t>
      </w:r>
      <w:r w:rsidR="00F4289C" w:rsidRPr="004D22C3">
        <w:rPr>
          <w:strike/>
        </w:rPr>
        <w:t xml:space="preserve"> for Structural Plywood and Wood-based Structural Panels,</w:t>
      </w:r>
      <w:r w:rsidR="00F4289C">
        <w:t xml:space="preserve"> </w:t>
      </w:r>
      <w:bookmarkEnd w:id="302"/>
      <w:r w:rsidR="00F4289C" w:rsidRPr="00195193">
        <w:rPr>
          <w:strike/>
        </w:rPr>
        <w:t>4.11.2.1.</w:t>
      </w:r>
      <w:r w:rsidR="00F4289C">
        <w:t xml:space="preserve"> </w:t>
      </w:r>
      <w:r w:rsidR="00F4289C" w:rsidRPr="00195193">
        <w:rPr>
          <w:strike/>
        </w:rPr>
        <w:t>Shrinking Allowance</w:t>
      </w:r>
      <w:r w:rsidR="00E3312C" w:rsidRPr="00195193">
        <w:rPr>
          <w:strike/>
        </w:rPr>
        <w:t xml:space="preserve"> </w:t>
      </w:r>
      <w:r w:rsidR="00F4289C" w:rsidRPr="00195193">
        <w:rPr>
          <w:strike/>
          <w:u w:val="single"/>
        </w:rPr>
        <w:t>Consideration</w:t>
      </w:r>
      <w:bookmarkEnd w:id="301"/>
    </w:p>
    <w:p w14:paraId="08A3F0C7" w14:textId="77777777" w:rsidR="00F4289C" w:rsidRPr="00E025F9" w:rsidRDefault="00F4289C" w:rsidP="00F4289C">
      <w:pPr>
        <w:spacing w:after="0"/>
        <w:rPr>
          <w:b/>
        </w:rPr>
      </w:pPr>
      <w:r w:rsidRPr="00E025F9">
        <w:rPr>
          <w:b/>
        </w:rPr>
        <w:t>Source:</w:t>
      </w:r>
    </w:p>
    <w:p w14:paraId="1458B459" w14:textId="77777777" w:rsidR="00F4289C" w:rsidRDefault="00F4289C" w:rsidP="00F4289C">
      <w:r>
        <w:t>Michigan Department of Agriculture &amp; Rural Development</w:t>
      </w:r>
    </w:p>
    <w:p w14:paraId="2A0B7AB2" w14:textId="77777777" w:rsidR="00F4289C" w:rsidRPr="00E025F9" w:rsidRDefault="00F4289C" w:rsidP="00F4289C">
      <w:pPr>
        <w:spacing w:after="0"/>
        <w:rPr>
          <w:b/>
        </w:rPr>
      </w:pPr>
      <w:r w:rsidRPr="00E025F9">
        <w:rPr>
          <w:b/>
        </w:rPr>
        <w:t>Purpose:</w:t>
      </w:r>
    </w:p>
    <w:p w14:paraId="156ED9A1" w14:textId="77777777" w:rsidR="00F4289C" w:rsidRPr="00DE64D5" w:rsidRDefault="00F4289C" w:rsidP="00F4289C">
      <w:r w:rsidRPr="00DE64D5">
        <w:rPr>
          <w:spacing w:val="-2"/>
          <w:w w:val="110"/>
        </w:rPr>
        <w:t>Change</w:t>
      </w:r>
      <w:r w:rsidRPr="00DE64D5">
        <w:rPr>
          <w:spacing w:val="-11"/>
          <w:w w:val="110"/>
        </w:rPr>
        <w:t xml:space="preserve"> </w:t>
      </w:r>
      <w:r w:rsidRPr="00DE64D5">
        <w:rPr>
          <w:spacing w:val="-2"/>
          <w:w w:val="110"/>
        </w:rPr>
        <w:t>the</w:t>
      </w:r>
      <w:r w:rsidRPr="00DE64D5">
        <w:rPr>
          <w:spacing w:val="-10"/>
          <w:w w:val="110"/>
        </w:rPr>
        <w:t xml:space="preserve"> </w:t>
      </w:r>
      <w:r w:rsidRPr="00DE64D5">
        <w:rPr>
          <w:spacing w:val="-2"/>
          <w:w w:val="110"/>
        </w:rPr>
        <w:t>language</w:t>
      </w:r>
      <w:r w:rsidRPr="00DE64D5">
        <w:rPr>
          <w:spacing w:val="-10"/>
          <w:w w:val="110"/>
        </w:rPr>
        <w:t xml:space="preserve"> </w:t>
      </w:r>
      <w:r w:rsidRPr="00DE64D5">
        <w:rPr>
          <w:spacing w:val="-2"/>
          <w:w w:val="110"/>
        </w:rPr>
        <w:t>for</w:t>
      </w:r>
      <w:r w:rsidRPr="00DE64D5">
        <w:rPr>
          <w:spacing w:val="-10"/>
          <w:w w:val="110"/>
        </w:rPr>
        <w:t xml:space="preserve"> </w:t>
      </w:r>
      <w:r w:rsidRPr="00DE64D5">
        <w:rPr>
          <w:spacing w:val="-2"/>
          <w:w w:val="110"/>
        </w:rPr>
        <w:t>the</w:t>
      </w:r>
      <w:r w:rsidRPr="00DE64D5">
        <w:rPr>
          <w:spacing w:val="-10"/>
          <w:w w:val="110"/>
        </w:rPr>
        <w:t xml:space="preserve"> </w:t>
      </w:r>
      <w:r w:rsidRPr="00DE64D5">
        <w:rPr>
          <w:spacing w:val="-2"/>
          <w:w w:val="110"/>
        </w:rPr>
        <w:t>moisture</w:t>
      </w:r>
      <w:r w:rsidRPr="00DE64D5">
        <w:rPr>
          <w:spacing w:val="-10"/>
          <w:w w:val="110"/>
        </w:rPr>
        <w:t xml:space="preserve"> </w:t>
      </w:r>
      <w:r w:rsidRPr="00DE64D5">
        <w:rPr>
          <w:spacing w:val="-2"/>
          <w:w w:val="110"/>
        </w:rPr>
        <w:t>gray</w:t>
      </w:r>
      <w:r w:rsidRPr="00DE64D5">
        <w:rPr>
          <w:spacing w:val="-10"/>
          <w:w w:val="110"/>
        </w:rPr>
        <w:t xml:space="preserve"> </w:t>
      </w:r>
      <w:r w:rsidRPr="00DE64D5">
        <w:rPr>
          <w:spacing w:val="-2"/>
          <w:w w:val="110"/>
        </w:rPr>
        <w:t>area</w:t>
      </w:r>
      <w:r w:rsidRPr="00DE64D5">
        <w:rPr>
          <w:spacing w:val="-10"/>
          <w:w w:val="110"/>
        </w:rPr>
        <w:t xml:space="preserve"> </w:t>
      </w:r>
      <w:r w:rsidRPr="00DE64D5">
        <w:rPr>
          <w:spacing w:val="-2"/>
          <w:w w:val="110"/>
        </w:rPr>
        <w:t>from</w:t>
      </w:r>
      <w:r w:rsidRPr="00DE64D5">
        <w:rPr>
          <w:spacing w:val="-11"/>
          <w:w w:val="110"/>
        </w:rPr>
        <w:t xml:space="preserve"> </w:t>
      </w:r>
      <w:r w:rsidRPr="00DE64D5">
        <w:rPr>
          <w:spacing w:val="-2"/>
          <w:w w:val="110"/>
        </w:rPr>
        <w:t>"moisture</w:t>
      </w:r>
      <w:r w:rsidRPr="00DE64D5">
        <w:rPr>
          <w:spacing w:val="-10"/>
          <w:w w:val="110"/>
        </w:rPr>
        <w:t xml:space="preserve"> </w:t>
      </w:r>
      <w:r w:rsidRPr="00DE64D5">
        <w:rPr>
          <w:spacing w:val="-2"/>
          <w:w w:val="110"/>
        </w:rPr>
        <w:t>allowance"</w:t>
      </w:r>
      <w:r w:rsidRPr="00DE64D5">
        <w:rPr>
          <w:spacing w:val="-10"/>
          <w:w w:val="110"/>
        </w:rPr>
        <w:t xml:space="preserve"> </w:t>
      </w:r>
      <w:r w:rsidRPr="00DE64D5">
        <w:rPr>
          <w:spacing w:val="-2"/>
          <w:w w:val="110"/>
        </w:rPr>
        <w:t>to</w:t>
      </w:r>
      <w:r w:rsidRPr="00DE64D5">
        <w:rPr>
          <w:spacing w:val="-10"/>
          <w:w w:val="110"/>
        </w:rPr>
        <w:t xml:space="preserve"> </w:t>
      </w:r>
      <w:r w:rsidRPr="00DE64D5">
        <w:rPr>
          <w:spacing w:val="-2"/>
          <w:w w:val="110"/>
        </w:rPr>
        <w:t>"moisture</w:t>
      </w:r>
      <w:r w:rsidRPr="00DE64D5">
        <w:rPr>
          <w:spacing w:val="-10"/>
          <w:w w:val="110"/>
        </w:rPr>
        <w:t xml:space="preserve"> </w:t>
      </w:r>
      <w:r w:rsidRPr="00DE64D5">
        <w:rPr>
          <w:spacing w:val="-2"/>
          <w:w w:val="110"/>
        </w:rPr>
        <w:t>consideration."</w:t>
      </w:r>
    </w:p>
    <w:p w14:paraId="589FBC98" w14:textId="77777777" w:rsidR="00F4289C" w:rsidRPr="00E025F9" w:rsidRDefault="00F4289C" w:rsidP="00F4289C">
      <w:pPr>
        <w:spacing w:after="0"/>
        <w:rPr>
          <w:b/>
        </w:rPr>
      </w:pPr>
      <w:r w:rsidRPr="00E025F9">
        <w:rPr>
          <w:b/>
        </w:rPr>
        <w:t>Item under Consideration:</w:t>
      </w:r>
    </w:p>
    <w:p w14:paraId="0312FB86" w14:textId="77777777" w:rsidR="00F4289C" w:rsidRDefault="00F4289C" w:rsidP="00F4289C">
      <w:r>
        <w:t>Amend Handbook 133 Checking the Net Contents of Packaged Goods as follows:</w:t>
      </w:r>
    </w:p>
    <w:p w14:paraId="70632A2E" w14:textId="77777777"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t>1.2.6.1. Applying a Moisture Allowance</w:t>
      </w:r>
    </w:p>
    <w:p w14:paraId="27560F63" w14:textId="77777777" w:rsidR="002D3213" w:rsidRPr="002D3213" w:rsidRDefault="002D3213" w:rsidP="002D3213">
      <w:pPr>
        <w:spacing w:before="100" w:beforeAutospacing="1" w:after="100" w:afterAutospacing="1"/>
        <w:jc w:val="left"/>
        <w:rPr>
          <w:rFonts w:eastAsia="Times New Roman"/>
          <w:b/>
          <w:bCs/>
          <w:color w:val="000000"/>
          <w:szCs w:val="20"/>
          <w:u w:val="single"/>
        </w:rPr>
      </w:pPr>
      <w:r w:rsidRPr="002D3213">
        <w:rPr>
          <w:rFonts w:eastAsia="Times New Roman"/>
          <w:b/>
          <w:bCs/>
          <w:color w:val="000000"/>
          <w:szCs w:val="20"/>
          <w:u w:val="single"/>
        </w:rPr>
        <w:t>Test procedures for flour, some meat, and poultry are based on the concept of a “moisture allowance consideration” also known as a “gray area” or “no decision” area (see Section 2.3.8. “Moisture Allowance</w:t>
      </w:r>
      <w:r w:rsidRPr="002D3213">
        <w:rPr>
          <w:rFonts w:eastAsia="Times New Roman"/>
          <w:b/>
          <w:bCs/>
          <w:strike/>
          <w:color w:val="000000"/>
          <w:szCs w:val="20"/>
          <w:u w:val="single"/>
        </w:rPr>
        <w:t>s</w:t>
      </w:r>
      <w:r w:rsidRPr="002D3213">
        <w:rPr>
          <w:rFonts w:eastAsia="Times New Roman"/>
          <w:b/>
          <w:bCs/>
          <w:color w:val="000000"/>
          <w:szCs w:val="20"/>
          <w:u w:val="single"/>
        </w:rPr>
        <w:t xml:space="preserve"> Considerations”). When the average net weight of a sample is found to be less than the labeled weight, but not more than the boundary of the “gray area,” the lot is said to be in the “gray” or “no decision” area. The gray area is not a tolerance. More information must be collected before lot compliance or noncompliance can be decided. Appropriate enforcement should be taken on packages found short weight and outside of the “moisture allowance consideration” or “gray area.”</w:t>
      </w:r>
    </w:p>
    <w:p w14:paraId="2B99195D" w14:textId="77777777"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t>Some packaged products may lose or gain moisture and, therefore, lose or gain weight or volume after packaging. The amount of moisture loss depends upon the nature of the product, the packaging material, the length of time it is in distribution, environmental conditions, and other factors. Moisture loss may occur even when manufacturers follow good distribution practices. Loss of weight “due to exposure” may include solvent evaporation, not just loss of water. For loss or gain of moisture, the moisture allowance</w:t>
      </w:r>
      <w:r w:rsidRPr="002D3213">
        <w:rPr>
          <w:rFonts w:eastAsia="Times New Roman"/>
          <w:strike/>
          <w:color w:val="000000"/>
          <w:szCs w:val="20"/>
        </w:rPr>
        <w:t>s</w:t>
      </w:r>
      <w:r w:rsidRPr="002D3213">
        <w:rPr>
          <w:rFonts w:eastAsia="Times New Roman"/>
          <w:color w:val="000000"/>
          <w:szCs w:val="20"/>
        </w:rPr>
        <w:t xml:space="preserve"> </w:t>
      </w:r>
      <w:r w:rsidRPr="002D3213">
        <w:rPr>
          <w:rFonts w:eastAsia="Times New Roman"/>
          <w:b/>
          <w:bCs/>
          <w:color w:val="000000"/>
          <w:szCs w:val="20"/>
          <w:u w:val="single"/>
        </w:rPr>
        <w:t>considerations</w:t>
      </w:r>
      <w:r w:rsidRPr="002D3213">
        <w:rPr>
          <w:rFonts w:eastAsia="Times New Roman"/>
          <w:color w:val="000000"/>
          <w:szCs w:val="20"/>
        </w:rPr>
        <w:t xml:space="preserve"> may be applied before or after the package errors are determined.</w:t>
      </w:r>
    </w:p>
    <w:p w14:paraId="2B6EDACE" w14:textId="77777777"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t>To apply a</w:t>
      </w:r>
      <w:r w:rsidRPr="002D3213">
        <w:rPr>
          <w:rFonts w:eastAsia="Times New Roman"/>
          <w:strike/>
          <w:color w:val="000000"/>
          <w:szCs w:val="20"/>
        </w:rPr>
        <w:t>n</w:t>
      </w:r>
      <w:r w:rsidRPr="002D3213">
        <w:rPr>
          <w:rFonts w:eastAsia="Times New Roman"/>
          <w:color w:val="000000"/>
          <w:szCs w:val="20"/>
        </w:rPr>
        <w:t xml:space="preserve"> allowance </w:t>
      </w:r>
      <w:r w:rsidRPr="002D3213">
        <w:rPr>
          <w:rFonts w:eastAsia="Times New Roman"/>
          <w:b/>
          <w:bCs/>
          <w:color w:val="000000"/>
          <w:szCs w:val="20"/>
          <w:u w:val="single"/>
        </w:rPr>
        <w:t>consideration</w:t>
      </w:r>
      <w:r w:rsidRPr="002D3213">
        <w:rPr>
          <w:rFonts w:eastAsia="Times New Roman"/>
          <w:color w:val="000000"/>
          <w:szCs w:val="20"/>
        </w:rPr>
        <w:t xml:space="preserve"> before determining package errors, adjust the Nominal Gross Weight (see Section 2.3.6. “Determine Nominal Gross Weight and Package Errors”), so the package errors are increased by an amount equal to the moisture allowance </w:t>
      </w:r>
      <w:r w:rsidRPr="002D3213">
        <w:rPr>
          <w:rFonts w:eastAsia="Times New Roman"/>
          <w:b/>
          <w:bCs/>
          <w:color w:val="000000"/>
          <w:szCs w:val="20"/>
          <w:u w:val="single"/>
        </w:rPr>
        <w:t>consideration</w:t>
      </w:r>
      <w:r w:rsidRPr="002D3213">
        <w:rPr>
          <w:rFonts w:eastAsia="Times New Roman"/>
          <w:color w:val="000000"/>
          <w:szCs w:val="20"/>
        </w:rPr>
        <w:t>. This approach is used to account for moisture loss in both the average and individual package errors.</w:t>
      </w:r>
    </w:p>
    <w:p w14:paraId="56CCD864" w14:textId="77777777"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t>It is also permissible to apply the moisture allowance</w:t>
      </w:r>
      <w:r w:rsidRPr="002D3213">
        <w:rPr>
          <w:rFonts w:eastAsia="Times New Roman"/>
          <w:strike/>
          <w:color w:val="000000"/>
          <w:szCs w:val="20"/>
        </w:rPr>
        <w:t>s</w:t>
      </w:r>
      <w:r w:rsidRPr="002D3213">
        <w:rPr>
          <w:rFonts w:eastAsia="Times New Roman"/>
          <w:color w:val="000000"/>
          <w:szCs w:val="20"/>
        </w:rPr>
        <w:t xml:space="preserve"> </w:t>
      </w:r>
      <w:r w:rsidRPr="002D3213">
        <w:rPr>
          <w:rFonts w:eastAsia="Times New Roman"/>
          <w:b/>
          <w:bCs/>
          <w:color w:val="000000"/>
          <w:szCs w:val="20"/>
          <w:u w:val="single"/>
        </w:rPr>
        <w:t xml:space="preserve">considerations </w:t>
      </w:r>
      <w:r w:rsidRPr="002D3213">
        <w:rPr>
          <w:rFonts w:eastAsia="Times New Roman"/>
          <w:color w:val="000000"/>
          <w:szCs w:val="20"/>
        </w:rPr>
        <w:t>after individual package errors and average errors are determined.</w:t>
      </w:r>
    </w:p>
    <w:p w14:paraId="0B966014" w14:textId="77777777" w:rsidR="002D3213" w:rsidRPr="002D3213" w:rsidRDefault="002D3213" w:rsidP="002D3213">
      <w:pPr>
        <w:spacing w:before="100" w:beforeAutospacing="1" w:after="0"/>
        <w:ind w:firstLine="720"/>
        <w:jc w:val="left"/>
        <w:rPr>
          <w:rFonts w:eastAsia="Times New Roman"/>
          <w:b/>
          <w:bCs/>
          <w:color w:val="000000"/>
          <w:szCs w:val="20"/>
        </w:rPr>
      </w:pPr>
      <w:r w:rsidRPr="002D3213">
        <w:rPr>
          <w:rFonts w:eastAsia="Times New Roman"/>
          <w:b/>
          <w:bCs/>
          <w:color w:val="000000"/>
          <w:szCs w:val="20"/>
        </w:rPr>
        <w:t>Example:</w:t>
      </w:r>
    </w:p>
    <w:p w14:paraId="22F09A63" w14:textId="77777777" w:rsidR="002D3213" w:rsidRPr="002D3213" w:rsidRDefault="002D3213" w:rsidP="002D3213">
      <w:pPr>
        <w:spacing w:before="100" w:beforeAutospacing="1" w:after="100" w:afterAutospacing="1"/>
        <w:ind w:left="720"/>
        <w:jc w:val="left"/>
        <w:rPr>
          <w:rFonts w:eastAsia="Times New Roman"/>
          <w:i/>
          <w:iCs/>
          <w:color w:val="000000"/>
          <w:szCs w:val="20"/>
        </w:rPr>
      </w:pPr>
      <w:r w:rsidRPr="002D3213">
        <w:rPr>
          <w:rFonts w:eastAsia="Times New Roman"/>
          <w:i/>
          <w:iCs/>
          <w:color w:val="000000"/>
          <w:szCs w:val="20"/>
        </w:rPr>
        <w:t xml:space="preserve">A sample of a product that could be subject to moisture loss might fail because the average error is minus or the error in several of the sample packages are found to be unreasonable errors (i.e., the package error is greater than the Maximum Allowable Variation </w:t>
      </w:r>
      <w:r w:rsidRPr="002D3213">
        <w:rPr>
          <w:rFonts w:eastAsia="Times New Roman"/>
          <w:b/>
          <w:bCs/>
          <w:i/>
          <w:iCs/>
          <w:color w:val="000000"/>
          <w:szCs w:val="20"/>
          <w:u w:val="single"/>
        </w:rPr>
        <w:t xml:space="preserve">Consideration </w:t>
      </w:r>
      <w:r w:rsidRPr="002D3213">
        <w:rPr>
          <w:rFonts w:eastAsia="Times New Roman"/>
          <w:i/>
          <w:iCs/>
          <w:color w:val="000000"/>
          <w:szCs w:val="20"/>
        </w:rPr>
        <w:t>(MAV) permitted for the package’s labeled quantity).</w:t>
      </w:r>
    </w:p>
    <w:p w14:paraId="035F8782" w14:textId="77777777"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lastRenderedPageBreak/>
        <w:t>A sample of a product that could be subject to moisture loss might fail because the average error is minus or the error in several of the sample packages are found to be unreasonable errors (i.e., the package error is greater than the Maximum Allowable Variation (MAV) permitted for the package’s labeled quantity).</w:t>
      </w:r>
    </w:p>
    <w:p w14:paraId="02DE3AE8" w14:textId="7F46F27D"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t xml:space="preserve">You may apply a moisture allowance </w:t>
      </w:r>
      <w:r w:rsidRPr="002D3213">
        <w:rPr>
          <w:rFonts w:eastAsia="Times New Roman"/>
          <w:b/>
          <w:bCs/>
          <w:color w:val="000000"/>
          <w:szCs w:val="20"/>
          <w:u w:val="single"/>
        </w:rPr>
        <w:t>consideration</w:t>
      </w:r>
      <w:r w:rsidRPr="002D3213">
        <w:rPr>
          <w:rFonts w:eastAsia="Times New Roman"/>
          <w:color w:val="000000"/>
          <w:szCs w:val="20"/>
        </w:rPr>
        <w:t xml:space="preserve"> after determining the package errors by adding the allowance to the Sample Error Limit (SEL) and </w:t>
      </w:r>
      <w:r w:rsidR="00A7009C" w:rsidRPr="002D3213">
        <w:rPr>
          <w:rFonts w:eastAsia="Times New Roman"/>
          <w:color w:val="000000"/>
          <w:szCs w:val="20"/>
        </w:rPr>
        <w:t>then</w:t>
      </w:r>
      <w:r w:rsidRPr="002D3213">
        <w:rPr>
          <w:rFonts w:eastAsia="Times New Roman"/>
          <w:color w:val="000000"/>
          <w:szCs w:val="20"/>
        </w:rPr>
        <w:t xml:space="preserve"> comparing the average error to the SEL to determine compliance. The moisture allowance must be added to the MAV before evaluating sample errors to identify unreasonable minus errors.</w:t>
      </w:r>
    </w:p>
    <w:p w14:paraId="22867DFF" w14:textId="77777777" w:rsidR="002D3213" w:rsidRPr="002D3213" w:rsidRDefault="002D3213" w:rsidP="002D3213">
      <w:pPr>
        <w:spacing w:before="100" w:beforeAutospacing="1" w:after="100" w:afterAutospacing="1"/>
        <w:jc w:val="left"/>
        <w:rPr>
          <w:rFonts w:eastAsia="Times New Roman"/>
          <w:strike/>
          <w:color w:val="000000"/>
          <w:szCs w:val="20"/>
        </w:rPr>
      </w:pPr>
      <w:r w:rsidRPr="002D3213">
        <w:rPr>
          <w:rFonts w:eastAsia="Times New Roman"/>
          <w:strike/>
          <w:color w:val="000000"/>
          <w:szCs w:val="20"/>
        </w:rPr>
        <w:t>(Amended 2010)</w:t>
      </w:r>
    </w:p>
    <w:p w14:paraId="1C9C5D75" w14:textId="77777777"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t>This handbook provides “moisture allowance</w:t>
      </w:r>
      <w:r w:rsidRPr="002D3213">
        <w:rPr>
          <w:rFonts w:eastAsia="Times New Roman"/>
          <w:strike/>
          <w:color w:val="000000"/>
          <w:szCs w:val="20"/>
        </w:rPr>
        <w:t>s</w:t>
      </w:r>
      <w:r w:rsidRPr="002D3213">
        <w:rPr>
          <w:rFonts w:eastAsia="Times New Roman"/>
          <w:color w:val="000000"/>
          <w:szCs w:val="20"/>
        </w:rPr>
        <w:t xml:space="preserve"> </w:t>
      </w:r>
      <w:r w:rsidRPr="002D3213">
        <w:rPr>
          <w:rFonts w:eastAsia="Times New Roman"/>
          <w:b/>
          <w:bCs/>
          <w:color w:val="000000"/>
          <w:szCs w:val="20"/>
          <w:u w:val="single"/>
        </w:rPr>
        <w:t>considerations</w:t>
      </w:r>
      <w:r w:rsidRPr="002D3213">
        <w:rPr>
          <w:rFonts w:eastAsia="Times New Roman"/>
          <w:color w:val="000000"/>
          <w:szCs w:val="20"/>
        </w:rPr>
        <w:t xml:space="preserve">” for some meat and poultry products, flour, pasta, </w:t>
      </w:r>
      <w:r w:rsidRPr="002D3213">
        <w:rPr>
          <w:rFonts w:eastAsia="Times New Roman"/>
          <w:i/>
          <w:iCs/>
          <w:color w:val="000000"/>
          <w:szCs w:val="20"/>
        </w:rPr>
        <w:t>Cannabis</w:t>
      </w:r>
      <w:r w:rsidRPr="002D3213">
        <w:rPr>
          <w:rFonts w:eastAsia="Times New Roman"/>
          <w:color w:val="000000"/>
          <w:szCs w:val="20"/>
        </w:rPr>
        <w:t xml:space="preserve"> (this only includes plant material but does not include products containing </w:t>
      </w:r>
      <w:r w:rsidRPr="002D3213">
        <w:rPr>
          <w:rFonts w:eastAsia="Times New Roman"/>
          <w:i/>
          <w:iCs/>
          <w:color w:val="000000"/>
          <w:szCs w:val="20"/>
        </w:rPr>
        <w:t>Cannabis</w:t>
      </w:r>
      <w:r w:rsidRPr="002D3213">
        <w:rPr>
          <w:rFonts w:eastAsia="Times New Roman"/>
          <w:color w:val="000000"/>
          <w:szCs w:val="20"/>
        </w:rPr>
        <w:t>) and dry pet food. (</w:t>
      </w:r>
      <w:proofErr w:type="gramStart"/>
      <w:r w:rsidRPr="002D3213">
        <w:rPr>
          <w:rFonts w:eastAsia="Times New Roman"/>
          <w:color w:val="000000"/>
          <w:szCs w:val="20"/>
        </w:rPr>
        <w:t>see</w:t>
      </w:r>
      <w:proofErr w:type="gramEnd"/>
      <w:r w:rsidRPr="002D3213">
        <w:rPr>
          <w:rFonts w:eastAsia="Times New Roman"/>
          <w:color w:val="000000"/>
          <w:szCs w:val="20"/>
        </w:rPr>
        <w:t xml:space="preserve"> Chapter 2, Table 2-3. “Moisture Allowance</w:t>
      </w:r>
      <w:r w:rsidRPr="002D3213">
        <w:rPr>
          <w:rFonts w:eastAsia="Times New Roman"/>
          <w:strike/>
          <w:color w:val="000000"/>
          <w:szCs w:val="20"/>
        </w:rPr>
        <w:t>s</w:t>
      </w:r>
      <w:r w:rsidRPr="002D3213">
        <w:rPr>
          <w:rFonts w:eastAsia="Times New Roman"/>
          <w:color w:val="000000"/>
          <w:szCs w:val="20"/>
        </w:rPr>
        <w:t xml:space="preserve"> </w:t>
      </w:r>
      <w:r w:rsidRPr="002D3213">
        <w:rPr>
          <w:rFonts w:eastAsia="Times New Roman"/>
          <w:b/>
          <w:bCs/>
          <w:color w:val="000000"/>
          <w:szCs w:val="20"/>
          <w:u w:val="single"/>
        </w:rPr>
        <w:t>considerations</w:t>
      </w:r>
      <w:r w:rsidRPr="002D3213">
        <w:rPr>
          <w:rFonts w:eastAsia="Times New Roman"/>
          <w:color w:val="000000"/>
          <w:szCs w:val="20"/>
        </w:rPr>
        <w:t>”) These allowances are based on the premise that when the average net weight of a sample is found to be less than the labeled weight, but not by an amount that exceeds the allowable limit, either the lot is declared to be within the moisture allowance consideration or more information must be collected before deciding lot compliance or noncompliance.</w:t>
      </w:r>
    </w:p>
    <w:p w14:paraId="35BA165D" w14:textId="77777777" w:rsidR="002D3213" w:rsidRPr="002D3213" w:rsidRDefault="002D3213" w:rsidP="002D3213">
      <w:pPr>
        <w:spacing w:before="100" w:beforeAutospacing="1" w:after="100" w:afterAutospacing="1"/>
        <w:jc w:val="left"/>
        <w:rPr>
          <w:rFonts w:eastAsia="Times New Roman"/>
          <w:strike/>
          <w:color w:val="000000"/>
          <w:szCs w:val="20"/>
        </w:rPr>
      </w:pPr>
      <w:r w:rsidRPr="002D3213">
        <w:rPr>
          <w:rFonts w:eastAsia="Times New Roman"/>
          <w:strike/>
          <w:color w:val="000000"/>
          <w:szCs w:val="20"/>
        </w:rPr>
        <w:t>(Amended 2024)</w:t>
      </w:r>
    </w:p>
    <w:p w14:paraId="3EF8C4DA" w14:textId="77777777" w:rsidR="002D3213" w:rsidRPr="002D3213" w:rsidRDefault="002D3213" w:rsidP="002D3213">
      <w:pPr>
        <w:spacing w:before="100" w:beforeAutospacing="1" w:after="100" w:afterAutospacing="1"/>
        <w:jc w:val="left"/>
        <w:rPr>
          <w:rFonts w:eastAsia="Times New Roman"/>
          <w:strike/>
          <w:color w:val="000000"/>
          <w:szCs w:val="20"/>
        </w:rPr>
      </w:pPr>
      <w:r w:rsidRPr="002D3213">
        <w:rPr>
          <w:rFonts w:eastAsia="Times New Roman"/>
          <w:strike/>
          <w:color w:val="000000"/>
          <w:szCs w:val="20"/>
        </w:rPr>
        <w:t>Test procedures for flour, some meat, and poultry are based on the concept of a “moisture allowance” also known as a “gray area” or “no decision” area (see Section 2.3.8. “Moisture Allowances”). When the average net weight of a sample is found to be less than the labeled weight, but not more than the boundary of the “gray area,” the lot is said to be in the “gray” or “no decision” area. The gray area is not a tolerance. More information must be collected before lot compliance or noncompliance can be decided. Appropriate enforcement should be taken on packages found short weight and outside of the “moisture allowance” or “gray area.”</w:t>
      </w:r>
    </w:p>
    <w:p w14:paraId="68A4BB94" w14:textId="77777777" w:rsidR="002D3213" w:rsidRPr="002D3213" w:rsidRDefault="002D3213" w:rsidP="002D3213">
      <w:pPr>
        <w:spacing w:before="100" w:beforeAutospacing="1" w:after="100" w:afterAutospacing="1"/>
        <w:jc w:val="left"/>
        <w:rPr>
          <w:rFonts w:eastAsia="Times New Roman"/>
          <w:color w:val="000000"/>
          <w:szCs w:val="20"/>
        </w:rPr>
      </w:pPr>
      <w:r w:rsidRPr="002D3213">
        <w:rPr>
          <w:rFonts w:eastAsia="Times New Roman"/>
          <w:color w:val="000000"/>
          <w:szCs w:val="20"/>
        </w:rPr>
        <w:t xml:space="preserve">(Amended 2010. 2024 </w:t>
      </w:r>
      <w:r w:rsidRPr="002D3213">
        <w:rPr>
          <w:rFonts w:eastAsia="Times New Roman"/>
          <w:b/>
          <w:bCs/>
          <w:color w:val="000000"/>
          <w:szCs w:val="20"/>
          <w:u w:val="single"/>
        </w:rPr>
        <w:t>and 20XX</w:t>
      </w:r>
      <w:r w:rsidRPr="002D3213">
        <w:rPr>
          <w:rFonts w:eastAsia="Times New Roman"/>
          <w:color w:val="000000"/>
          <w:szCs w:val="20"/>
        </w:rPr>
        <w:t>)</w:t>
      </w:r>
    </w:p>
    <w:p w14:paraId="12BD1B8C" w14:textId="77777777" w:rsidR="002D3213" w:rsidRPr="002D3213" w:rsidRDefault="002D3213" w:rsidP="002D3213">
      <w:pPr>
        <w:spacing w:after="160" w:line="259" w:lineRule="auto"/>
        <w:jc w:val="left"/>
        <w:rPr>
          <w:rFonts w:eastAsia="Aptos"/>
          <w:kern w:val="2"/>
          <w:szCs w:val="20"/>
          <w14:ligatures w14:val="standardContextual"/>
        </w:rPr>
      </w:pPr>
      <w:bookmarkStart w:id="303" w:name="_Toc446212220"/>
      <w:bookmarkStart w:id="304" w:name="_Toc486756332"/>
      <w:bookmarkStart w:id="305" w:name="_Toc487504873"/>
      <w:bookmarkStart w:id="306" w:name="_Toc237353858"/>
      <w:bookmarkStart w:id="307" w:name="_Toc237415646"/>
      <w:bookmarkStart w:id="308" w:name="_Toc237416620"/>
      <w:bookmarkStart w:id="309" w:name="_Toc237428912"/>
      <w:bookmarkStart w:id="310" w:name="_Toc325575161"/>
      <w:bookmarkStart w:id="311" w:name="_Toc464111586"/>
      <w:bookmarkStart w:id="312" w:name="_Toc464123813"/>
      <w:bookmarkStart w:id="313" w:name="_Toc111622723"/>
      <w:bookmarkStart w:id="314" w:name="_Toc176937681"/>
      <w:r w:rsidRPr="002D3213">
        <w:rPr>
          <w:rFonts w:eastAsia="Aptos"/>
          <w:kern w:val="2"/>
          <w:szCs w:val="20"/>
          <w14:ligatures w14:val="standardContextual"/>
        </w:rPr>
        <w:t xml:space="preserve">2.3.7 </w:t>
      </w:r>
      <w:r w:rsidRPr="002D3213">
        <w:rPr>
          <w:rFonts w:eastAsia="Aptos"/>
          <w:kern w:val="2"/>
          <w:szCs w:val="20"/>
          <w14:ligatures w14:val="standardContextual"/>
        </w:rPr>
        <w:tab/>
        <w:t>Evaluat</w:t>
      </w:r>
      <w:bookmarkEnd w:id="303"/>
      <w:bookmarkEnd w:id="304"/>
      <w:bookmarkEnd w:id="305"/>
      <w:bookmarkEnd w:id="306"/>
      <w:bookmarkEnd w:id="307"/>
      <w:bookmarkEnd w:id="308"/>
      <w:bookmarkEnd w:id="309"/>
      <w:r w:rsidRPr="002D3213">
        <w:rPr>
          <w:rFonts w:eastAsia="Aptos"/>
          <w:kern w:val="2"/>
          <w:szCs w:val="20"/>
          <w14:ligatures w14:val="standardContextual"/>
        </w:rPr>
        <w:t>e for Compliance</w:t>
      </w:r>
      <w:bookmarkEnd w:id="310"/>
      <w:bookmarkEnd w:id="311"/>
      <w:bookmarkEnd w:id="312"/>
      <w:bookmarkEnd w:id="313"/>
      <w:bookmarkEnd w:id="314"/>
      <w:r w:rsidRPr="002D3213">
        <w:rPr>
          <w:rFonts w:eastAsia="Aptos"/>
          <w:kern w:val="2"/>
          <w:szCs w:val="20"/>
          <w14:ligatures w14:val="standardContextual"/>
        </w:rPr>
        <w:t xml:space="preserve"> </w:t>
      </w:r>
      <w:r w:rsidRPr="002D3213">
        <w:rPr>
          <w:rFonts w:eastAsia="Aptos"/>
          <w:kern w:val="2"/>
          <w:szCs w:val="20"/>
          <w14:ligatures w14:val="standardContextual"/>
        </w:rPr>
        <w:fldChar w:fldCharType="begin"/>
      </w:r>
      <w:r w:rsidRPr="002D3213">
        <w:rPr>
          <w:rFonts w:eastAsia="Aptos"/>
          <w:kern w:val="2"/>
          <w:szCs w:val="20"/>
          <w14:ligatures w14:val="standardContextual"/>
        </w:rPr>
        <w:instrText xml:space="preserve"> XE "Evaluating Results:Compliance" </w:instrText>
      </w:r>
      <w:r w:rsidRPr="002D3213">
        <w:rPr>
          <w:rFonts w:eastAsia="Aptos"/>
          <w:kern w:val="2"/>
          <w:szCs w:val="20"/>
          <w14:ligatures w14:val="standardContextual"/>
        </w:rPr>
        <w:fldChar w:fldCharType="end"/>
      </w:r>
    </w:p>
    <w:p w14:paraId="7BD68A38" w14:textId="09ED32C2" w:rsidR="002D3213" w:rsidRPr="002D3213" w:rsidRDefault="002D3213" w:rsidP="002D3213">
      <w:pPr>
        <w:ind w:left="360"/>
        <w:rPr>
          <w:rFonts w:eastAsia="Times New Roman"/>
          <w:color w:val="000000"/>
          <w:sz w:val="22"/>
          <w:szCs w:val="20"/>
        </w:rPr>
      </w:pPr>
      <w:r w:rsidRPr="002D3213">
        <w:rPr>
          <w:rFonts w:eastAsia="Times New Roman"/>
          <w:color w:val="000000"/>
          <w:szCs w:val="20"/>
        </w:rPr>
        <w:t xml:space="preserve">This inspection lot will pass or fail based on the sample test results.  The following steps lead the inspector through the process to determine if a sample passes or fails.  If the product is </w:t>
      </w:r>
      <w:r w:rsidR="000E65C2" w:rsidRPr="002D3213">
        <w:rPr>
          <w:rFonts w:eastAsia="Times New Roman"/>
          <w:color w:val="000000"/>
          <w:szCs w:val="20"/>
        </w:rPr>
        <w:t>subject to</w:t>
      </w:r>
      <w:r w:rsidRPr="002D3213">
        <w:rPr>
          <w:rFonts w:eastAsia="Times New Roman"/>
          <w:color w:val="000000"/>
          <w:szCs w:val="20"/>
        </w:rPr>
        <w:t xml:space="preserve"> a moisture allowance consideration, follow the procedures under Section 2.3.8. “Moisture Allowances” to correct the MAV.</w:t>
      </w:r>
      <w:bookmarkStart w:id="315" w:name="_Toc291667223"/>
      <w:bookmarkStart w:id="316" w:name="_Toc446212222"/>
      <w:bookmarkStart w:id="317" w:name="_Toc486756334"/>
      <w:bookmarkStart w:id="318" w:name="_Toc237353860"/>
      <w:bookmarkStart w:id="319" w:name="_Toc237428914"/>
      <w:bookmarkStart w:id="320" w:name="_Toc325575162"/>
      <w:bookmarkStart w:id="321" w:name="_Toc464123814"/>
      <w:bookmarkStart w:id="322" w:name="_Toc111622724"/>
      <w:r w:rsidRPr="002D3213">
        <w:rPr>
          <w:rFonts w:eastAsia="Times New Roman"/>
          <w:b/>
          <w:bCs/>
          <w:color w:val="000000"/>
          <w:szCs w:val="20"/>
        </w:rPr>
        <w:t>2.3.7.1.</w:t>
      </w:r>
      <w:r w:rsidRPr="002D3213">
        <w:rPr>
          <w:rFonts w:eastAsia="Times New Roman"/>
          <w:color w:val="000000"/>
          <w:sz w:val="22"/>
          <w:szCs w:val="20"/>
        </w:rPr>
        <w:t xml:space="preserve">    </w:t>
      </w:r>
      <w:r w:rsidRPr="002D3213">
        <w:rPr>
          <w:rFonts w:eastAsia="Times New Roman"/>
          <w:b/>
          <w:bCs/>
          <w:color w:val="000000"/>
          <w:szCs w:val="20"/>
        </w:rPr>
        <w:t>Maximum Allowable Variation</w:t>
      </w:r>
      <w:bookmarkEnd w:id="315"/>
      <w:r w:rsidRPr="002D3213">
        <w:rPr>
          <w:rFonts w:eastAsia="Times New Roman"/>
          <w:b/>
          <w:bCs/>
          <w:color w:val="000000"/>
          <w:szCs w:val="20"/>
        </w:rPr>
        <w:fldChar w:fldCharType="begin"/>
      </w:r>
      <w:r w:rsidRPr="002D3213">
        <w:rPr>
          <w:rFonts w:eastAsia="Times New Roman"/>
          <w:b/>
          <w:bCs/>
          <w:color w:val="000000"/>
          <w:szCs w:val="20"/>
        </w:rPr>
        <w:instrText xml:space="preserve"> XE "Maximum Allowable Variation (MAV)" </w:instrText>
      </w:r>
      <w:r w:rsidRPr="002D3213">
        <w:rPr>
          <w:rFonts w:eastAsia="Times New Roman"/>
          <w:b/>
          <w:bCs/>
          <w:color w:val="000000"/>
          <w:szCs w:val="20"/>
        </w:rPr>
        <w:fldChar w:fldCharType="end"/>
      </w:r>
      <w:r w:rsidRPr="002D3213">
        <w:rPr>
          <w:rFonts w:eastAsia="Times New Roman"/>
          <w:b/>
          <w:bCs/>
          <w:color w:val="000000"/>
          <w:szCs w:val="20"/>
        </w:rPr>
        <w:t xml:space="preserve"> (MAV) Requirement</w:t>
      </w:r>
      <w:bookmarkEnd w:id="316"/>
      <w:bookmarkEnd w:id="317"/>
      <w:bookmarkEnd w:id="318"/>
      <w:bookmarkEnd w:id="319"/>
      <w:bookmarkEnd w:id="320"/>
      <w:bookmarkEnd w:id="321"/>
      <w:bookmarkEnd w:id="322"/>
    </w:p>
    <w:p w14:paraId="708187AB" w14:textId="77777777" w:rsidR="002D3213" w:rsidRPr="002D3213" w:rsidRDefault="002D3213" w:rsidP="002D3213">
      <w:pPr>
        <w:spacing w:after="160" w:line="259" w:lineRule="auto"/>
        <w:ind w:left="1440" w:hanging="360"/>
        <w:jc w:val="left"/>
        <w:rPr>
          <w:rFonts w:eastAsia="Times New Roman"/>
          <w:color w:val="000000"/>
          <w:szCs w:val="20"/>
        </w:rPr>
      </w:pPr>
      <w:r w:rsidRPr="002D3213">
        <w:rPr>
          <w:rFonts w:eastAsia="Times New Roman"/>
          <w:color w:val="000000"/>
          <w:szCs w:val="20"/>
        </w:rPr>
        <w:t>Compare each minus package error</w:t>
      </w:r>
      <w:r w:rsidRPr="002D3213">
        <w:rPr>
          <w:rFonts w:eastAsia="Times New Roman"/>
          <w:color w:val="000000"/>
          <w:szCs w:val="20"/>
        </w:rPr>
        <w:fldChar w:fldCharType="begin"/>
      </w:r>
      <w:r w:rsidRPr="002D3213">
        <w:rPr>
          <w:rFonts w:eastAsia="Times New Roman"/>
          <w:color w:val="000000"/>
          <w:szCs w:val="20"/>
        </w:rPr>
        <w:instrText xml:space="preserve"> XE “Packages:Errors” </w:instrText>
      </w:r>
      <w:r w:rsidRPr="002D3213">
        <w:rPr>
          <w:rFonts w:eastAsia="Times New Roman"/>
          <w:color w:val="000000"/>
          <w:szCs w:val="20"/>
        </w:rPr>
        <w:fldChar w:fldCharType="end"/>
      </w:r>
      <w:r w:rsidRPr="002D3213">
        <w:rPr>
          <w:rFonts w:eastAsia="Times New Roman"/>
          <w:color w:val="000000"/>
          <w:szCs w:val="20"/>
        </w:rPr>
        <w:t xml:space="preserve"> with the MAV recorded in Box 3 or Box 4 (if using dimensionless units</w:t>
      </w:r>
      <w:r w:rsidRPr="002D3213">
        <w:rPr>
          <w:rFonts w:eastAsia="Times New Roman"/>
          <w:color w:val="000000"/>
          <w:szCs w:val="20"/>
        </w:rPr>
        <w:fldChar w:fldCharType="begin"/>
      </w:r>
      <w:r w:rsidRPr="002D3213">
        <w:rPr>
          <w:rFonts w:eastAsia="Times New Roman"/>
          <w:color w:val="000000"/>
          <w:szCs w:val="20"/>
        </w:rPr>
        <w:instrText xml:space="preserve"> XE "Dimensionless Units" </w:instrText>
      </w:r>
      <w:r w:rsidRPr="002D3213">
        <w:rPr>
          <w:rFonts w:eastAsia="Times New Roman"/>
          <w:color w:val="000000"/>
          <w:szCs w:val="20"/>
        </w:rPr>
        <w:fldChar w:fldCharType="end"/>
      </w:r>
      <w:r w:rsidRPr="002D3213">
        <w:rPr>
          <w:rFonts w:eastAsia="Times New Roman"/>
          <w:color w:val="000000"/>
          <w:szCs w:val="20"/>
        </w:rPr>
        <w:t>).  Circle the package errors that exceed the MAV.  These are “Unreasonable Minus Errors.”  Record the number of unreasonable minus errors found in the sample in Box 16.</w:t>
      </w:r>
    </w:p>
    <w:p w14:paraId="343E98BE" w14:textId="77777777" w:rsidR="002D3213" w:rsidRPr="002D3213" w:rsidRDefault="002D3213" w:rsidP="002D3213">
      <w:pPr>
        <w:ind w:left="1440" w:hanging="360"/>
        <w:jc w:val="left"/>
        <w:rPr>
          <w:rFonts w:eastAsia="Times New Roman"/>
          <w:color w:val="000000"/>
          <w:szCs w:val="20"/>
        </w:rPr>
      </w:pPr>
      <w:r w:rsidRPr="002D3213">
        <w:rPr>
          <w:rFonts w:eastAsia="Times New Roman"/>
          <w:color w:val="000000"/>
          <w:szCs w:val="20"/>
        </w:rPr>
        <w:t>Compare the number in Box 16 with the number of unreasonable errors allowed (recorded in Box 8).  If the number found exceeds the allowed number, the lot fails.  Record in Box 17 whether the number of unreasonable errors found is less or more than allowed.</w:t>
      </w:r>
    </w:p>
    <w:p w14:paraId="607680F8" w14:textId="28F296B0" w:rsidR="002D3213" w:rsidRPr="002D3213" w:rsidRDefault="002D3213" w:rsidP="002D3213">
      <w:pPr>
        <w:spacing w:after="0"/>
        <w:ind w:left="1080"/>
        <w:rPr>
          <w:rFonts w:eastAsia="Times New Roman"/>
          <w:color w:val="000000"/>
          <w:szCs w:val="20"/>
        </w:rPr>
      </w:pPr>
      <w:bookmarkStart w:id="323" w:name="_Hlk105937129"/>
      <w:r w:rsidRPr="002D3213">
        <w:rPr>
          <w:rFonts w:eastAsia="Times New Roman"/>
          <w:b/>
          <w:bCs/>
          <w:color w:val="000000"/>
          <w:szCs w:val="20"/>
        </w:rPr>
        <w:t>Note</w:t>
      </w:r>
      <w:r w:rsidRPr="002D3213">
        <w:rPr>
          <w:rFonts w:eastAsia="Times New Roman"/>
          <w:color w:val="000000"/>
          <w:szCs w:val="20"/>
        </w:rPr>
        <w:t xml:space="preserve">: If a total quantity declaration on a multiunit or variety package is being </w:t>
      </w:r>
      <w:proofErr w:type="gramStart"/>
      <w:r w:rsidRPr="002D3213">
        <w:rPr>
          <w:rFonts w:eastAsia="Times New Roman"/>
          <w:color w:val="000000"/>
          <w:szCs w:val="20"/>
        </w:rPr>
        <w:t>verified, and</w:t>
      </w:r>
      <w:proofErr w:type="gramEnd"/>
      <w:r w:rsidRPr="002D3213">
        <w:rPr>
          <w:rFonts w:eastAsia="Times New Roman"/>
          <w:color w:val="000000"/>
          <w:szCs w:val="20"/>
        </w:rPr>
        <w:t xml:space="preserve"> the MAV applied is not based on a percent of the labeled quantity (see Section 1.2.4.1. “Total Quantity MAV for Multiunit and Variety Packages).</w:t>
      </w:r>
    </w:p>
    <w:p w14:paraId="3D3EA307" w14:textId="77777777" w:rsidR="002D3213" w:rsidRPr="002D3213" w:rsidRDefault="002D3213" w:rsidP="002D3213">
      <w:pPr>
        <w:spacing w:before="60"/>
        <w:ind w:left="1080"/>
        <w:rPr>
          <w:rFonts w:eastAsia="Times New Roman"/>
          <w:color w:val="000000"/>
          <w:szCs w:val="20"/>
        </w:rPr>
      </w:pPr>
      <w:r w:rsidRPr="002D3213">
        <w:rPr>
          <w:rFonts w:eastAsia="Times New Roman"/>
          <w:color w:val="000000"/>
          <w:szCs w:val="20"/>
        </w:rPr>
        <w:t>(Note Added 2022)</w:t>
      </w:r>
    </w:p>
    <w:p w14:paraId="270123D4" w14:textId="77777777" w:rsidR="002D3213" w:rsidRPr="002D3213" w:rsidRDefault="002D3213" w:rsidP="002D3213">
      <w:pPr>
        <w:spacing w:after="160" w:line="259" w:lineRule="auto"/>
        <w:ind w:firstLine="720"/>
        <w:jc w:val="left"/>
        <w:rPr>
          <w:rFonts w:eastAsia="Aptos"/>
          <w:b/>
          <w:bCs/>
          <w:kern w:val="2"/>
          <w:szCs w:val="20"/>
          <w14:ligatures w14:val="standardContextual"/>
        </w:rPr>
      </w:pPr>
      <w:bookmarkStart w:id="324" w:name="_Toc446212224"/>
      <w:bookmarkStart w:id="325" w:name="_Toc486756336"/>
      <w:bookmarkStart w:id="326" w:name="_Toc237353862"/>
      <w:bookmarkStart w:id="327" w:name="_Toc237428916"/>
      <w:bookmarkStart w:id="328" w:name="_Toc325575163"/>
      <w:bookmarkStart w:id="329" w:name="_Toc464123815"/>
      <w:bookmarkStart w:id="330" w:name="_Toc111622725"/>
      <w:bookmarkEnd w:id="323"/>
      <w:r w:rsidRPr="002D3213">
        <w:rPr>
          <w:rFonts w:eastAsia="Aptos"/>
          <w:b/>
          <w:bCs/>
          <w:kern w:val="2"/>
          <w:szCs w:val="20"/>
          <w14:ligatures w14:val="standardContextual"/>
        </w:rPr>
        <w:t>2.3.7.2.     Average Requirement</w:t>
      </w:r>
      <w:bookmarkEnd w:id="324"/>
      <w:bookmarkEnd w:id="325"/>
      <w:bookmarkEnd w:id="326"/>
      <w:bookmarkEnd w:id="327"/>
      <w:bookmarkEnd w:id="328"/>
      <w:bookmarkEnd w:id="329"/>
      <w:bookmarkEnd w:id="330"/>
    </w:p>
    <w:p w14:paraId="42D4D8AC" w14:textId="78EDAA01" w:rsidR="001E01A5" w:rsidRPr="00AA1087" w:rsidRDefault="009D2986" w:rsidP="009D2986">
      <w:pPr>
        <w:spacing w:after="0" w:line="259" w:lineRule="auto"/>
        <w:jc w:val="left"/>
        <w:rPr>
          <w:rFonts w:eastAsia="Times New Roman"/>
          <w:b/>
          <w:bCs/>
          <w:color w:val="000000"/>
          <w:szCs w:val="20"/>
        </w:rPr>
      </w:pPr>
      <w:r>
        <w:rPr>
          <w:rFonts w:eastAsia="Times New Roman"/>
          <w:b/>
          <w:bCs/>
          <w:color w:val="000000"/>
          <w:szCs w:val="20"/>
        </w:rPr>
        <w:t>…</w:t>
      </w:r>
      <w:bookmarkStart w:id="331" w:name="_Hlk191881677"/>
    </w:p>
    <w:bookmarkEnd w:id="331"/>
    <w:p w14:paraId="71C83F26" w14:textId="24A78C59" w:rsidR="002D3213" w:rsidRDefault="001E01A5" w:rsidP="002D3213">
      <w:pPr>
        <w:spacing w:after="160" w:line="259" w:lineRule="auto"/>
        <w:ind w:left="1800" w:hanging="360"/>
        <w:jc w:val="left"/>
        <w:rPr>
          <w:rFonts w:eastAsia="Times New Roman"/>
          <w:color w:val="000000"/>
          <w:szCs w:val="20"/>
        </w:rPr>
      </w:pPr>
      <w:r>
        <w:rPr>
          <w:rFonts w:eastAsia="Times New Roman"/>
          <w:color w:val="000000"/>
          <w:szCs w:val="20"/>
        </w:rPr>
        <w:t xml:space="preserve">4. </w:t>
      </w:r>
      <w:r w:rsidR="002D3213" w:rsidRPr="002D3213">
        <w:rPr>
          <w:rFonts w:eastAsia="Times New Roman"/>
          <w:color w:val="000000"/>
          <w:szCs w:val="20"/>
        </w:rPr>
        <w:t>Compliance Evaluation of the Average Error:</w:t>
      </w:r>
    </w:p>
    <w:p w14:paraId="16EDCEE9" w14:textId="4507AAD2" w:rsidR="00C51763" w:rsidRPr="00421C06" w:rsidRDefault="009D2986" w:rsidP="009D2986">
      <w:pPr>
        <w:spacing w:after="0" w:line="259" w:lineRule="auto"/>
        <w:jc w:val="left"/>
        <w:rPr>
          <w:rFonts w:eastAsia="Times New Roman"/>
          <w:b/>
          <w:bCs/>
          <w:color w:val="000000"/>
          <w:szCs w:val="20"/>
        </w:rPr>
      </w:pPr>
      <w:r>
        <w:rPr>
          <w:rFonts w:eastAsia="Times New Roman"/>
          <w:b/>
          <w:bCs/>
          <w:color w:val="000000"/>
          <w:szCs w:val="20"/>
        </w:rPr>
        <w:t>…</w:t>
      </w:r>
    </w:p>
    <w:p w14:paraId="2A2B8B6B" w14:textId="3717E76E" w:rsidR="002D3213" w:rsidRPr="006E0510" w:rsidRDefault="002D3213" w:rsidP="0076491B">
      <w:pPr>
        <w:pStyle w:val="ListParagraph"/>
        <w:numPr>
          <w:ilvl w:val="0"/>
          <w:numId w:val="44"/>
        </w:numPr>
        <w:spacing w:after="0"/>
        <w:rPr>
          <w:rFonts w:eastAsia="Times New Roman"/>
          <w:color w:val="000000"/>
          <w:szCs w:val="20"/>
        </w:rPr>
      </w:pPr>
      <w:r w:rsidRPr="006E0510">
        <w:rPr>
          <w:rFonts w:eastAsia="Times New Roman"/>
          <w:color w:val="000000"/>
          <w:szCs w:val="20"/>
        </w:rPr>
        <w:lastRenderedPageBreak/>
        <w:t>If the value of the Average Error (disregarding the sign) (Box 18) is larger than the Sample Error Limit (Box 23), the sample fails.  However, if the product is subject to moisture loss, the sample does not necessarily fail.  Follow the procedures under “Moisture Allowance</w:t>
      </w:r>
      <w:r w:rsidRPr="00882707">
        <w:rPr>
          <w:rFonts w:eastAsia="Times New Roman"/>
          <w:strike/>
          <w:color w:val="000000"/>
          <w:szCs w:val="20"/>
        </w:rPr>
        <w:t>s</w:t>
      </w:r>
      <w:r w:rsidRPr="006E0510">
        <w:rPr>
          <w:rFonts w:eastAsia="Times New Roman"/>
          <w:color w:val="000000"/>
          <w:szCs w:val="20"/>
        </w:rPr>
        <w:t xml:space="preserve"> </w:t>
      </w:r>
      <w:r w:rsidRPr="006E0510">
        <w:rPr>
          <w:rFonts w:eastAsia="Times New Roman"/>
          <w:b/>
          <w:bCs/>
          <w:color w:val="000000"/>
          <w:szCs w:val="20"/>
          <w:u w:val="single"/>
        </w:rPr>
        <w:t>Considerations</w:t>
      </w:r>
      <w:r w:rsidRPr="006E0510">
        <w:rPr>
          <w:rFonts w:eastAsia="Times New Roman"/>
          <w:color w:val="000000"/>
          <w:szCs w:val="20"/>
        </w:rPr>
        <w:t>” in this chapter.</w:t>
      </w:r>
    </w:p>
    <w:p w14:paraId="325AF350" w14:textId="23AE6F0E" w:rsidR="002D3213" w:rsidRPr="002D3213" w:rsidRDefault="002D3213" w:rsidP="002D3213">
      <w:pPr>
        <w:spacing w:before="60" w:after="0"/>
        <w:ind w:left="720"/>
        <w:rPr>
          <w:rFonts w:eastAsia="Times New Roman"/>
          <w:color w:val="000000"/>
          <w:szCs w:val="20"/>
        </w:rPr>
      </w:pPr>
      <w:r w:rsidRPr="002D3213">
        <w:rPr>
          <w:rFonts w:eastAsia="Times New Roman"/>
          <w:color w:val="000000"/>
          <w:szCs w:val="20"/>
        </w:rPr>
        <w:t xml:space="preserve">(Amended </w:t>
      </w:r>
      <w:r w:rsidR="00AA1087">
        <w:rPr>
          <w:rFonts w:eastAsia="Times New Roman"/>
          <w:color w:val="000000"/>
          <w:szCs w:val="20"/>
        </w:rPr>
        <w:t xml:space="preserve">2018, </w:t>
      </w:r>
      <w:r w:rsidRPr="002D3213">
        <w:rPr>
          <w:rFonts w:eastAsia="Times New Roman"/>
          <w:color w:val="000000"/>
          <w:szCs w:val="20"/>
        </w:rPr>
        <w:t xml:space="preserve">2022 and 20XX) </w:t>
      </w:r>
    </w:p>
    <w:p w14:paraId="66350493" w14:textId="77777777" w:rsidR="002D3213" w:rsidRPr="002D3213" w:rsidRDefault="002D3213" w:rsidP="002D3213">
      <w:pPr>
        <w:spacing w:before="60" w:after="0"/>
        <w:ind w:left="720"/>
        <w:rPr>
          <w:rFonts w:eastAsia="Times New Roman"/>
          <w:color w:val="000000"/>
          <w:szCs w:val="20"/>
        </w:rPr>
      </w:pPr>
    </w:p>
    <w:p w14:paraId="1AFD644E" w14:textId="77777777" w:rsidR="002D3213" w:rsidRPr="002D3213" w:rsidRDefault="002D3213" w:rsidP="002D3213">
      <w:pPr>
        <w:spacing w:after="160" w:line="259" w:lineRule="auto"/>
        <w:ind w:firstLine="360"/>
        <w:jc w:val="left"/>
        <w:rPr>
          <w:rFonts w:eastAsia="Aptos"/>
          <w:b/>
          <w:bCs/>
          <w:kern w:val="2"/>
          <w:szCs w:val="20"/>
          <w14:ligatures w14:val="standardContextual"/>
        </w:rPr>
      </w:pPr>
      <w:bookmarkStart w:id="332" w:name="_Toc487504874"/>
      <w:bookmarkStart w:id="333" w:name="_Toc237353863"/>
      <w:bookmarkStart w:id="334" w:name="_Toc237415649"/>
      <w:bookmarkStart w:id="335" w:name="_Toc237416623"/>
      <w:bookmarkStart w:id="336" w:name="_Toc237428919"/>
      <w:bookmarkStart w:id="337" w:name="_Toc325575164"/>
      <w:bookmarkStart w:id="338" w:name="_Toc291667226"/>
      <w:bookmarkStart w:id="339" w:name="_Toc464111587"/>
      <w:bookmarkStart w:id="340" w:name="_Toc464123816"/>
      <w:bookmarkStart w:id="341" w:name="_Toc111622726"/>
      <w:bookmarkStart w:id="342" w:name="_Toc176937682"/>
      <w:bookmarkStart w:id="343" w:name="_Toc446212226"/>
      <w:bookmarkStart w:id="344" w:name="_Toc486756338"/>
      <w:r w:rsidRPr="002D3213">
        <w:rPr>
          <w:rFonts w:eastAsia="Aptos"/>
          <w:b/>
          <w:bCs/>
          <w:kern w:val="2"/>
          <w:szCs w:val="20"/>
          <w14:ligatures w14:val="standardContextual"/>
        </w:rPr>
        <w:t>2.3.8. Moisture Allowances</w:t>
      </w:r>
      <w:bookmarkEnd w:id="332"/>
      <w:bookmarkEnd w:id="333"/>
      <w:bookmarkEnd w:id="334"/>
      <w:bookmarkEnd w:id="335"/>
      <w:bookmarkEnd w:id="336"/>
      <w:bookmarkEnd w:id="337"/>
      <w:bookmarkEnd w:id="338"/>
      <w:bookmarkEnd w:id="339"/>
      <w:bookmarkEnd w:id="340"/>
      <w:bookmarkEnd w:id="341"/>
      <w:bookmarkEnd w:id="342"/>
      <w:r w:rsidRPr="002D3213">
        <w:rPr>
          <w:rFonts w:eastAsia="Aptos"/>
          <w:b/>
          <w:bCs/>
          <w:kern w:val="2"/>
          <w:szCs w:val="20"/>
          <w14:ligatures w14:val="standardContextual"/>
        </w:rPr>
        <w:fldChar w:fldCharType="begin"/>
      </w:r>
      <w:r w:rsidRPr="002D3213">
        <w:rPr>
          <w:rFonts w:eastAsia="Aptos"/>
          <w:b/>
          <w:bCs/>
          <w:kern w:val="2"/>
          <w:szCs w:val="20"/>
          <w14:ligatures w14:val="standardContextual"/>
        </w:rPr>
        <w:instrText xml:space="preserve"> XE "Moisture Allowances" </w:instrText>
      </w:r>
      <w:r w:rsidRPr="002D3213">
        <w:rPr>
          <w:rFonts w:eastAsia="Aptos"/>
          <w:b/>
          <w:bCs/>
          <w:kern w:val="2"/>
          <w:szCs w:val="20"/>
          <w14:ligatures w14:val="standardContextual"/>
        </w:rPr>
        <w:fldChar w:fldCharType="end"/>
      </w:r>
    </w:p>
    <w:p w14:paraId="05FDC334" w14:textId="77777777" w:rsidR="002D3213" w:rsidRPr="002D3213" w:rsidRDefault="002D3213" w:rsidP="002D3213">
      <w:pPr>
        <w:spacing w:after="0"/>
        <w:ind w:left="360"/>
        <w:rPr>
          <w:rFonts w:eastAsia="Times New Roman"/>
          <w:iCs/>
          <w:color w:val="000000"/>
          <w:szCs w:val="20"/>
        </w:rPr>
      </w:pPr>
      <w:r w:rsidRPr="002D3213">
        <w:rPr>
          <w:rFonts w:eastAsia="Times New Roman"/>
          <w:iCs/>
          <w:color w:val="000000"/>
          <w:szCs w:val="20"/>
        </w:rPr>
        <w:t xml:space="preserve">When no predetermined allowance is found in NIST Handbook 133, the potential for moisture loss must be considered.  Inspectors should follow their jurisdiction’s guidance for making their determination on an acceptable moisture allowance </w:t>
      </w:r>
      <w:r w:rsidRPr="002D3213">
        <w:rPr>
          <w:rFonts w:eastAsia="Times New Roman"/>
          <w:b/>
          <w:bCs/>
          <w:iCs/>
          <w:color w:val="000000"/>
          <w:szCs w:val="20"/>
          <w:u w:val="single"/>
        </w:rPr>
        <w:t>consideration</w:t>
      </w:r>
      <w:r w:rsidRPr="002D3213">
        <w:rPr>
          <w:rFonts w:eastAsia="Times New Roman"/>
          <w:iCs/>
          <w:color w:val="000000"/>
          <w:szCs w:val="20"/>
        </w:rPr>
        <w:t>.</w:t>
      </w:r>
    </w:p>
    <w:p w14:paraId="73366493" w14:textId="77777777" w:rsidR="002D3213" w:rsidRPr="002D3213" w:rsidRDefault="002D3213" w:rsidP="002D3213">
      <w:pPr>
        <w:spacing w:before="60"/>
        <w:ind w:left="360"/>
        <w:rPr>
          <w:rFonts w:eastAsia="Times New Roman"/>
          <w:color w:val="000000"/>
          <w:szCs w:val="20"/>
        </w:rPr>
      </w:pPr>
      <w:r w:rsidRPr="002D3213">
        <w:rPr>
          <w:rFonts w:eastAsia="Times New Roman"/>
          <w:color w:val="000000"/>
          <w:szCs w:val="20"/>
        </w:rPr>
        <w:t xml:space="preserve">(Added 2010) </w:t>
      </w:r>
      <w:r w:rsidRPr="002D3213">
        <w:rPr>
          <w:rFonts w:eastAsia="Times New Roman"/>
          <w:b/>
          <w:bCs/>
          <w:color w:val="000000"/>
          <w:szCs w:val="20"/>
          <w:u w:val="single"/>
        </w:rPr>
        <w:t>(Amended 20XX)</w:t>
      </w:r>
    </w:p>
    <w:p w14:paraId="08BD4E92" w14:textId="77777777" w:rsidR="002D3213" w:rsidRPr="002D3213" w:rsidRDefault="002D3213" w:rsidP="002D3213">
      <w:pPr>
        <w:ind w:left="360"/>
        <w:rPr>
          <w:rFonts w:eastAsia="Times New Roman"/>
          <w:color w:val="000000"/>
          <w:szCs w:val="20"/>
        </w:rPr>
      </w:pPr>
      <w:r w:rsidRPr="002D3213">
        <w:rPr>
          <w:rFonts w:eastAsia="Times New Roman"/>
          <w:color w:val="000000"/>
          <w:szCs w:val="20"/>
        </w:rPr>
        <w:t>If the product tested is subject to moisture loss, provide for the moisture allowance by following one of the two procedures listed below.</w:t>
      </w:r>
      <w:bookmarkEnd w:id="343"/>
      <w:bookmarkEnd w:id="344"/>
    </w:p>
    <w:p w14:paraId="617BF18E" w14:textId="37FDD182" w:rsidR="002D3213" w:rsidRPr="002D3213" w:rsidRDefault="002D3213" w:rsidP="002D3213">
      <w:pPr>
        <w:spacing w:after="160" w:line="259" w:lineRule="auto"/>
        <w:jc w:val="left"/>
        <w:rPr>
          <w:rFonts w:eastAsia="Aptos"/>
          <w:b/>
          <w:bCs/>
          <w:kern w:val="2"/>
          <w:szCs w:val="20"/>
          <w:u w:val="single"/>
          <w14:ligatures w14:val="standardContextual"/>
        </w:rPr>
      </w:pPr>
      <w:bookmarkStart w:id="345" w:name="_Toc325575165"/>
      <w:bookmarkStart w:id="346" w:name="_Toc464123817"/>
      <w:bookmarkStart w:id="347" w:name="_Toc111622727"/>
      <w:r w:rsidRPr="002D3213">
        <w:rPr>
          <w:rFonts w:eastAsia="Aptos"/>
          <w:b/>
          <w:bCs/>
          <w:kern w:val="2"/>
          <w:szCs w:val="20"/>
          <w:u w:val="single"/>
          <w14:ligatures w14:val="standardContextual"/>
        </w:rPr>
        <w:t>2.3</w:t>
      </w:r>
      <w:r w:rsidR="00232946">
        <w:rPr>
          <w:rFonts w:eastAsia="Aptos"/>
          <w:b/>
          <w:bCs/>
          <w:kern w:val="2"/>
          <w:szCs w:val="20"/>
          <w:u w:val="single"/>
          <w14:ligatures w14:val="standardContextual"/>
        </w:rPr>
        <w:t>.</w:t>
      </w:r>
      <w:r w:rsidRPr="002D3213">
        <w:rPr>
          <w:rFonts w:eastAsia="Aptos"/>
          <w:b/>
          <w:bCs/>
          <w:kern w:val="2"/>
          <w:szCs w:val="20"/>
          <w:u w:val="single"/>
          <w14:ligatures w14:val="standardContextual"/>
        </w:rPr>
        <w:t>8.1 Applying Moisture Loss before Determining Package Errors</w:t>
      </w:r>
      <w:bookmarkEnd w:id="345"/>
      <w:bookmarkEnd w:id="346"/>
      <w:bookmarkEnd w:id="347"/>
    </w:p>
    <w:p w14:paraId="6AEECF77" w14:textId="77777777" w:rsidR="002D3213" w:rsidRPr="002D3213" w:rsidRDefault="002D3213" w:rsidP="002D3213">
      <w:pPr>
        <w:spacing w:after="160" w:line="259" w:lineRule="auto"/>
        <w:ind w:left="1800" w:hanging="360"/>
        <w:jc w:val="left"/>
        <w:rPr>
          <w:rFonts w:eastAsia="Times New Roman"/>
          <w:color w:val="000000"/>
          <w:szCs w:val="20"/>
        </w:rPr>
      </w:pPr>
      <w:r w:rsidRPr="002D3213">
        <w:rPr>
          <w:rFonts w:eastAsia="Times New Roman"/>
          <w:color w:val="000000"/>
          <w:szCs w:val="20"/>
        </w:rPr>
        <w:t>Determine the percent value of the moisture allowance if the product is listed below</w:t>
      </w:r>
      <w:r w:rsidRPr="002D3213">
        <w:rPr>
          <w:rFonts w:eastAsia="Times New Roman"/>
          <w:color w:val="000000"/>
          <w:szCs w:val="20"/>
        </w:rPr>
        <w:fldChar w:fldCharType="begin"/>
      </w:r>
      <w:r w:rsidRPr="002D3213">
        <w:rPr>
          <w:rFonts w:eastAsia="Times New Roman"/>
          <w:color w:val="000000"/>
          <w:szCs w:val="20"/>
        </w:rPr>
        <w:instrText xml:space="preserve"> XE "Packages:Errors" </w:instrText>
      </w:r>
      <w:r w:rsidRPr="002D3213">
        <w:rPr>
          <w:rFonts w:eastAsia="Times New Roman"/>
          <w:color w:val="000000"/>
          <w:szCs w:val="20"/>
        </w:rPr>
        <w:fldChar w:fldCharType="end"/>
      </w:r>
      <w:r w:rsidRPr="002D3213">
        <w:rPr>
          <w:rFonts w:eastAsia="Times New Roman"/>
          <w:color w:val="000000"/>
          <w:szCs w:val="20"/>
        </w:rPr>
        <w:t>.  (</w:t>
      </w:r>
      <w:proofErr w:type="gramStart"/>
      <w:r w:rsidRPr="002D3213">
        <w:rPr>
          <w:rFonts w:eastAsia="Times New Roman"/>
          <w:color w:val="000000"/>
          <w:szCs w:val="20"/>
        </w:rPr>
        <w:t>see</w:t>
      </w:r>
      <w:proofErr w:type="gramEnd"/>
      <w:r w:rsidRPr="002D3213">
        <w:rPr>
          <w:rFonts w:eastAsia="Times New Roman"/>
          <w:color w:val="000000"/>
          <w:szCs w:val="20"/>
        </w:rPr>
        <w:t xml:space="preserve"> Table 2-3. “Moisture Allowance</w:t>
      </w:r>
      <w:r w:rsidRPr="002D3213">
        <w:rPr>
          <w:rFonts w:eastAsia="Times New Roman"/>
          <w:strike/>
          <w:color w:val="000000"/>
          <w:szCs w:val="20"/>
        </w:rPr>
        <w:t>s</w:t>
      </w:r>
      <w:r w:rsidRPr="002D3213">
        <w:rPr>
          <w:rFonts w:eastAsia="Times New Roman"/>
          <w:color w:val="000000"/>
          <w:szCs w:val="20"/>
        </w:rPr>
        <w:t xml:space="preserve"> </w:t>
      </w:r>
      <w:r w:rsidRPr="002D3213">
        <w:rPr>
          <w:rFonts w:eastAsia="Times New Roman"/>
          <w:b/>
          <w:bCs/>
          <w:color w:val="000000"/>
          <w:szCs w:val="20"/>
          <w:u w:val="single"/>
        </w:rPr>
        <w:t>Considerations</w:t>
      </w:r>
      <w:r w:rsidRPr="002D3213">
        <w:rPr>
          <w:rFonts w:eastAsia="Times New Roman"/>
          <w:color w:val="000000"/>
          <w:szCs w:val="20"/>
        </w:rPr>
        <w:t>.”)</w:t>
      </w:r>
    </w:p>
    <w:tbl>
      <w:tblPr>
        <w:tblW w:w="9360" w:type="dxa"/>
        <w:tblInd w:w="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2-3.  Moisture Allowances"/>
        <w:tblDescription w:val="Table provides moisture allowances for various commodities for example, flour, dry pet food, Borax, fresh poultry, frank/hot dogs/ bacon, fresh sausage, and luncheon meats. "/>
      </w:tblPr>
      <w:tblGrid>
        <w:gridCol w:w="2160"/>
        <w:gridCol w:w="1710"/>
        <w:gridCol w:w="5490"/>
      </w:tblGrid>
      <w:tr w:rsidR="002D3213" w:rsidRPr="002D3213" w14:paraId="736BD504" w14:textId="77777777" w:rsidTr="00A906A7">
        <w:trPr>
          <w:trHeight w:val="452"/>
          <w:tblHeader/>
        </w:trPr>
        <w:tc>
          <w:tcPr>
            <w:tcW w:w="9360" w:type="dxa"/>
            <w:gridSpan w:val="3"/>
            <w:tcBorders>
              <w:top w:val="double" w:sz="6" w:space="0" w:color="auto"/>
              <w:bottom w:val="double" w:sz="6" w:space="0" w:color="auto"/>
            </w:tcBorders>
            <w:vAlign w:val="center"/>
          </w:tcPr>
          <w:p w14:paraId="669A043C" w14:textId="77777777" w:rsidR="002D3213" w:rsidRPr="002D3213" w:rsidRDefault="002D3213" w:rsidP="002D3213">
            <w:pPr>
              <w:keepNext/>
              <w:keepLines/>
              <w:spacing w:after="0"/>
              <w:jc w:val="center"/>
              <w:rPr>
                <w:rFonts w:eastAsia="Times New Roman"/>
                <w:b/>
                <w:color w:val="000000"/>
                <w:szCs w:val="20"/>
                <w:lang w:val="x-none" w:eastAsia="x-none"/>
              </w:rPr>
            </w:pPr>
            <w:r w:rsidRPr="002D3213">
              <w:rPr>
                <w:rFonts w:eastAsia="Times New Roman"/>
                <w:b/>
                <w:color w:val="000000"/>
                <w:szCs w:val="20"/>
                <w:lang w:val="x-none" w:eastAsia="x-none"/>
              </w:rPr>
              <w:lastRenderedPageBreak/>
              <w:t>Table 2-3.</w:t>
            </w:r>
          </w:p>
          <w:p w14:paraId="3DA16350" w14:textId="77777777" w:rsidR="002D3213" w:rsidRPr="002D3213" w:rsidRDefault="002D3213" w:rsidP="002D3213">
            <w:pPr>
              <w:keepNext/>
              <w:keepLines/>
              <w:spacing w:after="0"/>
              <w:jc w:val="center"/>
              <w:rPr>
                <w:rFonts w:eastAsia="Times New Roman"/>
                <w:b/>
                <w:color w:val="000000"/>
                <w:szCs w:val="20"/>
                <w:lang w:val="x-none" w:eastAsia="x-none"/>
              </w:rPr>
            </w:pPr>
            <w:r w:rsidRPr="002D3213">
              <w:rPr>
                <w:rFonts w:eastAsia="Times New Roman"/>
                <w:b/>
                <w:color w:val="000000"/>
                <w:szCs w:val="20"/>
                <w:lang w:val="x-none" w:eastAsia="x-none"/>
              </w:rPr>
              <w:t>Moisture Allowance</w:t>
            </w:r>
            <w:r w:rsidRPr="002D3213">
              <w:rPr>
                <w:rFonts w:eastAsia="Times New Roman"/>
                <w:b/>
                <w:strike/>
                <w:color w:val="000000"/>
                <w:szCs w:val="20"/>
                <w:lang w:val="x-none" w:eastAsia="x-none"/>
              </w:rPr>
              <w:t xml:space="preserve">s </w:t>
            </w:r>
            <w:r w:rsidRPr="002D3213">
              <w:rPr>
                <w:rFonts w:eastAsia="Times New Roman"/>
                <w:b/>
                <w:color w:val="000000"/>
                <w:szCs w:val="20"/>
                <w:u w:val="single"/>
                <w:lang w:val="x-none" w:eastAsia="x-none"/>
              </w:rPr>
              <w:t>Considerations</w:t>
            </w:r>
            <w:r w:rsidRPr="002D3213">
              <w:rPr>
                <w:rFonts w:eastAsia="Times New Roman"/>
                <w:b/>
                <w:color w:val="000000"/>
                <w:szCs w:val="20"/>
                <w:lang w:val="x-none" w:eastAsia="x-none"/>
              </w:rPr>
              <w:fldChar w:fldCharType="begin"/>
            </w:r>
            <w:r w:rsidRPr="002D3213">
              <w:rPr>
                <w:rFonts w:eastAsia="Times New Roman"/>
                <w:b/>
                <w:color w:val="000000"/>
                <w:szCs w:val="20"/>
                <w:lang w:val="x-none" w:eastAsia="x-none"/>
              </w:rPr>
              <w:instrText xml:space="preserve"> XE "Moisture Allowances" </w:instrText>
            </w:r>
            <w:r w:rsidRPr="002D3213">
              <w:rPr>
                <w:rFonts w:eastAsia="Times New Roman"/>
                <w:b/>
                <w:color w:val="000000"/>
                <w:szCs w:val="20"/>
                <w:lang w:val="x-none" w:eastAsia="x-none"/>
              </w:rPr>
              <w:fldChar w:fldCharType="end"/>
            </w:r>
          </w:p>
        </w:tc>
      </w:tr>
      <w:tr w:rsidR="002D3213" w:rsidRPr="002D3213" w14:paraId="7785AF3B" w14:textId="77777777" w:rsidTr="00A906A7">
        <w:trPr>
          <w:trHeight w:val="675"/>
        </w:trPr>
        <w:tc>
          <w:tcPr>
            <w:tcW w:w="2160" w:type="dxa"/>
            <w:tcBorders>
              <w:top w:val="double" w:sz="6" w:space="0" w:color="auto"/>
              <w:bottom w:val="double" w:sz="6" w:space="0" w:color="auto"/>
            </w:tcBorders>
            <w:vAlign w:val="center"/>
          </w:tcPr>
          <w:p w14:paraId="0AD7FC4F" w14:textId="77777777" w:rsidR="002D3213" w:rsidRPr="002D3213" w:rsidRDefault="002D3213" w:rsidP="002D3213">
            <w:pPr>
              <w:keepNext/>
              <w:keepLines/>
              <w:autoSpaceDE w:val="0"/>
              <w:spacing w:after="0"/>
              <w:jc w:val="center"/>
              <w:rPr>
                <w:rFonts w:eastAsia="Times New Roman"/>
                <w:b/>
                <w:color w:val="000000"/>
                <w:szCs w:val="20"/>
                <w:u w:val="single"/>
              </w:rPr>
            </w:pPr>
            <w:r w:rsidRPr="002D3213">
              <w:rPr>
                <w:rFonts w:eastAsia="Times New Roman"/>
                <w:b/>
                <w:color w:val="000000"/>
                <w:szCs w:val="20"/>
              </w:rPr>
              <w:t>Verifying the labeled net weight of packages of:</w:t>
            </w:r>
          </w:p>
        </w:tc>
        <w:tc>
          <w:tcPr>
            <w:tcW w:w="1710" w:type="dxa"/>
            <w:tcBorders>
              <w:top w:val="double" w:sz="6" w:space="0" w:color="auto"/>
              <w:bottom w:val="double" w:sz="6" w:space="0" w:color="auto"/>
            </w:tcBorders>
            <w:vAlign w:val="center"/>
          </w:tcPr>
          <w:p w14:paraId="1AF70DEF" w14:textId="77777777" w:rsidR="002D3213" w:rsidRPr="002D3213" w:rsidRDefault="002D3213" w:rsidP="002D3213">
            <w:pPr>
              <w:keepNext/>
              <w:keepLines/>
              <w:autoSpaceDE w:val="0"/>
              <w:spacing w:after="0"/>
              <w:jc w:val="center"/>
              <w:rPr>
                <w:rFonts w:eastAsia="Times New Roman"/>
                <w:b/>
                <w:color w:val="000000"/>
                <w:szCs w:val="20"/>
              </w:rPr>
            </w:pPr>
            <w:r w:rsidRPr="002D3213">
              <w:rPr>
                <w:rFonts w:eastAsia="Times New Roman"/>
                <w:b/>
                <w:color w:val="000000"/>
                <w:szCs w:val="20"/>
              </w:rPr>
              <w:t xml:space="preserve">Moisture Allowance </w:t>
            </w:r>
            <w:r w:rsidRPr="002D3213">
              <w:rPr>
                <w:rFonts w:eastAsia="Times New Roman"/>
                <w:b/>
                <w:color w:val="000000"/>
                <w:szCs w:val="20"/>
                <w:u w:val="single"/>
              </w:rPr>
              <w:t xml:space="preserve">Consideration </w:t>
            </w:r>
            <w:r w:rsidRPr="002D3213">
              <w:rPr>
                <w:rFonts w:eastAsia="Times New Roman"/>
                <w:b/>
                <w:color w:val="000000"/>
                <w:szCs w:val="20"/>
              </w:rPr>
              <w:t>is:</w:t>
            </w:r>
          </w:p>
        </w:tc>
        <w:tc>
          <w:tcPr>
            <w:tcW w:w="5490" w:type="dxa"/>
            <w:tcBorders>
              <w:top w:val="double" w:sz="6" w:space="0" w:color="auto"/>
              <w:bottom w:val="double" w:sz="6" w:space="0" w:color="auto"/>
            </w:tcBorders>
            <w:vAlign w:val="center"/>
          </w:tcPr>
          <w:p w14:paraId="12DE5C40" w14:textId="77777777" w:rsidR="002D3213" w:rsidRPr="002D3213" w:rsidRDefault="002D3213" w:rsidP="002D3213">
            <w:pPr>
              <w:keepNext/>
              <w:keepLines/>
              <w:autoSpaceDE w:val="0"/>
              <w:spacing w:after="0"/>
              <w:jc w:val="center"/>
              <w:rPr>
                <w:rFonts w:eastAsia="Times New Roman"/>
                <w:b/>
                <w:color w:val="000000"/>
                <w:szCs w:val="20"/>
              </w:rPr>
            </w:pPr>
            <w:r w:rsidRPr="002D3213">
              <w:rPr>
                <w:rFonts w:eastAsia="Times New Roman"/>
                <w:b/>
                <w:color w:val="000000"/>
                <w:szCs w:val="20"/>
              </w:rPr>
              <w:t>Notes</w:t>
            </w:r>
          </w:p>
        </w:tc>
      </w:tr>
      <w:tr w:rsidR="002D3213" w:rsidRPr="002D3213" w14:paraId="6AFC056E" w14:textId="77777777" w:rsidTr="00A906A7">
        <w:trPr>
          <w:trHeight w:val="164"/>
        </w:trPr>
        <w:tc>
          <w:tcPr>
            <w:tcW w:w="2160" w:type="dxa"/>
            <w:tcBorders>
              <w:top w:val="double" w:sz="6" w:space="0" w:color="auto"/>
            </w:tcBorders>
            <w:vAlign w:val="center"/>
          </w:tcPr>
          <w:p w14:paraId="5EA05C2C"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Flour</w:t>
            </w:r>
          </w:p>
        </w:tc>
        <w:tc>
          <w:tcPr>
            <w:tcW w:w="1710" w:type="dxa"/>
            <w:tcBorders>
              <w:top w:val="double" w:sz="6" w:space="0" w:color="auto"/>
            </w:tcBorders>
            <w:vAlign w:val="center"/>
          </w:tcPr>
          <w:p w14:paraId="48FCF9FF"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3 %</w:t>
            </w:r>
          </w:p>
        </w:tc>
        <w:tc>
          <w:tcPr>
            <w:tcW w:w="5490" w:type="dxa"/>
            <w:tcBorders>
              <w:top w:val="double" w:sz="6" w:space="0" w:color="auto"/>
            </w:tcBorders>
            <w:vAlign w:val="center"/>
          </w:tcPr>
          <w:p w14:paraId="2C0F88B3" w14:textId="77777777" w:rsidR="002D3213" w:rsidRPr="002D3213" w:rsidRDefault="002D3213" w:rsidP="002D3213">
            <w:pPr>
              <w:keepNext/>
              <w:keepLines/>
              <w:spacing w:before="20" w:after="20"/>
              <w:jc w:val="center"/>
              <w:rPr>
                <w:rFonts w:eastAsia="Times New Roman"/>
                <w:b/>
                <w:color w:val="000000"/>
                <w:szCs w:val="20"/>
                <w:u w:val="single"/>
              </w:rPr>
            </w:pPr>
          </w:p>
        </w:tc>
      </w:tr>
      <w:tr w:rsidR="002D3213" w:rsidRPr="002D3213" w14:paraId="69D95BED" w14:textId="77777777" w:rsidTr="00A906A7">
        <w:tc>
          <w:tcPr>
            <w:tcW w:w="2160" w:type="dxa"/>
            <w:vAlign w:val="center"/>
          </w:tcPr>
          <w:p w14:paraId="616934F6"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Dry pet food</w:t>
            </w:r>
            <w:r w:rsidRPr="002D3213">
              <w:rPr>
                <w:rFonts w:eastAsia="Times New Roman"/>
                <w:color w:val="000000"/>
                <w:szCs w:val="20"/>
              </w:rPr>
              <w:fldChar w:fldCharType="begin"/>
            </w:r>
            <w:r w:rsidRPr="002D3213">
              <w:rPr>
                <w:rFonts w:eastAsia="Times New Roman"/>
                <w:color w:val="000000"/>
                <w:szCs w:val="20"/>
              </w:rPr>
              <w:instrText xml:space="preserve"> XE "Pet Food" </w:instrText>
            </w:r>
            <w:r w:rsidRPr="002D3213">
              <w:rPr>
                <w:rFonts w:eastAsia="Times New Roman"/>
                <w:color w:val="000000"/>
                <w:szCs w:val="20"/>
              </w:rPr>
              <w:fldChar w:fldCharType="end"/>
            </w:r>
          </w:p>
        </w:tc>
        <w:tc>
          <w:tcPr>
            <w:tcW w:w="1710" w:type="dxa"/>
            <w:vAlign w:val="center"/>
          </w:tcPr>
          <w:p w14:paraId="1C219FB4"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3 %</w:t>
            </w:r>
          </w:p>
        </w:tc>
        <w:tc>
          <w:tcPr>
            <w:tcW w:w="5490" w:type="dxa"/>
            <w:vAlign w:val="center"/>
          </w:tcPr>
          <w:p w14:paraId="50F88A2A" w14:textId="77777777" w:rsidR="002D3213" w:rsidRPr="002D3213" w:rsidRDefault="002D3213" w:rsidP="002D3213">
            <w:pPr>
              <w:keepNext/>
              <w:keepLines/>
              <w:spacing w:before="20" w:after="20"/>
              <w:jc w:val="left"/>
              <w:rPr>
                <w:rFonts w:eastAsia="Times New Roman"/>
                <w:color w:val="000000"/>
                <w:szCs w:val="20"/>
              </w:rPr>
            </w:pPr>
            <w:r w:rsidRPr="002D3213">
              <w:rPr>
                <w:rFonts w:eastAsia="Times New Roman"/>
                <w:color w:val="000000"/>
                <w:szCs w:val="20"/>
              </w:rPr>
              <w:t>Dry pet food means all extruded dog and cat foods and baked treats packaged in Kraft paper bags and/or cardboard boxes with a moisture content of 13 % or less at time of pack.</w:t>
            </w:r>
          </w:p>
        </w:tc>
      </w:tr>
      <w:tr w:rsidR="002D3213" w:rsidRPr="002D3213" w14:paraId="709C49B0" w14:textId="77777777" w:rsidTr="00A906A7">
        <w:trPr>
          <w:trHeight w:val="860"/>
        </w:trPr>
        <w:tc>
          <w:tcPr>
            <w:tcW w:w="2160" w:type="dxa"/>
            <w:vAlign w:val="center"/>
          </w:tcPr>
          <w:p w14:paraId="52A877CD"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Pasta products</w:t>
            </w:r>
            <w:r w:rsidRPr="002D3213">
              <w:rPr>
                <w:rFonts w:eastAsia="Times New Roman"/>
                <w:color w:val="000000"/>
                <w:szCs w:val="20"/>
              </w:rPr>
              <w:fldChar w:fldCharType="begin"/>
            </w:r>
            <w:r w:rsidRPr="002D3213">
              <w:rPr>
                <w:rFonts w:eastAsia="Times New Roman"/>
                <w:color w:val="000000"/>
                <w:szCs w:val="20"/>
              </w:rPr>
              <w:instrText xml:space="preserve"> XE "Pasta Products" </w:instrText>
            </w:r>
            <w:r w:rsidRPr="002D3213">
              <w:rPr>
                <w:rFonts w:eastAsia="Times New Roman"/>
                <w:color w:val="000000"/>
                <w:szCs w:val="20"/>
              </w:rPr>
              <w:fldChar w:fldCharType="end"/>
            </w:r>
          </w:p>
        </w:tc>
        <w:tc>
          <w:tcPr>
            <w:tcW w:w="1710" w:type="dxa"/>
            <w:vAlign w:val="center"/>
          </w:tcPr>
          <w:p w14:paraId="2408D21C"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3 %</w:t>
            </w:r>
          </w:p>
        </w:tc>
        <w:tc>
          <w:tcPr>
            <w:tcW w:w="5490" w:type="dxa"/>
            <w:vAlign w:val="center"/>
          </w:tcPr>
          <w:p w14:paraId="01713F76" w14:textId="77777777" w:rsidR="002D3213" w:rsidRPr="002D3213" w:rsidRDefault="002D3213" w:rsidP="002D3213">
            <w:pPr>
              <w:keepNext/>
              <w:keepLines/>
              <w:spacing w:before="20" w:after="20"/>
              <w:jc w:val="left"/>
              <w:rPr>
                <w:rFonts w:eastAsia="Times New Roman"/>
                <w:color w:val="000000"/>
                <w:szCs w:val="20"/>
              </w:rPr>
            </w:pPr>
            <w:r w:rsidRPr="002D3213">
              <w:rPr>
                <w:rFonts w:eastAsia="Times New Roman"/>
                <w:color w:val="000000"/>
                <w:szCs w:val="20"/>
              </w:rPr>
              <w:t xml:space="preserve">Pasta products </w:t>
            </w:r>
            <w:proofErr w:type="gramStart"/>
            <w:r w:rsidRPr="002D3213">
              <w:rPr>
                <w:rFonts w:eastAsia="Times New Roman"/>
                <w:color w:val="000000"/>
                <w:szCs w:val="20"/>
              </w:rPr>
              <w:t>means</w:t>
            </w:r>
            <w:proofErr w:type="gramEnd"/>
            <w:r w:rsidRPr="002D3213">
              <w:rPr>
                <w:rFonts w:eastAsia="Times New Roman"/>
                <w:color w:val="000000"/>
                <w:szCs w:val="20"/>
              </w:rPr>
              <w:t xml:space="preserve"> all macaroni, </w:t>
            </w:r>
            <w:proofErr w:type="gramStart"/>
            <w:r w:rsidRPr="002D3213">
              <w:rPr>
                <w:rFonts w:eastAsia="Times New Roman"/>
                <w:color w:val="000000"/>
                <w:szCs w:val="20"/>
              </w:rPr>
              <w:t>noodle</w:t>
            </w:r>
            <w:proofErr w:type="gramEnd"/>
            <w:r w:rsidRPr="002D3213">
              <w:rPr>
                <w:rFonts w:eastAsia="Times New Roman"/>
                <w:color w:val="000000"/>
                <w:szCs w:val="20"/>
              </w:rPr>
              <w:t>, and like products packaged in kraft paper bags, paperboard cartons, and/or flexible plastic bags with a moisture content of 13 % or less at the time of pack.</w:t>
            </w:r>
          </w:p>
        </w:tc>
      </w:tr>
      <w:tr w:rsidR="002D3213" w:rsidRPr="002D3213" w14:paraId="3DD82F46" w14:textId="77777777" w:rsidTr="00A906A7">
        <w:trPr>
          <w:trHeight w:val="239"/>
        </w:trPr>
        <w:tc>
          <w:tcPr>
            <w:tcW w:w="2160" w:type="dxa"/>
            <w:tcBorders>
              <w:bottom w:val="double" w:sz="6" w:space="0" w:color="auto"/>
            </w:tcBorders>
            <w:vAlign w:val="center"/>
          </w:tcPr>
          <w:p w14:paraId="36C3CB24"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Borax</w:t>
            </w:r>
          </w:p>
        </w:tc>
        <w:tc>
          <w:tcPr>
            <w:tcW w:w="1710" w:type="dxa"/>
            <w:tcBorders>
              <w:bottom w:val="double" w:sz="6" w:space="0" w:color="auto"/>
            </w:tcBorders>
            <w:vAlign w:val="center"/>
          </w:tcPr>
          <w:p w14:paraId="1055002B"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see Section </w:t>
            </w:r>
          </w:p>
          <w:p w14:paraId="27F42E2A"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2.4. Borax</w:t>
            </w:r>
          </w:p>
        </w:tc>
        <w:tc>
          <w:tcPr>
            <w:tcW w:w="5490" w:type="dxa"/>
            <w:tcBorders>
              <w:bottom w:val="double" w:sz="6" w:space="0" w:color="auto"/>
            </w:tcBorders>
            <w:vAlign w:val="center"/>
          </w:tcPr>
          <w:p w14:paraId="5D9BD21B" w14:textId="77777777" w:rsidR="002D3213" w:rsidRPr="002D3213" w:rsidRDefault="002D3213" w:rsidP="002D3213">
            <w:pPr>
              <w:keepNext/>
              <w:keepLines/>
              <w:spacing w:before="20" w:after="20"/>
              <w:jc w:val="center"/>
              <w:rPr>
                <w:rFonts w:eastAsia="Times New Roman"/>
                <w:b/>
                <w:color w:val="000000"/>
                <w:szCs w:val="20"/>
                <w:u w:val="single"/>
              </w:rPr>
            </w:pPr>
          </w:p>
        </w:tc>
      </w:tr>
      <w:tr w:rsidR="002D3213" w:rsidRPr="002D3213" w14:paraId="4F9ACA60" w14:textId="77777777" w:rsidTr="00A906A7">
        <w:trPr>
          <w:trHeight w:val="239"/>
        </w:trPr>
        <w:tc>
          <w:tcPr>
            <w:tcW w:w="2160" w:type="dxa"/>
            <w:tcBorders>
              <w:bottom w:val="double" w:sz="6" w:space="0" w:color="auto"/>
            </w:tcBorders>
            <w:vAlign w:val="center"/>
          </w:tcPr>
          <w:p w14:paraId="299A65A0" w14:textId="77777777" w:rsidR="002D3213" w:rsidRPr="002D3213" w:rsidRDefault="002D3213" w:rsidP="002D3213">
            <w:pPr>
              <w:keepNext/>
              <w:keepLines/>
              <w:spacing w:before="20" w:after="20"/>
              <w:jc w:val="center"/>
              <w:rPr>
                <w:rFonts w:eastAsia="Times New Roman"/>
                <w:i/>
                <w:iCs/>
                <w:color w:val="000000"/>
                <w:szCs w:val="20"/>
              </w:rPr>
            </w:pPr>
            <w:r w:rsidRPr="002D3213">
              <w:rPr>
                <w:rFonts w:eastAsia="Times New Roman"/>
                <w:i/>
                <w:iCs/>
                <w:color w:val="000000"/>
                <w:szCs w:val="20"/>
              </w:rPr>
              <w:t>Cannabis</w:t>
            </w:r>
          </w:p>
        </w:tc>
        <w:tc>
          <w:tcPr>
            <w:tcW w:w="1710" w:type="dxa"/>
            <w:tcBorders>
              <w:bottom w:val="double" w:sz="6" w:space="0" w:color="auto"/>
            </w:tcBorders>
            <w:vAlign w:val="center"/>
          </w:tcPr>
          <w:p w14:paraId="233972C2"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3 %</w:t>
            </w:r>
          </w:p>
        </w:tc>
        <w:tc>
          <w:tcPr>
            <w:tcW w:w="5490" w:type="dxa"/>
            <w:tcBorders>
              <w:bottom w:val="double" w:sz="6" w:space="0" w:color="auto"/>
            </w:tcBorders>
            <w:vAlign w:val="center"/>
          </w:tcPr>
          <w:p w14:paraId="6DF448D3" w14:textId="77777777" w:rsidR="002D3213" w:rsidRPr="002D3213" w:rsidRDefault="002D3213" w:rsidP="002D3213">
            <w:pPr>
              <w:keepNext/>
              <w:keepLines/>
              <w:spacing w:before="20" w:after="20"/>
              <w:jc w:val="left"/>
              <w:rPr>
                <w:rFonts w:eastAsia="Times New Roman"/>
                <w:color w:val="000000"/>
                <w:szCs w:val="20"/>
              </w:rPr>
            </w:pPr>
            <w:r w:rsidRPr="002D3213">
              <w:rPr>
                <w:rFonts w:eastAsia="Times New Roman"/>
                <w:i/>
                <w:iCs/>
                <w:color w:val="000000"/>
                <w:szCs w:val="20"/>
              </w:rPr>
              <w:t>Cannabis</w:t>
            </w:r>
            <w:r w:rsidRPr="002D3213">
              <w:rPr>
                <w:rFonts w:eastAsia="Times New Roman"/>
                <w:color w:val="000000"/>
                <w:szCs w:val="20"/>
              </w:rPr>
              <w:t xml:space="preserve"> means plant material only, and not products containing </w:t>
            </w:r>
            <w:r w:rsidRPr="002D3213">
              <w:rPr>
                <w:rFonts w:eastAsia="Times New Roman"/>
                <w:i/>
                <w:iCs/>
                <w:color w:val="000000"/>
                <w:szCs w:val="20"/>
              </w:rPr>
              <w:t>Cannabis</w:t>
            </w:r>
            <w:r w:rsidRPr="002D3213">
              <w:rPr>
                <w:rFonts w:eastAsia="Times New Roman"/>
                <w:color w:val="000000"/>
                <w:szCs w:val="20"/>
              </w:rPr>
              <w:t>, whether containing more than 0.3 % Total Delta-9 THC (also known as cannabis, Marijuana, or Marihuana) or containing 0.3 % or less Total Delta-9 THC (also known as Hemp).</w:t>
            </w:r>
          </w:p>
        </w:tc>
      </w:tr>
      <w:tr w:rsidR="002D3213" w:rsidRPr="002D3213" w14:paraId="7E828E6C" w14:textId="77777777" w:rsidTr="00A906A7">
        <w:trPr>
          <w:trHeight w:val="299"/>
        </w:trPr>
        <w:tc>
          <w:tcPr>
            <w:tcW w:w="9360" w:type="dxa"/>
            <w:gridSpan w:val="3"/>
            <w:tcBorders>
              <w:top w:val="double" w:sz="6" w:space="0" w:color="auto"/>
              <w:bottom w:val="double" w:sz="6" w:space="0" w:color="auto"/>
            </w:tcBorders>
            <w:vAlign w:val="center"/>
          </w:tcPr>
          <w:p w14:paraId="0052AB4E" w14:textId="77777777" w:rsidR="002D3213" w:rsidRPr="002D3213" w:rsidRDefault="002D3213" w:rsidP="002D3213">
            <w:pPr>
              <w:keepNext/>
              <w:spacing w:after="0"/>
              <w:jc w:val="center"/>
              <w:rPr>
                <w:rFonts w:eastAsia="Times New Roman"/>
                <w:b/>
                <w:bCs/>
                <w:color w:val="000000"/>
                <w:szCs w:val="20"/>
              </w:rPr>
            </w:pPr>
            <w:r w:rsidRPr="002D3213">
              <w:rPr>
                <w:rFonts w:eastAsia="Times New Roman"/>
                <w:b/>
                <w:bCs/>
                <w:color w:val="000000"/>
                <w:szCs w:val="20"/>
              </w:rPr>
              <w:t>Wet Tare Only</w:t>
            </w:r>
            <w:r w:rsidRPr="002D3213">
              <w:rPr>
                <w:rFonts w:eastAsia="Times New Roman"/>
                <w:b/>
                <w:bCs/>
                <w:color w:val="000000"/>
                <w:szCs w:val="20"/>
                <w:vertAlign w:val="superscript"/>
              </w:rPr>
              <w:t>1</w:t>
            </w:r>
            <w:r w:rsidRPr="002D3213">
              <w:rPr>
                <w:rFonts w:eastAsia="Times New Roman"/>
                <w:b/>
                <w:bCs/>
                <w:color w:val="000000"/>
                <w:szCs w:val="20"/>
                <w:vertAlign w:val="superscript"/>
              </w:rPr>
              <w:fldChar w:fldCharType="begin"/>
            </w:r>
            <w:r w:rsidRPr="002D3213">
              <w:rPr>
                <w:rFonts w:eastAsia="Times New Roman"/>
                <w:color w:val="000000"/>
                <w:szCs w:val="20"/>
              </w:rPr>
              <w:instrText xml:space="preserve"> XE "Moisture Allowance:Wet Tare" </w:instrText>
            </w:r>
            <w:r w:rsidRPr="002D3213">
              <w:rPr>
                <w:rFonts w:eastAsia="Times New Roman"/>
                <w:b/>
                <w:bCs/>
                <w:color w:val="000000"/>
                <w:szCs w:val="20"/>
                <w:vertAlign w:val="superscript"/>
              </w:rPr>
              <w:fldChar w:fldCharType="end"/>
            </w:r>
          </w:p>
        </w:tc>
      </w:tr>
      <w:tr w:rsidR="002D3213" w:rsidRPr="002D3213" w14:paraId="53FDE58C" w14:textId="77777777" w:rsidTr="00A906A7">
        <w:trPr>
          <w:trHeight w:val="680"/>
        </w:trPr>
        <w:tc>
          <w:tcPr>
            <w:tcW w:w="2160" w:type="dxa"/>
            <w:vAlign w:val="center"/>
          </w:tcPr>
          <w:p w14:paraId="719EC330"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Fresh poultry</w:t>
            </w:r>
          </w:p>
        </w:tc>
        <w:tc>
          <w:tcPr>
            <w:tcW w:w="1710" w:type="dxa"/>
            <w:vAlign w:val="center"/>
          </w:tcPr>
          <w:p w14:paraId="72B2FDB3"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3 %</w:t>
            </w:r>
          </w:p>
        </w:tc>
        <w:tc>
          <w:tcPr>
            <w:tcW w:w="5490" w:type="dxa"/>
            <w:vAlign w:val="center"/>
          </w:tcPr>
          <w:p w14:paraId="57BBA035" w14:textId="77777777" w:rsidR="002D3213" w:rsidRPr="002D3213" w:rsidRDefault="002D3213" w:rsidP="002D3213">
            <w:pPr>
              <w:keepNext/>
              <w:keepLines/>
              <w:spacing w:before="20" w:after="20"/>
              <w:jc w:val="left"/>
              <w:rPr>
                <w:rFonts w:eastAsia="Times New Roman"/>
                <w:color w:val="000000"/>
                <w:szCs w:val="20"/>
              </w:rPr>
            </w:pPr>
            <w:r w:rsidRPr="002D3213">
              <w:rPr>
                <w:rFonts w:eastAsia="Times New Roman"/>
                <w:color w:val="000000"/>
                <w:szCs w:val="20"/>
              </w:rPr>
              <w:t>Fresh poultry is defined as poultry above a temperature of − 3 °C (26 °F) that yields or gives when pushed with the thumb.</w:t>
            </w:r>
          </w:p>
        </w:tc>
      </w:tr>
      <w:tr w:rsidR="002D3213" w:rsidRPr="002D3213" w14:paraId="20B9A3FD" w14:textId="77777777" w:rsidTr="00A906A7">
        <w:trPr>
          <w:trHeight w:val="230"/>
        </w:trPr>
        <w:tc>
          <w:tcPr>
            <w:tcW w:w="2160" w:type="dxa"/>
            <w:vAlign w:val="center"/>
          </w:tcPr>
          <w:p w14:paraId="4E5C12F6"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Franks or hot dogs</w:t>
            </w:r>
          </w:p>
        </w:tc>
        <w:tc>
          <w:tcPr>
            <w:tcW w:w="1710" w:type="dxa"/>
            <w:vAlign w:val="center"/>
          </w:tcPr>
          <w:p w14:paraId="3D503ECF"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2.5 %</w:t>
            </w:r>
          </w:p>
        </w:tc>
        <w:tc>
          <w:tcPr>
            <w:tcW w:w="5490" w:type="dxa"/>
            <w:vAlign w:val="center"/>
          </w:tcPr>
          <w:p w14:paraId="4A866410" w14:textId="77777777" w:rsidR="002D3213" w:rsidRPr="002D3213" w:rsidRDefault="002D3213" w:rsidP="002D3213">
            <w:pPr>
              <w:keepNext/>
              <w:spacing w:after="0"/>
              <w:rPr>
                <w:rFonts w:eastAsia="Times New Roman"/>
                <w:b/>
                <w:bCs/>
                <w:color w:val="000000"/>
                <w:szCs w:val="20"/>
                <w:u w:val="single"/>
              </w:rPr>
            </w:pPr>
          </w:p>
        </w:tc>
      </w:tr>
      <w:tr w:rsidR="002D3213" w:rsidRPr="002D3213" w14:paraId="1795717B" w14:textId="77777777" w:rsidTr="00A906A7">
        <w:trPr>
          <w:trHeight w:val="2939"/>
        </w:trPr>
        <w:tc>
          <w:tcPr>
            <w:tcW w:w="2160" w:type="dxa"/>
            <w:tcBorders>
              <w:bottom w:val="single" w:sz="6" w:space="0" w:color="auto"/>
            </w:tcBorders>
            <w:vAlign w:val="center"/>
          </w:tcPr>
          <w:p w14:paraId="0CD4E326"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Bacon, fresh sausage, and luncheon meats</w:t>
            </w:r>
          </w:p>
        </w:tc>
        <w:tc>
          <w:tcPr>
            <w:tcW w:w="1710" w:type="dxa"/>
            <w:tcBorders>
              <w:bottom w:val="single" w:sz="6" w:space="0" w:color="auto"/>
            </w:tcBorders>
            <w:vAlign w:val="center"/>
          </w:tcPr>
          <w:p w14:paraId="5E1AF228" w14:textId="77777777" w:rsidR="002D3213" w:rsidRPr="002D3213" w:rsidRDefault="002D3213" w:rsidP="002D3213">
            <w:pPr>
              <w:keepNext/>
              <w:keepLines/>
              <w:spacing w:before="20" w:after="20"/>
              <w:jc w:val="center"/>
              <w:rPr>
                <w:rFonts w:eastAsia="Times New Roman"/>
                <w:color w:val="000000"/>
                <w:szCs w:val="20"/>
              </w:rPr>
            </w:pPr>
            <w:r w:rsidRPr="002D3213">
              <w:rPr>
                <w:rFonts w:eastAsia="Times New Roman"/>
                <w:color w:val="000000"/>
                <w:szCs w:val="20"/>
              </w:rPr>
              <w:t>0 %</w:t>
            </w:r>
          </w:p>
        </w:tc>
        <w:tc>
          <w:tcPr>
            <w:tcW w:w="5490" w:type="dxa"/>
            <w:tcBorders>
              <w:bottom w:val="single" w:sz="6" w:space="0" w:color="auto"/>
            </w:tcBorders>
            <w:vAlign w:val="center"/>
          </w:tcPr>
          <w:p w14:paraId="4AC8E211" w14:textId="77777777" w:rsidR="002D3213" w:rsidRPr="002D3213" w:rsidRDefault="002D3213" w:rsidP="002D3213">
            <w:pPr>
              <w:keepNext/>
              <w:keepLines/>
              <w:spacing w:before="20" w:after="20"/>
              <w:jc w:val="left"/>
              <w:rPr>
                <w:rFonts w:eastAsia="Times New Roman"/>
                <w:color w:val="000000"/>
                <w:szCs w:val="20"/>
              </w:rPr>
            </w:pPr>
            <w:r w:rsidRPr="002D3213">
              <w:rPr>
                <w:rFonts w:eastAsia="Times New Roman"/>
                <w:color w:val="000000"/>
                <w:szCs w:val="20"/>
              </w:rPr>
              <w:t xml:space="preserve">For packages of bacon, fresh sausage, and luncheon meats, there is no moisture allowance </w:t>
            </w:r>
            <w:r w:rsidRPr="002D3213">
              <w:rPr>
                <w:rFonts w:eastAsia="Times New Roman"/>
                <w:b/>
                <w:bCs/>
                <w:color w:val="000000"/>
                <w:szCs w:val="20"/>
                <w:u w:val="single"/>
              </w:rPr>
              <w:t xml:space="preserve">consideration </w:t>
            </w:r>
            <w:r w:rsidRPr="002D3213">
              <w:rPr>
                <w:rFonts w:eastAsia="Times New Roman"/>
                <w:color w:val="000000"/>
                <w:szCs w:val="20"/>
              </w:rPr>
              <w:t xml:space="preserve">if there is no free-flowing liquid or absorbent material in contact with the product and the package is cleaned of clinging material.  Luncheon meats are any cooked sausage product, loaves, jellied products, cured products, and any sliced sandwich-style meat.  This does not include whole hams, briskets, roasts, turkeys, or chickens requiring further preparation to be made into ready-to-eat sliced </w:t>
            </w:r>
            <w:proofErr w:type="gramStart"/>
            <w:r w:rsidRPr="002D3213">
              <w:rPr>
                <w:rFonts w:eastAsia="Times New Roman"/>
                <w:color w:val="000000"/>
                <w:szCs w:val="20"/>
              </w:rPr>
              <w:t>product</w:t>
            </w:r>
            <w:proofErr w:type="gramEnd"/>
            <w:r w:rsidRPr="002D3213">
              <w:rPr>
                <w:rFonts w:eastAsia="Times New Roman"/>
                <w:color w:val="000000"/>
                <w:szCs w:val="20"/>
              </w:rPr>
              <w:t>.  When there is no free-flowing liquid inside the package and there are no absorbent materials in contact with the product, Wet Tare and Used Dried Tare are equivalent.</w:t>
            </w:r>
          </w:p>
        </w:tc>
      </w:tr>
      <w:tr w:rsidR="002D3213" w:rsidRPr="002D3213" w14:paraId="3F58C53A" w14:textId="77777777" w:rsidTr="00A906A7">
        <w:trPr>
          <w:trHeight w:val="707"/>
        </w:trPr>
        <w:tc>
          <w:tcPr>
            <w:tcW w:w="9360" w:type="dxa"/>
            <w:gridSpan w:val="3"/>
            <w:tcBorders>
              <w:top w:val="single" w:sz="6" w:space="0" w:color="auto"/>
              <w:bottom w:val="double" w:sz="4" w:space="0" w:color="auto"/>
            </w:tcBorders>
            <w:vAlign w:val="center"/>
          </w:tcPr>
          <w:p w14:paraId="5B2F4436" w14:textId="77777777" w:rsidR="002D3213" w:rsidRPr="002D3213" w:rsidRDefault="002D3213" w:rsidP="002D3213">
            <w:pPr>
              <w:keepNext/>
              <w:keepLines/>
              <w:autoSpaceDE w:val="0"/>
              <w:spacing w:after="0"/>
              <w:rPr>
                <w:rFonts w:eastAsia="Times New Roman"/>
                <w:color w:val="000000"/>
                <w:szCs w:val="20"/>
              </w:rPr>
            </w:pPr>
            <w:r w:rsidRPr="002D3213">
              <w:rPr>
                <w:rFonts w:eastAsia="Times New Roman"/>
                <w:b/>
                <w:color w:val="000000"/>
                <w:szCs w:val="20"/>
                <w:vertAlign w:val="superscript"/>
              </w:rPr>
              <w:t xml:space="preserve">1 </w:t>
            </w:r>
            <w:r w:rsidRPr="002D3213">
              <w:rPr>
                <w:rFonts w:eastAsia="Times New Roman"/>
                <w:color w:val="000000"/>
                <w:szCs w:val="20"/>
              </w:rPr>
              <w:t>Wet tare procedures must not be used to verify the labeled net weight of packages of meat and poultry packed at an official United States Department</w:t>
            </w:r>
            <w:r w:rsidRPr="002D3213">
              <w:rPr>
                <w:rFonts w:eastAsia="Times New Roman"/>
                <w:bCs/>
                <w:color w:val="000000"/>
                <w:szCs w:val="20"/>
              </w:rPr>
              <w:t xml:space="preserve"> of Agriculture (USDA) facility and bearing a USDA seal of inspectio</w:t>
            </w:r>
            <w:r w:rsidRPr="002D3213">
              <w:rPr>
                <w:rFonts w:eastAsia="Times New Roman"/>
                <w:color w:val="000000"/>
                <w:szCs w:val="20"/>
              </w:rPr>
              <w:t>n.  The Food Safety and Inspection Service (FSIS) adopted specific sections of the 2005 4</w:t>
            </w:r>
            <w:r w:rsidRPr="002D3213">
              <w:rPr>
                <w:rFonts w:eastAsia="Times New Roman"/>
                <w:color w:val="000000"/>
                <w:szCs w:val="20"/>
                <w:vertAlign w:val="superscript"/>
              </w:rPr>
              <w:t>th</w:t>
            </w:r>
            <w:r w:rsidRPr="002D3213">
              <w:rPr>
                <w:rFonts w:eastAsia="Times New Roman"/>
                <w:color w:val="000000"/>
                <w:szCs w:val="20"/>
              </w:rPr>
              <w:t> edition of NIST Handbook 133 by reference in 2008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2D3213">
              <w:rPr>
                <w:rFonts w:eastAsia="Times New Roman"/>
                <w:color w:val="000000"/>
                <w:szCs w:val="20"/>
              </w:rPr>
              <w:noBreakHyphen/>
              <w:t>52193]).</w:t>
            </w:r>
          </w:p>
        </w:tc>
      </w:tr>
      <w:tr w:rsidR="002D3213" w:rsidRPr="002D3213" w14:paraId="6E118229" w14:textId="77777777" w:rsidTr="00A906A7">
        <w:trPr>
          <w:trHeight w:val="707"/>
        </w:trPr>
        <w:tc>
          <w:tcPr>
            <w:tcW w:w="9360" w:type="dxa"/>
            <w:gridSpan w:val="3"/>
            <w:tcBorders>
              <w:top w:val="nil"/>
              <w:bottom w:val="double" w:sz="6" w:space="0" w:color="auto"/>
            </w:tcBorders>
            <w:vAlign w:val="center"/>
          </w:tcPr>
          <w:p w14:paraId="4B931457" w14:textId="77777777" w:rsidR="002D3213" w:rsidRPr="002D3213" w:rsidRDefault="002D3213" w:rsidP="002D3213">
            <w:pPr>
              <w:spacing w:after="160" w:line="259" w:lineRule="auto"/>
              <w:jc w:val="left"/>
              <w:rPr>
                <w:rFonts w:eastAsia="Aptos"/>
                <w:b/>
                <w:bCs/>
                <w:kern w:val="2"/>
                <w:szCs w:val="20"/>
                <w14:ligatures w14:val="standardContextual"/>
              </w:rPr>
            </w:pPr>
            <w:r w:rsidRPr="002D3213">
              <w:rPr>
                <w:rFonts w:eastAsia="Aptos"/>
                <w:b/>
                <w:bCs/>
                <w:kern w:val="2"/>
                <w:szCs w:val="20"/>
                <w14:ligatures w14:val="standardContextual"/>
              </w:rPr>
              <w:t xml:space="preserve">Notes: </w:t>
            </w:r>
          </w:p>
          <w:p w14:paraId="64803860" w14:textId="77777777" w:rsidR="002D3213" w:rsidRPr="002D3213" w:rsidRDefault="002D3213" w:rsidP="002D3213">
            <w:pPr>
              <w:spacing w:after="160" w:line="259" w:lineRule="auto"/>
              <w:ind w:left="765" w:hanging="540"/>
              <w:jc w:val="left"/>
              <w:rPr>
                <w:rFonts w:eastAsia="Aptos"/>
                <w:kern w:val="2"/>
                <w:szCs w:val="20"/>
                <w14:ligatures w14:val="standardContextual"/>
              </w:rPr>
            </w:pPr>
            <w:r w:rsidRPr="002D3213">
              <w:rPr>
                <w:rFonts w:eastAsia="Aptos"/>
                <w:kern w:val="2"/>
                <w:szCs w:val="20"/>
                <w14:ligatures w14:val="standardContextual"/>
              </w:rPr>
              <w:lastRenderedPageBreak/>
              <w:t xml:space="preserve">(1)    There is no moisture allowance </w:t>
            </w:r>
            <w:r w:rsidRPr="002D3213">
              <w:rPr>
                <w:rFonts w:eastAsia="Aptos"/>
                <w:b/>
                <w:bCs/>
                <w:kern w:val="2"/>
                <w:szCs w:val="20"/>
                <w:u w:val="single"/>
                <w14:ligatures w14:val="standardContextual"/>
              </w:rPr>
              <w:t xml:space="preserve">consideration </w:t>
            </w:r>
            <w:r w:rsidRPr="002D3213">
              <w:rPr>
                <w:rFonts w:eastAsia="Aptos"/>
                <w:kern w:val="2"/>
                <w:szCs w:val="20"/>
                <w14:ligatures w14:val="standardContextual"/>
              </w:rPr>
              <w:t>when inspecting meat and poultry from a USDA inspected plant when Used Dry Tare and “Category A” sampling plans are used.</w:t>
            </w:r>
          </w:p>
          <w:p w14:paraId="25FFB4DC" w14:textId="77777777" w:rsidR="002D3213" w:rsidRPr="002D3213" w:rsidRDefault="002D3213" w:rsidP="002D3213">
            <w:pPr>
              <w:spacing w:after="160" w:line="259" w:lineRule="auto"/>
              <w:ind w:left="765" w:hanging="540"/>
              <w:jc w:val="left"/>
              <w:rPr>
                <w:rFonts w:eastAsia="Aptos"/>
                <w:kern w:val="2"/>
                <w:szCs w:val="20"/>
                <w14:ligatures w14:val="standardContextual"/>
              </w:rPr>
            </w:pPr>
          </w:p>
          <w:p w14:paraId="5DCA2AAC" w14:textId="77777777" w:rsidR="002D3213" w:rsidRPr="002D3213" w:rsidRDefault="002D3213" w:rsidP="002D3213">
            <w:pPr>
              <w:spacing w:after="160" w:line="259" w:lineRule="auto"/>
              <w:ind w:left="765" w:hanging="540"/>
              <w:jc w:val="left"/>
              <w:rPr>
                <w:rFonts w:eastAsia="Aptos"/>
                <w:kern w:val="2"/>
                <w:szCs w:val="20"/>
                <w14:ligatures w14:val="standardContextual"/>
              </w:rPr>
            </w:pPr>
            <w:r w:rsidRPr="002D3213">
              <w:rPr>
                <w:rFonts w:eastAsia="Aptos"/>
                <w:kern w:val="2"/>
                <w:szCs w:val="20"/>
                <w14:ligatures w14:val="standardContextual"/>
              </w:rPr>
              <w:t>(2)     For the Wet Tare Only section of Table 2-3. “Moisture Allowance</w:t>
            </w:r>
            <w:r w:rsidRPr="00E04EE8">
              <w:rPr>
                <w:rFonts w:eastAsia="Aptos"/>
                <w:strike/>
                <w:kern w:val="2"/>
                <w:szCs w:val="20"/>
                <w14:ligatures w14:val="standardContextual"/>
              </w:rPr>
              <w:t>s</w:t>
            </w:r>
            <w:r w:rsidRPr="004A7E28">
              <w:rPr>
                <w:rFonts w:eastAsia="Aptos"/>
                <w:kern w:val="2"/>
                <w:szCs w:val="20"/>
                <w14:ligatures w14:val="standardContextual"/>
              </w:rPr>
              <w:t xml:space="preserve"> </w:t>
            </w:r>
            <w:r w:rsidRPr="002D3213">
              <w:rPr>
                <w:rFonts w:eastAsia="Aptos"/>
                <w:b/>
                <w:bCs/>
                <w:kern w:val="2"/>
                <w:szCs w:val="20"/>
                <w:u w:val="single"/>
                <w14:ligatures w14:val="standardContextual"/>
              </w:rPr>
              <w:t>Considerations</w:t>
            </w:r>
            <w:r w:rsidRPr="002D3213">
              <w:rPr>
                <w:rFonts w:eastAsia="Aptos"/>
                <w:kern w:val="2"/>
                <w:szCs w:val="20"/>
                <w14:ligatures w14:val="standardContextual"/>
              </w:rPr>
              <w:t>,” free-flowing liquid and liquid absorbed by packaging materials in contact with the product are part of the wet tare.</w:t>
            </w:r>
          </w:p>
          <w:p w14:paraId="2FD3DEA7" w14:textId="77777777" w:rsidR="002D3213" w:rsidRPr="002D3213" w:rsidRDefault="002D3213" w:rsidP="002D3213">
            <w:pPr>
              <w:spacing w:after="160" w:line="259" w:lineRule="auto"/>
              <w:jc w:val="left"/>
              <w:rPr>
                <w:rFonts w:eastAsia="Aptos"/>
                <w:kern w:val="2"/>
                <w:szCs w:val="20"/>
                <w14:ligatures w14:val="standardContextual"/>
              </w:rPr>
            </w:pPr>
            <w:r w:rsidRPr="002D3213">
              <w:rPr>
                <w:rFonts w:eastAsia="Aptos"/>
                <w:kern w:val="2"/>
                <w:szCs w:val="20"/>
                <w14:ligatures w14:val="standardContextual"/>
              </w:rPr>
              <w:tab/>
              <w:t>(Note Added 2010)</w:t>
            </w:r>
          </w:p>
        </w:tc>
      </w:tr>
    </w:tbl>
    <w:p w14:paraId="30BB4267" w14:textId="5494428F" w:rsidR="002D3213" w:rsidRPr="002D3213" w:rsidRDefault="002D3213" w:rsidP="002D3213">
      <w:pPr>
        <w:widowControl w:val="0"/>
        <w:tabs>
          <w:tab w:val="left" w:pos="5368"/>
        </w:tabs>
        <w:spacing w:before="60" w:line="259" w:lineRule="auto"/>
        <w:jc w:val="left"/>
        <w:rPr>
          <w:rFonts w:eastAsia="Aptos"/>
          <w:kern w:val="2"/>
          <w:szCs w:val="20"/>
          <w14:ligatures w14:val="standardContextual"/>
        </w:rPr>
      </w:pPr>
      <w:r w:rsidRPr="002D3213">
        <w:rPr>
          <w:rFonts w:eastAsia="Aptos"/>
          <w:kern w:val="2"/>
          <w:szCs w:val="20"/>
          <w14:ligatures w14:val="standardContextual"/>
        </w:rPr>
        <w:lastRenderedPageBreak/>
        <w:t xml:space="preserve">(Amended 2010, 2013, </w:t>
      </w:r>
      <w:r w:rsidR="00D14044" w:rsidRPr="00D14044">
        <w:rPr>
          <w:rFonts w:eastAsia="Aptos"/>
          <w:b/>
          <w:bCs/>
          <w:strike/>
          <w:kern w:val="2"/>
          <w:szCs w:val="20"/>
          <w14:ligatures w14:val="standardContextual"/>
        </w:rPr>
        <w:t xml:space="preserve">and </w:t>
      </w:r>
      <w:r w:rsidRPr="002D3213">
        <w:rPr>
          <w:rFonts w:eastAsia="Aptos"/>
          <w:kern w:val="2"/>
          <w:szCs w:val="20"/>
          <w14:ligatures w14:val="standardContextual"/>
        </w:rPr>
        <w:t>2024</w:t>
      </w:r>
      <w:r w:rsidR="009140E5">
        <w:rPr>
          <w:rFonts w:eastAsia="Aptos"/>
          <w:kern w:val="2"/>
          <w:szCs w:val="20"/>
          <w14:ligatures w14:val="standardContextual"/>
        </w:rPr>
        <w:t xml:space="preserve"> </w:t>
      </w:r>
      <w:r w:rsidR="009140E5" w:rsidRPr="00D14044">
        <w:rPr>
          <w:rFonts w:eastAsia="Aptos"/>
          <w:b/>
          <w:bCs/>
          <w:kern w:val="2"/>
          <w:szCs w:val="20"/>
          <w14:ligatures w14:val="standardContextual"/>
        </w:rPr>
        <w:t xml:space="preserve">and </w:t>
      </w:r>
      <w:r w:rsidR="00D14044" w:rsidRPr="00D14044">
        <w:rPr>
          <w:rFonts w:eastAsia="Aptos"/>
          <w:b/>
          <w:bCs/>
          <w:kern w:val="2"/>
          <w:szCs w:val="20"/>
          <w14:ligatures w14:val="standardContextual"/>
        </w:rPr>
        <w:t>20XX</w:t>
      </w:r>
      <w:r w:rsidRPr="002D3213">
        <w:rPr>
          <w:rFonts w:eastAsia="Aptos"/>
          <w:kern w:val="2"/>
          <w:szCs w:val="20"/>
          <w14:ligatures w14:val="standardContextual"/>
        </w:rPr>
        <w:t>)</w:t>
      </w:r>
    </w:p>
    <w:p w14:paraId="1AEF254A" w14:textId="77777777" w:rsidR="002D3213" w:rsidRPr="002D3213" w:rsidRDefault="002D3213" w:rsidP="002D3213">
      <w:pPr>
        <w:ind w:left="1440" w:hanging="360"/>
        <w:jc w:val="left"/>
        <w:rPr>
          <w:rFonts w:eastAsia="Times New Roman"/>
          <w:color w:val="000000"/>
          <w:szCs w:val="20"/>
        </w:rPr>
      </w:pPr>
      <w:r w:rsidRPr="002D3213">
        <w:rPr>
          <w:rFonts w:eastAsia="Times New Roman"/>
          <w:color w:val="000000"/>
          <w:szCs w:val="20"/>
        </w:rPr>
        <w:t xml:space="preserve">To compute moisture allowance </w:t>
      </w:r>
      <w:r w:rsidRPr="002D3213">
        <w:rPr>
          <w:rFonts w:eastAsia="Times New Roman"/>
          <w:b/>
          <w:bCs/>
          <w:color w:val="000000"/>
          <w:szCs w:val="20"/>
          <w:u w:val="single"/>
        </w:rPr>
        <w:t>consideration</w:t>
      </w:r>
      <w:r w:rsidRPr="002D3213">
        <w:rPr>
          <w:rFonts w:eastAsia="Times New Roman"/>
          <w:color w:val="000000"/>
          <w:szCs w:val="20"/>
        </w:rPr>
        <w:t>, multiply the labeled quantity by the decimal percent value of the allowance.  Record this value in Box 13a.</w:t>
      </w:r>
    </w:p>
    <w:p w14:paraId="63764060" w14:textId="77777777" w:rsidR="002D3213" w:rsidRPr="002D3213" w:rsidRDefault="002D3213" w:rsidP="002D3213">
      <w:pPr>
        <w:spacing w:after="0"/>
        <w:ind w:left="2160"/>
        <w:rPr>
          <w:rFonts w:eastAsia="Times New Roman"/>
          <w:b/>
          <w:bCs/>
          <w:color w:val="000000"/>
          <w:szCs w:val="20"/>
        </w:rPr>
      </w:pPr>
      <w:r w:rsidRPr="002D3213">
        <w:rPr>
          <w:rFonts w:eastAsia="Times New Roman"/>
          <w:b/>
          <w:bCs/>
          <w:color w:val="000000"/>
          <w:szCs w:val="20"/>
        </w:rPr>
        <w:t xml:space="preserve">Example:  </w:t>
      </w:r>
    </w:p>
    <w:p w14:paraId="4A90A16E" w14:textId="77777777" w:rsidR="002D3213" w:rsidRPr="002D3213" w:rsidRDefault="002D3213" w:rsidP="002D3213">
      <w:pPr>
        <w:spacing w:after="0"/>
        <w:ind w:left="2160"/>
        <w:rPr>
          <w:rFonts w:eastAsia="Times New Roman"/>
          <w:i/>
          <w:iCs/>
          <w:color w:val="000000"/>
          <w:spacing w:val="4"/>
          <w:szCs w:val="20"/>
        </w:rPr>
      </w:pPr>
      <w:r w:rsidRPr="002D3213">
        <w:rPr>
          <w:rFonts w:eastAsia="Times New Roman"/>
          <w:i/>
          <w:iCs/>
          <w:color w:val="000000"/>
          <w:spacing w:val="4"/>
          <w:szCs w:val="20"/>
        </w:rPr>
        <w:t>Labeled net quantity of flour is 907 g (2 lb)</w:t>
      </w:r>
    </w:p>
    <w:p w14:paraId="298DCAC9" w14:textId="77777777" w:rsidR="002D3213" w:rsidRPr="002D3213" w:rsidRDefault="002D3213" w:rsidP="002D3213">
      <w:pPr>
        <w:spacing w:after="0"/>
        <w:ind w:left="2160"/>
        <w:rPr>
          <w:rFonts w:eastAsia="Times New Roman"/>
          <w:i/>
          <w:iCs/>
          <w:color w:val="000000"/>
          <w:spacing w:val="4"/>
          <w:szCs w:val="20"/>
        </w:rPr>
      </w:pPr>
      <w:r w:rsidRPr="002D3213">
        <w:rPr>
          <w:rFonts w:eastAsia="Times New Roman"/>
          <w:i/>
          <w:iCs/>
          <w:color w:val="000000"/>
          <w:spacing w:val="4"/>
          <w:szCs w:val="20"/>
        </w:rPr>
        <w:t xml:space="preserve">Moisture Allowance </w:t>
      </w:r>
      <w:r w:rsidRPr="002D3213">
        <w:rPr>
          <w:rFonts w:eastAsia="Times New Roman"/>
          <w:b/>
          <w:bCs/>
          <w:i/>
          <w:iCs/>
          <w:color w:val="000000"/>
          <w:spacing w:val="4"/>
          <w:szCs w:val="20"/>
          <w:u w:val="single"/>
        </w:rPr>
        <w:t>Consideration</w:t>
      </w:r>
      <w:r w:rsidRPr="002D3213">
        <w:rPr>
          <w:rFonts w:eastAsia="Times New Roman"/>
          <w:i/>
          <w:iCs/>
          <w:color w:val="000000"/>
          <w:spacing w:val="4"/>
          <w:szCs w:val="20"/>
        </w:rPr>
        <w:t xml:space="preserve"> is 3 % (0.03)</w:t>
      </w:r>
    </w:p>
    <w:p w14:paraId="3FA941FC" w14:textId="77777777" w:rsidR="002D3213" w:rsidRPr="002D3213" w:rsidRDefault="002D3213" w:rsidP="002D3213">
      <w:pPr>
        <w:ind w:left="2160"/>
        <w:rPr>
          <w:rFonts w:eastAsia="Times New Roman"/>
          <w:i/>
          <w:iCs/>
          <w:color w:val="000000"/>
          <w:spacing w:val="4"/>
          <w:szCs w:val="20"/>
        </w:rPr>
      </w:pPr>
      <w:r w:rsidRPr="002D3213">
        <w:rPr>
          <w:rFonts w:eastAsia="Times New Roman"/>
          <w:i/>
          <w:iCs/>
          <w:color w:val="000000"/>
          <w:spacing w:val="4"/>
          <w:szCs w:val="20"/>
        </w:rPr>
        <w:t xml:space="preserve">Moisture Allowance </w:t>
      </w:r>
      <w:r w:rsidRPr="002D3213">
        <w:rPr>
          <w:rFonts w:eastAsia="Times New Roman"/>
          <w:b/>
          <w:bCs/>
          <w:i/>
          <w:iCs/>
          <w:color w:val="000000"/>
          <w:spacing w:val="4"/>
          <w:szCs w:val="20"/>
          <w:u w:val="single"/>
        </w:rPr>
        <w:t>Consideration</w:t>
      </w:r>
      <w:r w:rsidRPr="002D3213">
        <w:rPr>
          <w:rFonts w:eastAsia="Times New Roman"/>
          <w:color w:val="000000"/>
          <w:spacing w:val="4"/>
          <w:szCs w:val="20"/>
        </w:rPr>
        <w:t xml:space="preserve"> </w:t>
      </w:r>
      <w:r w:rsidRPr="002D3213">
        <w:rPr>
          <w:rFonts w:eastAsia="Times New Roman"/>
          <w:i/>
          <w:iCs/>
          <w:color w:val="000000"/>
          <w:spacing w:val="4"/>
          <w:szCs w:val="20"/>
        </w:rPr>
        <w:t>= 907 g (2 lb) × 0.03 = 27 g (0.06 lb)</w:t>
      </w:r>
    </w:p>
    <w:p w14:paraId="5B552687" w14:textId="77777777" w:rsidR="002D3213" w:rsidRPr="002D3213" w:rsidRDefault="002D3213" w:rsidP="002D3213">
      <w:pPr>
        <w:ind w:left="1440" w:hanging="360"/>
        <w:jc w:val="left"/>
        <w:rPr>
          <w:rFonts w:eastAsia="Times New Roman"/>
          <w:color w:val="000000"/>
          <w:szCs w:val="20"/>
        </w:rPr>
      </w:pPr>
      <w:r w:rsidRPr="002D3213">
        <w:rPr>
          <w:rFonts w:eastAsia="Times New Roman"/>
          <w:color w:val="000000"/>
          <w:szCs w:val="20"/>
        </w:rPr>
        <w:t xml:space="preserve">If the Moisture Allowance </w:t>
      </w:r>
      <w:r w:rsidRPr="002D3213">
        <w:rPr>
          <w:rFonts w:eastAsia="Times New Roman"/>
          <w:b/>
          <w:bCs/>
          <w:color w:val="000000"/>
          <w:szCs w:val="20"/>
          <w:u w:val="single"/>
        </w:rPr>
        <w:t>Consideration</w:t>
      </w:r>
      <w:r w:rsidRPr="002D3213">
        <w:rPr>
          <w:rFonts w:eastAsia="Times New Roman"/>
          <w:color w:val="000000"/>
          <w:szCs w:val="20"/>
        </w:rPr>
        <w:t xml:space="preserve"> is known in advance (e.g., flour, pasta products</w:t>
      </w:r>
      <w:r w:rsidRPr="002D3213">
        <w:rPr>
          <w:rFonts w:eastAsia="Times New Roman"/>
          <w:color w:val="000000"/>
          <w:szCs w:val="20"/>
        </w:rPr>
        <w:fldChar w:fldCharType="begin"/>
      </w:r>
      <w:r w:rsidRPr="002D3213">
        <w:rPr>
          <w:rFonts w:eastAsia="Times New Roman"/>
          <w:color w:val="000000"/>
          <w:szCs w:val="20"/>
        </w:rPr>
        <w:instrText xml:space="preserve"> XE "Pasta Products" </w:instrText>
      </w:r>
      <w:r w:rsidRPr="002D3213">
        <w:rPr>
          <w:rFonts w:eastAsia="Times New Roman"/>
          <w:color w:val="000000"/>
          <w:szCs w:val="20"/>
        </w:rPr>
        <w:fldChar w:fldCharType="end"/>
      </w:r>
      <w:r w:rsidRPr="002D3213">
        <w:rPr>
          <w:rFonts w:eastAsia="Times New Roman"/>
          <w:color w:val="000000"/>
          <w:szCs w:val="20"/>
        </w:rPr>
        <w:t xml:space="preserve">, and dry pet food), it can be applied by adjusting the Nominal Gross Weight used to determine the sample package errors.  The Moisture Allowance </w:t>
      </w:r>
      <w:r w:rsidRPr="002D3213">
        <w:rPr>
          <w:rFonts w:eastAsia="Times New Roman"/>
          <w:b/>
          <w:bCs/>
          <w:color w:val="000000"/>
          <w:szCs w:val="20"/>
          <w:u w:val="single"/>
        </w:rPr>
        <w:t>Consideration</w:t>
      </w:r>
      <w:r w:rsidRPr="002D3213">
        <w:rPr>
          <w:rFonts w:eastAsia="Times New Roman"/>
          <w:color w:val="000000"/>
          <w:szCs w:val="20"/>
        </w:rPr>
        <w:t xml:space="preserve"> in Box 13a is subtracted from the Nominal Gross Weight to obtain an Adjusted Nominal Gross Weight which is entered in Box 14.  The Nominal Gross Weight is defined in Section 2.3.6.1. as the sum of the Labeled Weight and the Average Tare Weight from Box 13.  </w:t>
      </w:r>
    </w:p>
    <w:p w14:paraId="6CB3FBE8" w14:textId="77777777" w:rsidR="002D3213" w:rsidRPr="002D3213" w:rsidRDefault="002D3213" w:rsidP="002D3213">
      <w:pPr>
        <w:spacing w:after="0"/>
        <w:ind w:left="2160"/>
        <w:rPr>
          <w:rFonts w:eastAsia="Times New Roman"/>
          <w:b/>
          <w:bCs/>
          <w:color w:val="000000"/>
          <w:szCs w:val="20"/>
        </w:rPr>
      </w:pPr>
      <w:r w:rsidRPr="002D3213">
        <w:rPr>
          <w:rFonts w:eastAsia="Times New Roman"/>
          <w:b/>
          <w:bCs/>
          <w:color w:val="000000"/>
          <w:szCs w:val="20"/>
        </w:rPr>
        <w:t>Example:</w:t>
      </w:r>
    </w:p>
    <w:p w14:paraId="4FD3DE94" w14:textId="77777777" w:rsidR="002D3213" w:rsidRPr="002D3213" w:rsidRDefault="002D3213" w:rsidP="002D3213">
      <w:pPr>
        <w:ind w:left="2160"/>
        <w:rPr>
          <w:rFonts w:eastAsia="Times New Roman"/>
          <w:i/>
          <w:iCs/>
          <w:color w:val="000000"/>
          <w:spacing w:val="4"/>
          <w:szCs w:val="20"/>
        </w:rPr>
      </w:pPr>
      <w:r w:rsidRPr="002D3213">
        <w:rPr>
          <w:rFonts w:eastAsia="Times New Roman"/>
          <w:i/>
          <w:iCs/>
          <w:color w:val="000000"/>
          <w:spacing w:val="4"/>
          <w:szCs w:val="20"/>
        </w:rPr>
        <w:t>Use a Labeled Weight of 907 g (2 lb) and an Average Tare Weight of 14 g (0.03 lb)</w:t>
      </w:r>
    </w:p>
    <w:p w14:paraId="0E0EB1CE" w14:textId="77777777" w:rsidR="002D3213" w:rsidRPr="002D3213" w:rsidRDefault="002D3213" w:rsidP="002D3213">
      <w:pPr>
        <w:ind w:left="2160"/>
        <w:rPr>
          <w:rFonts w:eastAsia="Times New Roman"/>
          <w:i/>
          <w:iCs/>
          <w:color w:val="000000"/>
          <w:spacing w:val="4"/>
          <w:szCs w:val="20"/>
        </w:rPr>
      </w:pPr>
      <w:r w:rsidRPr="002D3213">
        <w:rPr>
          <w:rFonts w:eastAsia="Times New Roman"/>
          <w:i/>
          <w:iCs/>
          <w:color w:val="000000"/>
          <w:spacing w:val="4"/>
          <w:szCs w:val="20"/>
        </w:rPr>
        <w:t>The calculation is:</w:t>
      </w:r>
    </w:p>
    <w:p w14:paraId="64C7DDBC" w14:textId="77777777" w:rsidR="002D3213" w:rsidRPr="002D3213" w:rsidRDefault="002D3213" w:rsidP="002D3213">
      <w:pPr>
        <w:ind w:left="2160"/>
        <w:rPr>
          <w:rFonts w:eastAsia="Times New Roman"/>
          <w:i/>
          <w:iCs/>
          <w:color w:val="000000"/>
          <w:spacing w:val="4"/>
          <w:szCs w:val="20"/>
        </w:rPr>
      </w:pPr>
      <w:r w:rsidRPr="002D3213">
        <w:rPr>
          <w:rFonts w:eastAsia="Times New Roman"/>
          <w:i/>
          <w:iCs/>
          <w:color w:val="000000"/>
          <w:spacing w:val="4"/>
          <w:szCs w:val="20"/>
        </w:rPr>
        <w:t xml:space="preserve">Labeled Net Quantity 907 g (2 lb) + Average Tare </w:t>
      </w:r>
      <w:proofErr w:type="gramStart"/>
      <w:r w:rsidRPr="002D3213">
        <w:rPr>
          <w:rFonts w:eastAsia="Times New Roman"/>
          <w:i/>
          <w:iCs/>
          <w:color w:val="000000"/>
          <w:spacing w:val="4"/>
          <w:szCs w:val="20"/>
        </w:rPr>
        <w:t>Weight</w:t>
      </w:r>
      <w:proofErr w:type="gramEnd"/>
      <w:r w:rsidRPr="002D3213">
        <w:rPr>
          <w:rFonts w:eastAsia="Times New Roman"/>
          <w:i/>
          <w:iCs/>
          <w:color w:val="000000"/>
          <w:spacing w:val="4"/>
          <w:szCs w:val="20"/>
        </w:rPr>
        <w:t xml:space="preserve"> 14 g (0.03 lb) = 921 g (2.03 lb) – Moisture Allowance </w:t>
      </w:r>
      <w:r w:rsidRPr="002D3213">
        <w:rPr>
          <w:rFonts w:eastAsia="Times New Roman"/>
          <w:b/>
          <w:bCs/>
          <w:i/>
          <w:iCs/>
          <w:color w:val="000000"/>
          <w:spacing w:val="4"/>
          <w:szCs w:val="20"/>
          <w:u w:val="single"/>
        </w:rPr>
        <w:t>Consideration</w:t>
      </w:r>
      <w:r w:rsidRPr="002D3213">
        <w:rPr>
          <w:rFonts w:eastAsia="Times New Roman"/>
          <w:i/>
          <w:iCs/>
          <w:color w:val="000000"/>
          <w:spacing w:val="4"/>
          <w:szCs w:val="20"/>
        </w:rPr>
        <w:t xml:space="preserve"> 27 g (0.06 lb) = Adjusted Nominal Gross Weight of 894 g (1.97 lb)</w:t>
      </w:r>
    </w:p>
    <w:p w14:paraId="62927473" w14:textId="77777777" w:rsidR="002D3213" w:rsidRPr="002D3213" w:rsidRDefault="002D3213" w:rsidP="002D3213">
      <w:pPr>
        <w:ind w:left="1800"/>
        <w:rPr>
          <w:rFonts w:eastAsia="Times New Roman"/>
          <w:color w:val="000000"/>
          <w:szCs w:val="20"/>
        </w:rPr>
      </w:pPr>
      <w:r w:rsidRPr="002D3213">
        <w:rPr>
          <w:rFonts w:eastAsia="Times New Roman"/>
          <w:color w:val="000000"/>
          <w:szCs w:val="20"/>
        </w:rPr>
        <w:t>This result is entered in Box 14.</w:t>
      </w:r>
    </w:p>
    <w:p w14:paraId="278A42FC" w14:textId="77777777" w:rsidR="002D3213" w:rsidRPr="002D3213" w:rsidRDefault="002D3213" w:rsidP="002D3213">
      <w:pPr>
        <w:ind w:left="1440" w:hanging="360"/>
        <w:jc w:val="left"/>
        <w:rPr>
          <w:rFonts w:eastAsia="Times New Roman"/>
          <w:color w:val="000000"/>
          <w:szCs w:val="20"/>
        </w:rPr>
      </w:pPr>
      <w:r w:rsidRPr="002D3213">
        <w:rPr>
          <w:rFonts w:eastAsia="Times New Roman"/>
          <w:color w:val="000000"/>
          <w:szCs w:val="20"/>
        </w:rPr>
        <w:t>Determine package errors by subtracting the Adjusted Nominal Gross Weight from the Gross Weights of the Sample Packages.</w:t>
      </w:r>
    </w:p>
    <w:p w14:paraId="59292443" w14:textId="77777777" w:rsidR="002D3213" w:rsidRPr="002D3213" w:rsidRDefault="002D3213" w:rsidP="002D3213">
      <w:pPr>
        <w:spacing w:after="0"/>
        <w:ind w:left="2160"/>
        <w:rPr>
          <w:rFonts w:eastAsia="Times New Roman"/>
          <w:b/>
          <w:bCs/>
          <w:color w:val="000000"/>
          <w:szCs w:val="20"/>
        </w:rPr>
      </w:pPr>
      <w:r w:rsidRPr="002D3213">
        <w:rPr>
          <w:rFonts w:eastAsia="Times New Roman"/>
          <w:b/>
          <w:bCs/>
          <w:color w:val="000000"/>
          <w:szCs w:val="20"/>
        </w:rPr>
        <w:t>Example:</w:t>
      </w:r>
    </w:p>
    <w:p w14:paraId="1A60F52F" w14:textId="77777777" w:rsidR="002D3213" w:rsidRPr="002D3213" w:rsidRDefault="002D3213" w:rsidP="002D3213">
      <w:pPr>
        <w:ind w:left="2160"/>
        <w:rPr>
          <w:rFonts w:eastAsia="Times New Roman"/>
          <w:i/>
          <w:iCs/>
          <w:color w:val="000000"/>
          <w:spacing w:val="4"/>
          <w:szCs w:val="20"/>
        </w:rPr>
      </w:pPr>
      <w:r w:rsidRPr="002D3213">
        <w:rPr>
          <w:rFonts w:eastAsia="Times New Roman"/>
          <w:i/>
          <w:iCs/>
          <w:color w:val="000000"/>
          <w:spacing w:val="4"/>
          <w:szCs w:val="20"/>
        </w:rPr>
        <w:t>The calculation is:</w:t>
      </w:r>
    </w:p>
    <w:p w14:paraId="14AAD38F" w14:textId="77777777" w:rsidR="002D3213" w:rsidRPr="002D3213" w:rsidRDefault="002D3213" w:rsidP="002D3213">
      <w:pPr>
        <w:ind w:left="2160"/>
        <w:rPr>
          <w:rFonts w:eastAsia="Times New Roman"/>
          <w:i/>
          <w:iCs/>
          <w:color w:val="000000"/>
          <w:spacing w:val="4"/>
          <w:szCs w:val="20"/>
        </w:rPr>
      </w:pPr>
      <w:r w:rsidRPr="002D3213">
        <w:rPr>
          <w:rFonts w:eastAsia="Times New Roman"/>
          <w:i/>
          <w:iCs/>
          <w:color w:val="000000"/>
          <w:spacing w:val="4"/>
          <w:szCs w:val="20"/>
        </w:rPr>
        <w:t>Gross Weight of the Sample Packages – Adjusted Nominal Gross Weight = Package Error</w:t>
      </w:r>
    </w:p>
    <w:p w14:paraId="7882D35D" w14:textId="6FF3E320" w:rsidR="002D3213" w:rsidRPr="002D3213" w:rsidRDefault="002D3213" w:rsidP="00865B09">
      <w:pPr>
        <w:keepNext/>
        <w:keepLines/>
        <w:spacing w:after="0"/>
        <w:ind w:left="1440"/>
        <w:rPr>
          <w:rFonts w:eastAsia="Times New Roman"/>
          <w:color w:val="000000"/>
          <w:szCs w:val="20"/>
        </w:rPr>
      </w:pPr>
      <w:r w:rsidRPr="002D3213">
        <w:rPr>
          <w:rFonts w:eastAsia="Times New Roman"/>
          <w:b/>
          <w:color w:val="000000"/>
          <w:szCs w:val="20"/>
        </w:rPr>
        <w:lastRenderedPageBreak/>
        <w:t>Note:</w:t>
      </w:r>
      <w:r w:rsidRPr="002D3213">
        <w:rPr>
          <w:rFonts w:eastAsia="Times New Roman"/>
          <w:color w:val="000000"/>
          <w:szCs w:val="20"/>
        </w:rPr>
        <w:t xml:space="preserve"> When the Nominal Gross Weight is adjusted by subtracting the Moisture Allowance </w:t>
      </w:r>
      <w:r w:rsidRPr="002D3213">
        <w:rPr>
          <w:rFonts w:eastAsia="Times New Roman"/>
          <w:b/>
          <w:bCs/>
          <w:color w:val="000000"/>
          <w:szCs w:val="20"/>
          <w:u w:val="single"/>
        </w:rPr>
        <w:t xml:space="preserve">Consideration </w:t>
      </w:r>
      <w:r w:rsidRPr="002D3213">
        <w:rPr>
          <w:rFonts w:eastAsia="Times New Roman"/>
          <w:color w:val="000000"/>
          <w:szCs w:val="20"/>
        </w:rPr>
        <w:t>value(s) the Maximum Allowable Variation</w:t>
      </w:r>
      <w:r w:rsidRPr="002D3213">
        <w:rPr>
          <w:rFonts w:eastAsia="Times New Roman"/>
          <w:color w:val="000000"/>
          <w:szCs w:val="20"/>
        </w:rPr>
        <w:fldChar w:fldCharType="begin"/>
      </w:r>
      <w:r w:rsidRPr="002D3213">
        <w:rPr>
          <w:rFonts w:eastAsia="Times New Roman"/>
          <w:color w:val="000000"/>
          <w:szCs w:val="20"/>
        </w:rPr>
        <w:instrText xml:space="preserve"> XE "Maximum Allowable Variation (MAV)" </w:instrText>
      </w:r>
      <w:r w:rsidRPr="002D3213">
        <w:rPr>
          <w:rFonts w:eastAsia="Times New Roman"/>
          <w:color w:val="000000"/>
          <w:szCs w:val="20"/>
        </w:rPr>
        <w:fldChar w:fldCharType="end"/>
      </w:r>
      <w:r w:rsidRPr="002D3213">
        <w:rPr>
          <w:rFonts w:eastAsia="Times New Roman"/>
          <w:color w:val="000000"/>
          <w:szCs w:val="20"/>
        </w:rPr>
        <w:t xml:space="preserve">(s) is not changed.  This is because the errors that will be found in the sample packages have been adjusted by subtracting the Moisture Allowance </w:t>
      </w:r>
      <w:r w:rsidRPr="002D3213">
        <w:rPr>
          <w:rFonts w:eastAsia="Times New Roman"/>
          <w:b/>
          <w:bCs/>
          <w:color w:val="000000"/>
          <w:szCs w:val="20"/>
          <w:u w:val="single"/>
        </w:rPr>
        <w:t>Consideration</w:t>
      </w:r>
      <w:r w:rsidRPr="002D3213">
        <w:rPr>
          <w:rFonts w:eastAsia="Times New Roman"/>
          <w:color w:val="000000"/>
          <w:szCs w:val="20"/>
        </w:rPr>
        <w:t xml:space="preserve"> (e.g., 3 %) from the Nominal Gross Weight.  That increases the individual package errors by the amount of </w:t>
      </w:r>
      <w:proofErr w:type="gramStart"/>
      <w:r w:rsidRPr="002D3213">
        <w:rPr>
          <w:rFonts w:eastAsia="Times New Roman"/>
          <w:color w:val="000000"/>
          <w:szCs w:val="20"/>
        </w:rPr>
        <w:t>the moisture</w:t>
      </w:r>
      <w:proofErr w:type="gramEnd"/>
      <w:r w:rsidRPr="002D3213">
        <w:rPr>
          <w:rFonts w:eastAsia="Times New Roman"/>
          <w:color w:val="000000"/>
          <w:szCs w:val="20"/>
        </w:rPr>
        <w:t xml:space="preserve"> allowance </w:t>
      </w:r>
      <w:r w:rsidRPr="002D3213">
        <w:rPr>
          <w:rFonts w:eastAsia="Times New Roman"/>
          <w:b/>
          <w:bCs/>
          <w:color w:val="000000"/>
          <w:szCs w:val="20"/>
          <w:u w:val="single"/>
        </w:rPr>
        <w:t>consideration</w:t>
      </w:r>
      <w:r w:rsidRPr="002D3213">
        <w:rPr>
          <w:rFonts w:eastAsia="Times New Roman"/>
          <w:color w:val="000000"/>
          <w:szCs w:val="20"/>
        </w:rPr>
        <w:t xml:space="preserve"> (e.g., 3 %).  If the value(s) of the MAV(s) were also </w:t>
      </w:r>
      <w:proofErr w:type="gramStart"/>
      <w:r w:rsidRPr="002D3213">
        <w:rPr>
          <w:rFonts w:eastAsia="Times New Roman"/>
          <w:color w:val="000000"/>
          <w:szCs w:val="20"/>
        </w:rPr>
        <w:t>adjusted</w:t>
      </w:r>
      <w:proofErr w:type="gramEnd"/>
      <w:r w:rsidRPr="002D3213">
        <w:rPr>
          <w:rFonts w:eastAsia="Times New Roman"/>
          <w:color w:val="000000"/>
          <w:szCs w:val="20"/>
        </w:rPr>
        <w:t xml:space="preserve"> it would result in doubling the allowance </w:t>
      </w:r>
      <w:r w:rsidRPr="002D3213">
        <w:rPr>
          <w:rFonts w:eastAsia="Times New Roman"/>
          <w:b/>
          <w:bCs/>
          <w:color w:val="000000"/>
          <w:szCs w:val="20"/>
          <w:u w:val="single"/>
        </w:rPr>
        <w:t>consideration</w:t>
      </w:r>
      <w:r w:rsidRPr="002D3213">
        <w:rPr>
          <w:rFonts w:eastAsia="Times New Roman"/>
          <w:color w:val="000000"/>
          <w:szCs w:val="20"/>
        </w:rPr>
        <w:t>.  MAV is always based on the labeled net quantity.</w:t>
      </w:r>
    </w:p>
    <w:p w14:paraId="4DF37C63" w14:textId="41778052" w:rsidR="002D3213" w:rsidRPr="002D3213" w:rsidRDefault="002D3213" w:rsidP="00865B09">
      <w:pPr>
        <w:keepNext/>
        <w:keepLines/>
        <w:spacing w:before="60"/>
        <w:ind w:left="1440"/>
        <w:rPr>
          <w:rFonts w:eastAsia="Times New Roman"/>
          <w:color w:val="000000"/>
          <w:szCs w:val="20"/>
        </w:rPr>
      </w:pPr>
      <w:r w:rsidRPr="002D3213">
        <w:rPr>
          <w:rFonts w:eastAsia="Times New Roman"/>
          <w:color w:val="000000"/>
          <w:szCs w:val="20"/>
        </w:rPr>
        <w:t>(Added 2010)</w:t>
      </w:r>
      <w:r w:rsidR="00647A72">
        <w:rPr>
          <w:rFonts w:eastAsia="Times New Roman"/>
          <w:color w:val="000000"/>
          <w:szCs w:val="20"/>
        </w:rPr>
        <w:t xml:space="preserve"> </w:t>
      </w:r>
      <w:r w:rsidR="00647A72" w:rsidRPr="004A7E28">
        <w:rPr>
          <w:rFonts w:eastAsia="Times New Roman"/>
          <w:b/>
          <w:bCs/>
          <w:color w:val="000000"/>
          <w:szCs w:val="20"/>
          <w:u w:val="single"/>
        </w:rPr>
        <w:t>(Amended 20XX)</w:t>
      </w:r>
    </w:p>
    <w:p w14:paraId="10F7C77F" w14:textId="77777777" w:rsidR="002D3213" w:rsidRPr="002D3213" w:rsidRDefault="002D3213" w:rsidP="002D3213">
      <w:pPr>
        <w:spacing w:after="160" w:line="259" w:lineRule="auto"/>
        <w:ind w:firstLine="720"/>
        <w:jc w:val="left"/>
        <w:rPr>
          <w:rFonts w:eastAsia="Aptos"/>
          <w:b/>
          <w:bCs/>
          <w:kern w:val="2"/>
          <w:szCs w:val="20"/>
          <w14:ligatures w14:val="standardContextual"/>
        </w:rPr>
      </w:pPr>
      <w:r w:rsidRPr="002D3213">
        <w:rPr>
          <w:rFonts w:eastAsia="Aptos"/>
          <w:b/>
          <w:bCs/>
          <w:kern w:val="2"/>
          <w:szCs w:val="20"/>
          <w14:ligatures w14:val="standardContextual"/>
        </w:rPr>
        <w:t>2.3.8.2. Applying Moisture Allowance after Determining Package Errors</w:t>
      </w:r>
    </w:p>
    <w:p w14:paraId="0CAD0B56" w14:textId="77777777" w:rsidR="002D3213" w:rsidRPr="002D3213" w:rsidRDefault="002D3213" w:rsidP="002D3213">
      <w:pPr>
        <w:ind w:left="720"/>
        <w:rPr>
          <w:rFonts w:eastAsia="Times New Roman"/>
          <w:color w:val="000000"/>
          <w:szCs w:val="20"/>
        </w:rPr>
      </w:pPr>
      <w:r w:rsidRPr="002D3213">
        <w:rPr>
          <w:rFonts w:eastAsia="Times New Roman"/>
          <w:color w:val="000000"/>
          <w:szCs w:val="20"/>
        </w:rPr>
        <w:t xml:space="preserve">Adjustments can be made when the value of the Moisture Allowance </w:t>
      </w:r>
      <w:r w:rsidRPr="002D3213">
        <w:rPr>
          <w:rFonts w:eastAsia="Times New Roman"/>
          <w:b/>
          <w:bCs/>
          <w:color w:val="000000"/>
          <w:szCs w:val="20"/>
          <w:u w:val="single"/>
        </w:rPr>
        <w:t>Consideration</w:t>
      </w:r>
      <w:r w:rsidRPr="002D3213">
        <w:rPr>
          <w:rFonts w:eastAsia="Times New Roman"/>
          <w:color w:val="000000"/>
          <w:szCs w:val="20"/>
        </w:rPr>
        <w:t xml:space="preserve"> is determined following the test (e.g., after the sample fails or if a packer provides reasonable moisture allowance </w:t>
      </w:r>
      <w:r w:rsidRPr="002D3213">
        <w:rPr>
          <w:rFonts w:eastAsia="Times New Roman"/>
          <w:b/>
          <w:bCs/>
          <w:color w:val="000000"/>
          <w:szCs w:val="20"/>
          <w:u w:val="single"/>
        </w:rPr>
        <w:t>consideration</w:t>
      </w:r>
      <w:r w:rsidRPr="002D3213">
        <w:rPr>
          <w:rFonts w:eastAsia="Times New Roman"/>
          <w:color w:val="000000"/>
          <w:szCs w:val="20"/>
        </w:rPr>
        <w:t xml:space="preserve"> based on data obtained using a scientific method) using the following approach:</w:t>
      </w:r>
    </w:p>
    <w:p w14:paraId="65989E8F" w14:textId="7847DA1C" w:rsidR="002D3213" w:rsidRPr="002D3213" w:rsidRDefault="002D3213" w:rsidP="002D3213">
      <w:pPr>
        <w:ind w:left="720"/>
        <w:rPr>
          <w:rFonts w:eastAsia="Times New Roman"/>
          <w:color w:val="000000"/>
          <w:szCs w:val="20"/>
        </w:rPr>
      </w:pPr>
      <w:bookmarkStart w:id="348" w:name="_Toc226190690"/>
      <w:bookmarkStart w:id="349" w:name="_Toc237415659"/>
      <w:bookmarkStart w:id="350" w:name="_Toc237416633"/>
      <w:bookmarkStart w:id="351" w:name="_Toc237428937"/>
      <w:r w:rsidRPr="002D3213">
        <w:rPr>
          <w:rFonts w:eastAsia="Times New Roman"/>
          <w:color w:val="000000"/>
          <w:szCs w:val="20"/>
        </w:rPr>
        <w:t>If the sample fails the Average Requirement but has no unreasonable package errors, only Step 1 is used.  If the sample passes the Average Requirement but fails because the sample included one or more Unreasonable Minus Errors, only Step 2 is used.</w:t>
      </w:r>
      <w:bookmarkEnd w:id="348"/>
      <w:bookmarkEnd w:id="349"/>
      <w:bookmarkEnd w:id="350"/>
      <w:bookmarkEnd w:id="351"/>
    </w:p>
    <w:p w14:paraId="2B07B642" w14:textId="77777777" w:rsidR="002D3213" w:rsidRPr="002D3213" w:rsidRDefault="002D3213" w:rsidP="002D3213">
      <w:pPr>
        <w:ind w:left="720"/>
        <w:rPr>
          <w:rFonts w:eastAsia="Times New Roman"/>
          <w:color w:val="000000"/>
          <w:szCs w:val="20"/>
        </w:rPr>
      </w:pPr>
      <w:bookmarkStart w:id="352" w:name="_Toc226190689"/>
      <w:bookmarkStart w:id="353" w:name="_Toc237415658"/>
      <w:bookmarkStart w:id="354" w:name="_Toc237416632"/>
      <w:bookmarkStart w:id="355" w:name="_Toc237428936"/>
      <w:r w:rsidRPr="002D3213">
        <w:rPr>
          <w:rFonts w:eastAsia="Times New Roman"/>
          <w:color w:val="000000"/>
          <w:szCs w:val="20"/>
        </w:rPr>
        <w:t>If the sample fails the Average and MAV Requirements, both of the following steps are applied.</w:t>
      </w:r>
      <w:bookmarkEnd w:id="352"/>
      <w:bookmarkEnd w:id="353"/>
      <w:bookmarkEnd w:id="354"/>
      <w:bookmarkEnd w:id="355"/>
    </w:p>
    <w:p w14:paraId="61E7C170" w14:textId="7558D487" w:rsidR="002D3213" w:rsidRPr="00E23EB5" w:rsidRDefault="002D3213" w:rsidP="0076491B">
      <w:pPr>
        <w:pStyle w:val="ListParagraph"/>
        <w:numPr>
          <w:ilvl w:val="1"/>
          <w:numId w:val="34"/>
        </w:numPr>
        <w:spacing w:after="160" w:line="259" w:lineRule="auto"/>
        <w:jc w:val="left"/>
        <w:rPr>
          <w:rFonts w:eastAsia="Times New Roman"/>
          <w:color w:val="000000"/>
          <w:szCs w:val="20"/>
        </w:rPr>
      </w:pPr>
      <w:r w:rsidRPr="00E23EB5">
        <w:rPr>
          <w:rFonts w:eastAsia="Times New Roman"/>
          <w:color w:val="000000"/>
          <w:szCs w:val="20"/>
        </w:rPr>
        <w:t xml:space="preserve">Use the following approach to apply a Moisture Allowance </w:t>
      </w:r>
      <w:r w:rsidRPr="00E23EB5">
        <w:rPr>
          <w:rFonts w:eastAsia="Times New Roman"/>
          <w:b/>
          <w:bCs/>
          <w:color w:val="000000"/>
          <w:szCs w:val="20"/>
          <w:u w:val="single"/>
        </w:rPr>
        <w:t>Consideration</w:t>
      </w:r>
      <w:r w:rsidRPr="00E23EB5">
        <w:rPr>
          <w:rFonts w:eastAsia="Times New Roman"/>
          <w:color w:val="000000"/>
          <w:szCs w:val="20"/>
        </w:rPr>
        <w:t xml:space="preserve"> to the Average Requirement after the test is completed:  </w:t>
      </w:r>
    </w:p>
    <w:p w14:paraId="12F4E020" w14:textId="77777777" w:rsidR="002D3213" w:rsidRPr="002D3213" w:rsidRDefault="002D3213" w:rsidP="002D3213">
      <w:pPr>
        <w:ind w:left="2160" w:hanging="360"/>
        <w:rPr>
          <w:rFonts w:eastAsia="Times New Roman"/>
          <w:color w:val="000000"/>
          <w:szCs w:val="20"/>
        </w:rPr>
      </w:pPr>
      <w:r w:rsidRPr="002D3213">
        <w:rPr>
          <w:rFonts w:eastAsia="Times New Roman"/>
          <w:color w:val="000000"/>
          <w:szCs w:val="20"/>
        </w:rPr>
        <w:t>the Moisture Allowance</w:t>
      </w:r>
      <w:r w:rsidRPr="002D3213">
        <w:rPr>
          <w:rFonts w:eastAsia="Times New Roman"/>
          <w:b/>
          <w:bCs/>
          <w:color w:val="000000"/>
          <w:szCs w:val="20"/>
          <w:u w:val="single"/>
        </w:rPr>
        <w:t xml:space="preserve"> Consideration</w:t>
      </w:r>
      <w:r w:rsidRPr="002D3213">
        <w:rPr>
          <w:rFonts w:eastAsia="Times New Roman"/>
          <w:color w:val="000000"/>
          <w:szCs w:val="20"/>
        </w:rPr>
        <w:t xml:space="preserve"> is computed; </w:t>
      </w:r>
    </w:p>
    <w:p w14:paraId="5746D775" w14:textId="4213F639" w:rsidR="002D3213" w:rsidRPr="00E23EB5" w:rsidRDefault="002D3213" w:rsidP="0076491B">
      <w:pPr>
        <w:pStyle w:val="ListParagraph"/>
        <w:numPr>
          <w:ilvl w:val="1"/>
          <w:numId w:val="34"/>
        </w:numPr>
        <w:jc w:val="left"/>
        <w:rPr>
          <w:rFonts w:eastAsia="Times New Roman"/>
          <w:color w:val="000000"/>
          <w:szCs w:val="20"/>
        </w:rPr>
      </w:pPr>
      <w:r w:rsidRPr="00E23EB5">
        <w:rPr>
          <w:rFonts w:eastAsia="Times New Roman"/>
          <w:color w:val="000000"/>
          <w:szCs w:val="20"/>
        </w:rPr>
        <w:t xml:space="preserve">To apply Moisture Allowance </w:t>
      </w:r>
      <w:r w:rsidRPr="00E23EB5">
        <w:rPr>
          <w:rFonts w:eastAsia="Times New Roman"/>
          <w:b/>
          <w:bCs/>
          <w:color w:val="000000"/>
          <w:szCs w:val="20"/>
          <w:u w:val="single"/>
        </w:rPr>
        <w:t>Consideration</w:t>
      </w:r>
      <w:r w:rsidRPr="00E23EB5">
        <w:rPr>
          <w:rFonts w:eastAsia="Times New Roman"/>
          <w:color w:val="000000"/>
          <w:szCs w:val="20"/>
        </w:rPr>
        <w:t xml:space="preserve"> to the MAV(s) after the test, the following method is recommended:</w:t>
      </w:r>
    </w:p>
    <w:p w14:paraId="53C4874F" w14:textId="77777777" w:rsidR="002D3213" w:rsidRDefault="002D3213" w:rsidP="002D3213">
      <w:pPr>
        <w:ind w:left="2160" w:hanging="360"/>
        <w:rPr>
          <w:rFonts w:eastAsia="Times New Roman"/>
          <w:color w:val="000000"/>
          <w:szCs w:val="20"/>
        </w:rPr>
      </w:pPr>
      <w:r w:rsidRPr="002D3213">
        <w:rPr>
          <w:rFonts w:eastAsia="Times New Roman"/>
          <w:color w:val="000000"/>
          <w:szCs w:val="20"/>
        </w:rPr>
        <w:t xml:space="preserve">compute Moisture Allowance </w:t>
      </w:r>
      <w:r w:rsidRPr="002D3213">
        <w:rPr>
          <w:rFonts w:eastAsia="Times New Roman"/>
          <w:b/>
          <w:bCs/>
          <w:color w:val="000000"/>
          <w:szCs w:val="20"/>
          <w:u w:val="single"/>
        </w:rPr>
        <w:t>Consideration</w:t>
      </w:r>
      <w:r w:rsidRPr="002D3213">
        <w:rPr>
          <w:rFonts w:eastAsia="Times New Roman"/>
          <w:color w:val="000000"/>
          <w:szCs w:val="20"/>
        </w:rPr>
        <w:t xml:space="preserve">; </w:t>
      </w:r>
    </w:p>
    <w:p w14:paraId="4EDEA7F7" w14:textId="3EF26FB2" w:rsidR="00125FA7" w:rsidRDefault="009D2986" w:rsidP="009D2986">
      <w:pPr>
        <w:rPr>
          <w:rFonts w:eastAsia="Times New Roman"/>
          <w:b/>
          <w:bCs/>
          <w:color w:val="000000"/>
          <w:szCs w:val="20"/>
        </w:rPr>
      </w:pPr>
      <w:r>
        <w:rPr>
          <w:rFonts w:eastAsia="Times New Roman"/>
          <w:b/>
          <w:bCs/>
          <w:color w:val="000000"/>
          <w:szCs w:val="20"/>
        </w:rPr>
        <w:t>…</w:t>
      </w:r>
    </w:p>
    <w:p w14:paraId="6E8A68C4" w14:textId="2092FED9" w:rsidR="00125FA7" w:rsidRPr="00FC0BCB" w:rsidRDefault="00FC0BCB" w:rsidP="002D3213">
      <w:pPr>
        <w:ind w:left="2160" w:hanging="360"/>
        <w:rPr>
          <w:rFonts w:eastAsia="Times New Roman"/>
          <w:b/>
          <w:bCs/>
          <w:color w:val="000000"/>
          <w:szCs w:val="20"/>
        </w:rPr>
      </w:pPr>
      <w:r w:rsidRPr="00FC0BCB">
        <w:rPr>
          <w:color w:val="000000"/>
          <w:szCs w:val="20"/>
        </w:rPr>
        <w:t>(Added 2010)</w:t>
      </w:r>
      <w:r>
        <w:rPr>
          <w:color w:val="000000"/>
          <w:szCs w:val="20"/>
        </w:rPr>
        <w:t xml:space="preserve"> </w:t>
      </w:r>
      <w:r w:rsidRPr="00596B7B">
        <w:rPr>
          <w:b/>
          <w:bCs/>
          <w:color w:val="000000"/>
          <w:szCs w:val="20"/>
          <w:u w:val="single"/>
        </w:rPr>
        <w:t>(Amended 20XX)</w:t>
      </w:r>
    </w:p>
    <w:p w14:paraId="3587B971" w14:textId="77777777" w:rsidR="002D3213" w:rsidRPr="002D3213" w:rsidRDefault="002D3213" w:rsidP="002D3213">
      <w:pPr>
        <w:spacing w:after="160" w:line="259" w:lineRule="auto"/>
        <w:jc w:val="left"/>
        <w:rPr>
          <w:rFonts w:eastAsia="Aptos"/>
          <w:b/>
          <w:bCs/>
          <w:kern w:val="2"/>
          <w:szCs w:val="20"/>
          <w14:ligatures w14:val="standardContextual"/>
        </w:rPr>
      </w:pPr>
      <w:r w:rsidRPr="002D3213">
        <w:rPr>
          <w:rFonts w:eastAsia="Aptos"/>
          <w:b/>
          <w:bCs/>
          <w:kern w:val="2"/>
          <w:szCs w:val="20"/>
          <w14:ligatures w14:val="standardContextual"/>
        </w:rPr>
        <w:t xml:space="preserve">Moisture Allowance </w:t>
      </w:r>
      <w:r w:rsidRPr="002D3213">
        <w:rPr>
          <w:rFonts w:eastAsia="Aptos"/>
          <w:b/>
          <w:bCs/>
          <w:kern w:val="2"/>
          <w:szCs w:val="20"/>
          <w:u w:val="single"/>
          <w14:ligatures w14:val="standardContextual"/>
        </w:rPr>
        <w:t>Consideration</w:t>
      </w:r>
      <w:r w:rsidRPr="002D3213">
        <w:rPr>
          <w:rFonts w:eastAsia="Aptos"/>
          <w:b/>
          <w:bCs/>
          <w:kern w:val="2"/>
          <w:szCs w:val="20"/>
          <w14:ligatures w14:val="standardContextual"/>
        </w:rPr>
        <w:t xml:space="preserve"> Gray Area</w:t>
      </w:r>
    </w:p>
    <w:p w14:paraId="32E1F26D" w14:textId="77777777" w:rsidR="002D3213" w:rsidRPr="002D3213" w:rsidRDefault="002D3213" w:rsidP="002D3213">
      <w:pPr>
        <w:ind w:left="720"/>
        <w:rPr>
          <w:rFonts w:eastAsia="Times New Roman"/>
          <w:color w:val="000000"/>
          <w:szCs w:val="20"/>
        </w:rPr>
      </w:pPr>
      <w:r w:rsidRPr="002D3213">
        <w:rPr>
          <w:rFonts w:eastAsia="Times New Roman"/>
          <w:color w:val="000000"/>
          <w:szCs w:val="20"/>
        </w:rPr>
        <w:t xml:space="preserve">When the average error of a lot of fresh poultry, franks/hot dogs, or pasta products is minus but does not exceed the established “moisture allowance </w:t>
      </w:r>
      <w:r w:rsidRPr="002D3213">
        <w:rPr>
          <w:rFonts w:eastAsia="Times New Roman"/>
          <w:b/>
          <w:bCs/>
          <w:color w:val="000000"/>
          <w:szCs w:val="20"/>
          <w:u w:val="single"/>
        </w:rPr>
        <w:t>consideration</w:t>
      </w:r>
      <w:r w:rsidRPr="002D3213">
        <w:rPr>
          <w:rFonts w:eastAsia="Times New Roman"/>
          <w:color w:val="000000"/>
          <w:szCs w:val="20"/>
        </w:rPr>
        <w:t>” or “gray area,” contact the</w:t>
      </w:r>
      <w:r w:rsidRPr="002D3213">
        <w:rPr>
          <w:rFonts w:eastAsia="Times New Roman"/>
          <w:b/>
          <w:color w:val="000000"/>
          <w:szCs w:val="20"/>
        </w:rPr>
        <w:t xml:space="preserve"> </w:t>
      </w:r>
      <w:r w:rsidRPr="002D3213">
        <w:rPr>
          <w:rFonts w:eastAsia="Times New Roman"/>
          <w:color w:val="000000"/>
          <w:szCs w:val="20"/>
        </w:rPr>
        <w:t>packer or plant management personnel to determine what information is available on the lot in question.  Questions to the plant management representative may include:</w:t>
      </w:r>
    </w:p>
    <w:p w14:paraId="3EFCA06F" w14:textId="72078B0A" w:rsidR="00F4289C" w:rsidRPr="00687167" w:rsidRDefault="002D3213" w:rsidP="00687167">
      <w:pPr>
        <w:ind w:left="720"/>
        <w:rPr>
          <w:rFonts w:eastAsia="Times New Roman"/>
          <w:color w:val="000000"/>
          <w:szCs w:val="20"/>
        </w:rPr>
      </w:pPr>
      <w:r w:rsidRPr="002D3213">
        <w:rPr>
          <w:rFonts w:eastAsia="Times New Roman"/>
          <w:color w:val="000000"/>
          <w:szCs w:val="20"/>
        </w:rPr>
        <w:t>This handbook provides “moisture allowance</w:t>
      </w:r>
      <w:r w:rsidRPr="00BA284B">
        <w:rPr>
          <w:rFonts w:eastAsia="Times New Roman"/>
          <w:strike/>
          <w:color w:val="000000"/>
          <w:szCs w:val="20"/>
        </w:rPr>
        <w:t>s</w:t>
      </w:r>
      <w:r w:rsidRPr="002D3213">
        <w:rPr>
          <w:rFonts w:eastAsia="Times New Roman"/>
          <w:color w:val="000000"/>
          <w:szCs w:val="20"/>
        </w:rPr>
        <w:t xml:space="preserve"> </w:t>
      </w:r>
      <w:r w:rsidRPr="002D3213">
        <w:rPr>
          <w:rFonts w:eastAsia="Times New Roman"/>
          <w:b/>
          <w:bCs/>
          <w:color w:val="000000"/>
          <w:szCs w:val="20"/>
          <w:u w:val="single"/>
        </w:rPr>
        <w:t>considerations</w:t>
      </w:r>
      <w:r w:rsidRPr="002D3213">
        <w:rPr>
          <w:rFonts w:eastAsia="Times New Roman"/>
          <w:color w:val="000000"/>
          <w:szCs w:val="20"/>
        </w:rPr>
        <w:t xml:space="preserve">” for some meat and poultry products, flour, pasta products, and dry pet food.  These allowances are based on the premise that when the average net weight of a sample is found to be less than the labeled weight, but not by an amount that exceeds the allowable limit, either the lot is declared to be within the moisture allowance </w:t>
      </w:r>
      <w:r w:rsidRPr="002D3213">
        <w:rPr>
          <w:rFonts w:eastAsia="Times New Roman"/>
          <w:b/>
          <w:bCs/>
          <w:color w:val="000000"/>
          <w:szCs w:val="20"/>
          <w:u w:val="single"/>
        </w:rPr>
        <w:t>consideration</w:t>
      </w:r>
      <w:r w:rsidRPr="002D3213">
        <w:rPr>
          <w:rFonts w:eastAsia="Times New Roman"/>
          <w:color w:val="000000"/>
          <w:szCs w:val="20"/>
        </w:rPr>
        <w:t xml:space="preserve"> or further investigation can be conducted.</w:t>
      </w:r>
    </w:p>
    <w:p w14:paraId="7CA394E4" w14:textId="3C88C02D" w:rsidR="00F4289C" w:rsidRPr="00490289" w:rsidRDefault="00F4289C" w:rsidP="0076491B">
      <w:pPr>
        <w:pStyle w:val="ListParagraph"/>
        <w:keepNext/>
        <w:keepLines/>
        <w:numPr>
          <w:ilvl w:val="0"/>
          <w:numId w:val="33"/>
        </w:numPr>
        <w:spacing w:before="240"/>
        <w:outlineLvl w:val="1"/>
        <w:rPr>
          <w:rFonts w:ascii="Times New Roman Bold" w:hAnsi="Times New Roman Bold"/>
          <w:b/>
          <w:bCs/>
          <w:vanish/>
          <w:sz w:val="24"/>
          <w:lang w:val="x-none" w:eastAsia="x-none"/>
        </w:rPr>
      </w:pPr>
      <w:bookmarkStart w:id="356" w:name="_Toc446212143"/>
      <w:bookmarkStart w:id="357" w:name="_Toc237353807"/>
      <w:bookmarkStart w:id="358" w:name="_Toc237415622"/>
      <w:bookmarkStart w:id="359" w:name="_Toc237416596"/>
      <w:bookmarkStart w:id="360" w:name="_Toc237428838"/>
      <w:bookmarkStart w:id="361" w:name="_Toc325575117"/>
      <w:bookmarkStart w:id="362" w:name="_Toc291667155"/>
      <w:bookmarkStart w:id="363" w:name="_Toc486756270"/>
      <w:bookmarkStart w:id="364" w:name="_Toc464111556"/>
      <w:bookmarkStart w:id="365" w:name="_Toc464123752"/>
      <w:bookmarkStart w:id="366" w:name="_Toc111622657"/>
      <w:bookmarkStart w:id="367" w:name="_Toc446212133"/>
    </w:p>
    <w:p w14:paraId="2A93F57A" w14:textId="6541496D" w:rsidR="00F4289C" w:rsidRPr="00490289" w:rsidRDefault="00F4289C" w:rsidP="0076491B">
      <w:pPr>
        <w:pStyle w:val="ListParagraph"/>
        <w:keepNext/>
        <w:keepLines/>
        <w:numPr>
          <w:ilvl w:val="1"/>
          <w:numId w:val="33"/>
        </w:numPr>
        <w:spacing w:before="240"/>
        <w:outlineLvl w:val="1"/>
        <w:rPr>
          <w:rFonts w:ascii="Times New Roman Bold" w:hAnsi="Times New Roman Bold"/>
          <w:b/>
          <w:bCs/>
          <w:vanish/>
          <w:sz w:val="24"/>
          <w:lang w:val="x-none" w:eastAsia="x-none"/>
        </w:rPr>
      </w:pPr>
    </w:p>
    <w:p w14:paraId="6AD311E8" w14:textId="00A28F94" w:rsidR="00F4289C" w:rsidRDefault="00F4289C" w:rsidP="00F4289C">
      <w:pPr>
        <w:keepNext/>
        <w:spacing w:after="0"/>
      </w:pPr>
      <w:bookmarkStart w:id="368" w:name="_Toc528151907"/>
      <w:bookmarkStart w:id="369" w:name="_Toc528154679"/>
      <w:bookmarkStart w:id="370" w:name="_Toc528155189"/>
      <w:bookmarkStart w:id="371" w:name="_Toc528155945"/>
      <w:bookmarkStart w:id="372" w:name="_Toc528156466"/>
      <w:bookmarkStart w:id="373" w:name="_Toc528156991"/>
      <w:bookmarkStart w:id="374" w:name="_Toc528160502"/>
      <w:bookmarkStart w:id="375" w:name="_Toc528161022"/>
      <w:bookmarkStart w:id="376" w:name="_Toc528825596"/>
      <w:bookmarkStart w:id="377" w:name="_Toc528826420"/>
      <w:bookmarkStart w:id="378" w:name="_Toc528826790"/>
      <w:bookmarkStart w:id="379" w:name="_Toc18995463"/>
      <w:bookmarkStart w:id="380" w:name="_Toc18997016"/>
      <w:bookmarkStart w:id="381" w:name="_Toc21589402"/>
      <w:bookmarkStart w:id="382" w:name="_Toc21589927"/>
      <w:bookmarkStart w:id="383" w:name="_Toc21590321"/>
      <w:bookmarkStart w:id="384" w:name="_Toc21591517"/>
      <w:bookmarkStart w:id="385" w:name="_Toc21592275"/>
      <w:bookmarkStart w:id="386" w:name="_Toc21593006"/>
      <w:bookmarkStart w:id="387" w:name="_Toc23425762"/>
      <w:bookmarkStart w:id="388" w:name="_Toc24532769"/>
      <w:bookmarkStart w:id="389" w:name="_Toc24533172"/>
      <w:bookmarkStart w:id="390" w:name="_Toc24533573"/>
      <w:bookmarkStart w:id="391" w:name="_Toc24613567"/>
      <w:bookmarkStart w:id="392" w:name="_Toc105840213"/>
      <w:bookmarkStart w:id="393" w:name="_Toc105840615"/>
      <w:bookmarkStart w:id="394" w:name="_Toc106015334"/>
      <w:bookmarkStart w:id="395" w:name="_Toc110840811"/>
      <w:bookmarkStart w:id="396" w:name="_Toc111622670"/>
      <w:bookmarkStart w:id="397" w:name="_Toc528151908"/>
      <w:bookmarkStart w:id="398" w:name="_Toc528154680"/>
      <w:bookmarkStart w:id="399" w:name="_Toc528155190"/>
      <w:bookmarkStart w:id="400" w:name="_Toc528155946"/>
      <w:bookmarkStart w:id="401" w:name="_Toc528156467"/>
      <w:bookmarkStart w:id="402" w:name="_Toc528156992"/>
      <w:bookmarkStart w:id="403" w:name="_Toc528160503"/>
      <w:bookmarkStart w:id="404" w:name="_Toc528161023"/>
      <w:bookmarkStart w:id="405" w:name="_Toc528825597"/>
      <w:bookmarkStart w:id="406" w:name="_Toc528826421"/>
      <w:bookmarkStart w:id="407" w:name="_Toc528826791"/>
      <w:bookmarkStart w:id="408" w:name="_Toc18995464"/>
      <w:bookmarkStart w:id="409" w:name="_Toc18997017"/>
      <w:bookmarkStart w:id="410" w:name="_Toc21589403"/>
      <w:bookmarkStart w:id="411" w:name="_Toc21589928"/>
      <w:bookmarkStart w:id="412" w:name="_Toc21590322"/>
      <w:bookmarkStart w:id="413" w:name="_Toc21591518"/>
      <w:bookmarkStart w:id="414" w:name="_Toc21592276"/>
      <w:bookmarkStart w:id="415" w:name="_Toc21593007"/>
      <w:bookmarkStart w:id="416" w:name="_Toc23425763"/>
      <w:bookmarkStart w:id="417" w:name="_Toc24532770"/>
      <w:bookmarkStart w:id="418" w:name="_Toc24533173"/>
      <w:bookmarkStart w:id="419" w:name="_Toc24533574"/>
      <w:bookmarkStart w:id="420" w:name="_Toc24613568"/>
      <w:bookmarkStart w:id="421" w:name="_Toc105840214"/>
      <w:bookmarkStart w:id="422" w:name="_Toc105840616"/>
      <w:bookmarkStart w:id="423" w:name="_Toc106015335"/>
      <w:bookmarkStart w:id="424" w:name="_Toc110840812"/>
      <w:bookmarkStart w:id="425" w:name="_Toc111622671"/>
      <w:bookmarkStart w:id="426" w:name="_Toc528151909"/>
      <w:bookmarkStart w:id="427" w:name="_Toc528154681"/>
      <w:bookmarkStart w:id="428" w:name="_Toc528155191"/>
      <w:bookmarkStart w:id="429" w:name="_Toc528155947"/>
      <w:bookmarkStart w:id="430" w:name="_Toc528156468"/>
      <w:bookmarkStart w:id="431" w:name="_Toc528156993"/>
      <w:bookmarkStart w:id="432" w:name="_Toc528160504"/>
      <w:bookmarkStart w:id="433" w:name="_Toc528161024"/>
      <w:bookmarkStart w:id="434" w:name="_Toc528825598"/>
      <w:bookmarkStart w:id="435" w:name="_Toc528826422"/>
      <w:bookmarkStart w:id="436" w:name="_Toc528826792"/>
      <w:bookmarkStart w:id="437" w:name="_Toc18995465"/>
      <w:bookmarkStart w:id="438" w:name="_Toc18997018"/>
      <w:bookmarkStart w:id="439" w:name="_Toc21589404"/>
      <w:bookmarkStart w:id="440" w:name="_Toc21589929"/>
      <w:bookmarkStart w:id="441" w:name="_Toc21590323"/>
      <w:bookmarkStart w:id="442" w:name="_Toc21591519"/>
      <w:bookmarkStart w:id="443" w:name="_Toc21592277"/>
      <w:bookmarkStart w:id="444" w:name="_Toc21593008"/>
      <w:bookmarkStart w:id="445" w:name="_Toc23425764"/>
      <w:bookmarkStart w:id="446" w:name="_Toc24532771"/>
      <w:bookmarkStart w:id="447" w:name="_Toc24533174"/>
      <w:bookmarkStart w:id="448" w:name="_Toc24533575"/>
      <w:bookmarkStart w:id="449" w:name="_Toc24613569"/>
      <w:bookmarkStart w:id="450" w:name="_Toc105840215"/>
      <w:bookmarkStart w:id="451" w:name="_Toc105840617"/>
      <w:bookmarkStart w:id="452" w:name="_Toc106015336"/>
      <w:bookmarkStart w:id="453" w:name="_Toc110840813"/>
      <w:bookmarkStart w:id="454" w:name="_Toc111622672"/>
      <w:bookmarkStart w:id="455" w:name="_Toc528151910"/>
      <w:bookmarkStart w:id="456" w:name="_Toc528154682"/>
      <w:bookmarkStart w:id="457" w:name="_Toc528155192"/>
      <w:bookmarkStart w:id="458" w:name="_Toc528155948"/>
      <w:bookmarkStart w:id="459" w:name="_Toc528156469"/>
      <w:bookmarkStart w:id="460" w:name="_Toc528156994"/>
      <w:bookmarkStart w:id="461" w:name="_Toc528160505"/>
      <w:bookmarkStart w:id="462" w:name="_Toc528161025"/>
      <w:bookmarkStart w:id="463" w:name="_Toc528825599"/>
      <w:bookmarkStart w:id="464" w:name="_Toc528826423"/>
      <w:bookmarkStart w:id="465" w:name="_Toc528826793"/>
      <w:bookmarkStart w:id="466" w:name="_Toc18995466"/>
      <w:bookmarkStart w:id="467" w:name="_Toc18997019"/>
      <w:bookmarkStart w:id="468" w:name="_Toc21589405"/>
      <w:bookmarkStart w:id="469" w:name="_Toc21589930"/>
      <w:bookmarkStart w:id="470" w:name="_Toc21590324"/>
      <w:bookmarkStart w:id="471" w:name="_Toc21591520"/>
      <w:bookmarkStart w:id="472" w:name="_Toc21592278"/>
      <w:bookmarkStart w:id="473" w:name="_Toc21593009"/>
      <w:bookmarkStart w:id="474" w:name="_Toc23425765"/>
      <w:bookmarkStart w:id="475" w:name="_Toc24532772"/>
      <w:bookmarkStart w:id="476" w:name="_Toc24533175"/>
      <w:bookmarkStart w:id="477" w:name="_Toc24533576"/>
      <w:bookmarkStart w:id="478" w:name="_Toc24613570"/>
      <w:bookmarkStart w:id="479" w:name="_Toc105840216"/>
      <w:bookmarkStart w:id="480" w:name="_Toc105840618"/>
      <w:bookmarkStart w:id="481" w:name="_Toc106015337"/>
      <w:bookmarkStart w:id="482" w:name="_Toc110840814"/>
      <w:bookmarkStart w:id="483" w:name="_Toc111622673"/>
      <w:bookmarkStart w:id="484" w:name="_Toc528151911"/>
      <w:bookmarkStart w:id="485" w:name="_Toc528154683"/>
      <w:bookmarkStart w:id="486" w:name="_Toc528155193"/>
      <w:bookmarkStart w:id="487" w:name="_Toc528155949"/>
      <w:bookmarkStart w:id="488" w:name="_Toc528156470"/>
      <w:bookmarkStart w:id="489" w:name="_Toc528156995"/>
      <w:bookmarkStart w:id="490" w:name="_Toc528160506"/>
      <w:bookmarkStart w:id="491" w:name="_Toc528161026"/>
      <w:bookmarkStart w:id="492" w:name="_Toc528825600"/>
      <w:bookmarkStart w:id="493" w:name="_Toc528826424"/>
      <w:bookmarkStart w:id="494" w:name="_Toc528826794"/>
      <w:bookmarkStart w:id="495" w:name="_Toc18995467"/>
      <w:bookmarkStart w:id="496" w:name="_Toc18997020"/>
      <w:bookmarkStart w:id="497" w:name="_Toc21589406"/>
      <w:bookmarkStart w:id="498" w:name="_Toc21589931"/>
      <w:bookmarkStart w:id="499" w:name="_Toc21590325"/>
      <w:bookmarkStart w:id="500" w:name="_Toc21591521"/>
      <w:bookmarkStart w:id="501" w:name="_Toc21592279"/>
      <w:bookmarkStart w:id="502" w:name="_Toc21593010"/>
      <w:bookmarkStart w:id="503" w:name="_Toc23425766"/>
      <w:bookmarkStart w:id="504" w:name="_Toc24532773"/>
      <w:bookmarkStart w:id="505" w:name="_Toc24533176"/>
      <w:bookmarkStart w:id="506" w:name="_Toc24533577"/>
      <w:bookmarkStart w:id="507" w:name="_Toc24613571"/>
      <w:bookmarkStart w:id="508" w:name="_Toc105840217"/>
      <w:bookmarkStart w:id="509" w:name="_Toc105840619"/>
      <w:bookmarkStart w:id="510" w:name="_Toc106015338"/>
      <w:bookmarkStart w:id="511" w:name="_Toc110840815"/>
      <w:bookmarkStart w:id="512" w:name="_Toc111622674"/>
      <w:bookmarkStart w:id="513" w:name="_Toc528151912"/>
      <w:bookmarkStart w:id="514" w:name="_Toc528154684"/>
      <w:bookmarkStart w:id="515" w:name="_Toc528155194"/>
      <w:bookmarkStart w:id="516" w:name="_Toc528155950"/>
      <w:bookmarkStart w:id="517" w:name="_Toc528156471"/>
      <w:bookmarkStart w:id="518" w:name="_Toc528156996"/>
      <w:bookmarkStart w:id="519" w:name="_Toc528160507"/>
      <w:bookmarkStart w:id="520" w:name="_Toc528161027"/>
      <w:bookmarkStart w:id="521" w:name="_Toc528825601"/>
      <w:bookmarkStart w:id="522" w:name="_Toc528826425"/>
      <w:bookmarkStart w:id="523" w:name="_Toc528826795"/>
      <w:bookmarkStart w:id="524" w:name="_Toc18995468"/>
      <w:bookmarkStart w:id="525" w:name="_Toc18997021"/>
      <w:bookmarkStart w:id="526" w:name="_Toc21589407"/>
      <w:bookmarkStart w:id="527" w:name="_Toc21589932"/>
      <w:bookmarkStart w:id="528" w:name="_Toc21590326"/>
      <w:bookmarkStart w:id="529" w:name="_Toc21591522"/>
      <w:bookmarkStart w:id="530" w:name="_Toc21592280"/>
      <w:bookmarkStart w:id="531" w:name="_Toc21593011"/>
      <w:bookmarkStart w:id="532" w:name="_Toc23425767"/>
      <w:bookmarkStart w:id="533" w:name="_Toc24532774"/>
      <w:bookmarkStart w:id="534" w:name="_Toc24533177"/>
      <w:bookmarkStart w:id="535" w:name="_Toc24533578"/>
      <w:bookmarkStart w:id="536" w:name="_Toc24613572"/>
      <w:bookmarkStart w:id="537" w:name="_Toc105840218"/>
      <w:bookmarkStart w:id="538" w:name="_Toc105840620"/>
      <w:bookmarkStart w:id="539" w:name="_Toc106015339"/>
      <w:bookmarkStart w:id="540" w:name="_Toc110840816"/>
      <w:bookmarkStart w:id="541" w:name="_Toc111622675"/>
      <w:bookmarkStart w:id="542" w:name="_Toc464482637"/>
      <w:bookmarkStart w:id="543" w:name="_Toc464482903"/>
      <w:bookmarkStart w:id="544" w:name="_Toc464483163"/>
      <w:bookmarkStart w:id="545" w:name="_Toc464483429"/>
      <w:bookmarkStart w:id="546" w:name="_Toc464483701"/>
      <w:bookmarkStart w:id="547" w:name="_Toc464483967"/>
      <w:bookmarkStart w:id="548" w:name="_Toc464484406"/>
      <w:bookmarkStart w:id="549" w:name="_Toc464484687"/>
      <w:bookmarkStart w:id="550" w:name="_Toc464488139"/>
      <w:bookmarkStart w:id="551" w:name="_Toc464743011"/>
      <w:bookmarkStart w:id="552" w:name="_Toc464743643"/>
      <w:bookmarkStart w:id="553" w:name="_Toc464744873"/>
      <w:bookmarkStart w:id="554" w:name="_Toc464745422"/>
      <w:bookmarkStart w:id="555" w:name="_Toc464745931"/>
      <w:bookmarkStart w:id="556" w:name="_Toc464746957"/>
      <w:bookmarkStart w:id="557" w:name="_Toc464747235"/>
      <w:bookmarkStart w:id="558" w:name="_Toc464747519"/>
      <w:bookmarkStart w:id="559" w:name="_Toc464747791"/>
      <w:bookmarkStart w:id="560" w:name="_Toc464748535"/>
      <w:bookmarkStart w:id="561" w:name="_Toc464749267"/>
      <w:bookmarkStart w:id="562" w:name="_Toc465148849"/>
      <w:bookmarkStart w:id="563" w:name="_Toc465167850"/>
      <w:bookmarkStart w:id="564" w:name="_Toc489943131"/>
      <w:bookmarkStart w:id="565" w:name="_Toc489943421"/>
      <w:bookmarkStart w:id="566" w:name="_Toc489943711"/>
      <w:bookmarkStart w:id="567" w:name="_Toc491156196"/>
      <w:bookmarkStart w:id="568" w:name="_Toc491157046"/>
      <w:bookmarkStart w:id="569" w:name="_Toc491157341"/>
      <w:bookmarkStart w:id="570" w:name="_Toc491157635"/>
      <w:bookmarkStart w:id="571" w:name="_Toc491157927"/>
      <w:bookmarkStart w:id="572" w:name="_Toc491178368"/>
      <w:bookmarkStart w:id="573" w:name="_Toc491180040"/>
      <w:bookmarkStart w:id="574" w:name="_Toc491180334"/>
      <w:bookmarkStart w:id="575" w:name="_Toc491180710"/>
      <w:bookmarkStart w:id="576" w:name="_Toc491181430"/>
      <w:bookmarkStart w:id="577" w:name="_Toc491183039"/>
      <w:bookmarkStart w:id="578" w:name="_Toc491183327"/>
      <w:bookmarkStart w:id="579" w:name="_Toc491184565"/>
      <w:bookmarkStart w:id="580" w:name="_Toc491184850"/>
      <w:bookmarkStart w:id="581" w:name="_Toc491185130"/>
      <w:bookmarkStart w:id="582" w:name="_Toc491185406"/>
      <w:bookmarkStart w:id="583" w:name="_Toc491250020"/>
      <w:bookmarkStart w:id="584" w:name="_Toc491261875"/>
      <w:bookmarkStart w:id="585" w:name="_Toc491263378"/>
      <w:bookmarkStart w:id="586" w:name="_Toc491265415"/>
      <w:bookmarkStart w:id="587" w:name="_Toc491265707"/>
      <w:bookmarkStart w:id="588" w:name="_Toc491266001"/>
      <w:bookmarkStart w:id="589" w:name="_Toc491267160"/>
      <w:bookmarkStart w:id="590" w:name="_Toc491267945"/>
      <w:bookmarkStart w:id="591" w:name="_Toc491268454"/>
      <w:bookmarkStart w:id="592" w:name="_Toc491324782"/>
      <w:bookmarkStart w:id="593" w:name="_Toc491325200"/>
      <w:bookmarkStart w:id="594" w:name="_Toc491325471"/>
      <w:bookmarkStart w:id="595" w:name="_Toc491325743"/>
      <w:bookmarkStart w:id="596" w:name="_Toc491326166"/>
      <w:bookmarkStart w:id="597" w:name="_Toc491326581"/>
      <w:bookmarkStart w:id="598" w:name="_Toc491326849"/>
      <w:bookmarkStart w:id="599" w:name="_Toc491327121"/>
      <w:bookmarkStart w:id="600" w:name="_Toc491775691"/>
      <w:bookmarkStart w:id="601" w:name="_Toc491776359"/>
      <w:bookmarkStart w:id="602" w:name="_Toc491776817"/>
      <w:bookmarkStart w:id="603" w:name="_Toc491777619"/>
      <w:bookmarkStart w:id="604" w:name="_Toc491777911"/>
      <w:bookmarkStart w:id="605" w:name="_Toc491778202"/>
      <w:bookmarkStart w:id="606" w:name="_Toc491843014"/>
      <w:bookmarkStart w:id="607" w:name="_Toc492389502"/>
      <w:bookmarkStart w:id="608" w:name="_Toc492568351"/>
      <w:bookmarkStart w:id="609" w:name="_Toc492982103"/>
      <w:bookmarkStart w:id="610" w:name="_Toc492982401"/>
      <w:bookmarkStart w:id="611" w:name="_Toc492982963"/>
      <w:bookmarkStart w:id="612" w:name="_Toc492983481"/>
      <w:bookmarkStart w:id="613" w:name="_Toc492984150"/>
      <w:bookmarkStart w:id="614" w:name="_Toc492984449"/>
      <w:bookmarkStart w:id="615" w:name="_Toc492984748"/>
      <w:bookmarkStart w:id="616" w:name="_Toc493079093"/>
      <w:bookmarkStart w:id="617" w:name="_Toc493079391"/>
      <w:bookmarkStart w:id="618" w:name="_Toc493079690"/>
      <w:bookmarkStart w:id="619" w:name="_Toc493162415"/>
      <w:bookmarkStart w:id="620" w:name="_Toc493162718"/>
      <w:bookmarkStart w:id="621" w:name="_Toc494097078"/>
      <w:bookmarkStart w:id="622" w:name="_Toc494103041"/>
      <w:bookmarkStart w:id="623" w:name="_Toc494109283"/>
      <w:bookmarkStart w:id="624" w:name="_Toc494109581"/>
      <w:bookmarkStart w:id="625" w:name="_Toc494110558"/>
      <w:bookmarkStart w:id="626" w:name="_Toc494113346"/>
      <w:bookmarkStart w:id="627" w:name="_Toc494113644"/>
      <w:bookmarkStart w:id="628" w:name="_Toc494114239"/>
      <w:bookmarkStart w:id="629" w:name="_Toc494114537"/>
      <w:bookmarkStart w:id="630" w:name="_Toc494114835"/>
      <w:bookmarkStart w:id="631" w:name="_Toc494352276"/>
      <w:bookmarkStart w:id="632" w:name="_Toc495584417"/>
      <w:bookmarkStart w:id="633" w:name="_Toc496089945"/>
      <w:bookmarkStart w:id="634" w:name="_Toc496090294"/>
      <w:bookmarkStart w:id="635" w:name="_Toc496091058"/>
      <w:bookmarkStart w:id="636" w:name="_Toc496091354"/>
      <w:bookmarkStart w:id="637" w:name="_Toc496108477"/>
      <w:bookmarkStart w:id="638" w:name="_Toc526342199"/>
      <w:bookmarkStart w:id="639" w:name="_Toc526342513"/>
      <w:bookmarkStart w:id="640" w:name="_Toc526342827"/>
      <w:bookmarkStart w:id="641" w:name="_Toc526343141"/>
      <w:bookmarkStart w:id="642" w:name="_Toc526343455"/>
      <w:bookmarkStart w:id="643" w:name="_Toc526343769"/>
      <w:bookmarkStart w:id="644" w:name="_Toc526344082"/>
      <w:bookmarkStart w:id="645" w:name="_Toc526344397"/>
      <w:bookmarkStart w:id="646" w:name="_Toc526344763"/>
      <w:bookmarkStart w:id="647" w:name="_Toc526345075"/>
      <w:bookmarkStart w:id="648" w:name="_Toc526345389"/>
      <w:bookmarkStart w:id="649" w:name="_Toc526345703"/>
      <w:bookmarkStart w:id="650" w:name="_Toc526346017"/>
      <w:bookmarkStart w:id="651" w:name="_Toc526346337"/>
      <w:bookmarkStart w:id="652" w:name="_Toc526346651"/>
      <w:bookmarkStart w:id="653" w:name="_Toc526346966"/>
      <w:bookmarkStart w:id="654" w:name="_Toc526347280"/>
      <w:bookmarkStart w:id="655" w:name="_Toc527013720"/>
      <w:bookmarkStart w:id="656" w:name="_Toc527014910"/>
      <w:bookmarkStart w:id="657" w:name="_Toc527015245"/>
      <w:bookmarkStart w:id="658" w:name="_Toc527016066"/>
      <w:bookmarkStart w:id="659" w:name="_Toc527016401"/>
      <w:bookmarkStart w:id="660" w:name="_Toc527016734"/>
      <w:bookmarkStart w:id="661" w:name="_Toc527017069"/>
      <w:bookmarkStart w:id="662" w:name="_Toc527017404"/>
      <w:bookmarkStart w:id="663" w:name="_Toc527017737"/>
      <w:bookmarkStart w:id="664" w:name="_Toc527018070"/>
      <w:bookmarkStart w:id="665" w:name="_Toc527018404"/>
      <w:bookmarkStart w:id="666" w:name="_Toc527018737"/>
      <w:bookmarkStart w:id="667" w:name="_Toc527019257"/>
      <w:bookmarkStart w:id="668" w:name="_Toc527019809"/>
      <w:bookmarkStart w:id="669" w:name="_Toc527020101"/>
      <w:bookmarkStart w:id="670" w:name="_Toc527020394"/>
      <w:bookmarkStart w:id="671" w:name="_Toc527020686"/>
      <w:bookmarkStart w:id="672" w:name="_Toc527020978"/>
      <w:bookmarkStart w:id="673" w:name="_Toc527021271"/>
      <w:bookmarkStart w:id="674" w:name="_Toc527021563"/>
      <w:bookmarkStart w:id="675" w:name="_Toc527021739"/>
      <w:bookmarkStart w:id="676" w:name="_Toc527022090"/>
      <w:bookmarkStart w:id="677" w:name="_Toc527023138"/>
      <w:bookmarkStart w:id="678" w:name="_Toc527023963"/>
      <w:bookmarkStart w:id="679" w:name="_Toc527024838"/>
      <w:bookmarkStart w:id="680" w:name="_Toc527025152"/>
      <w:bookmarkStart w:id="681" w:name="_Toc527025467"/>
      <w:bookmarkStart w:id="682" w:name="_Toc527026425"/>
      <w:bookmarkStart w:id="683" w:name="_Toc526342200"/>
      <w:bookmarkStart w:id="684" w:name="_Toc526342514"/>
      <w:bookmarkStart w:id="685" w:name="_Toc526342828"/>
      <w:bookmarkStart w:id="686" w:name="_Toc526343142"/>
      <w:bookmarkStart w:id="687" w:name="_Toc526343456"/>
      <w:bookmarkStart w:id="688" w:name="_Toc526343770"/>
      <w:bookmarkStart w:id="689" w:name="_Toc526344083"/>
      <w:bookmarkStart w:id="690" w:name="_Toc526344398"/>
      <w:bookmarkStart w:id="691" w:name="_Toc526344764"/>
      <w:bookmarkStart w:id="692" w:name="_Toc526345076"/>
      <w:bookmarkStart w:id="693" w:name="_Toc526345390"/>
      <w:bookmarkStart w:id="694" w:name="_Toc526345704"/>
      <w:bookmarkStart w:id="695" w:name="_Toc526346018"/>
      <w:bookmarkStart w:id="696" w:name="_Toc526346338"/>
      <w:bookmarkStart w:id="697" w:name="_Toc526346652"/>
      <w:bookmarkStart w:id="698" w:name="_Toc526346967"/>
      <w:bookmarkStart w:id="699" w:name="_Toc526347281"/>
      <w:bookmarkStart w:id="700" w:name="_Toc527013721"/>
      <w:bookmarkStart w:id="701" w:name="_Toc527014911"/>
      <w:bookmarkStart w:id="702" w:name="_Toc527015246"/>
      <w:bookmarkStart w:id="703" w:name="_Toc527016067"/>
      <w:bookmarkStart w:id="704" w:name="_Toc527016402"/>
      <w:bookmarkStart w:id="705" w:name="_Toc527016735"/>
      <w:bookmarkStart w:id="706" w:name="_Toc527017070"/>
      <w:bookmarkStart w:id="707" w:name="_Toc527017405"/>
      <w:bookmarkStart w:id="708" w:name="_Toc527017738"/>
      <w:bookmarkStart w:id="709" w:name="_Toc527018071"/>
      <w:bookmarkStart w:id="710" w:name="_Toc527018405"/>
      <w:bookmarkStart w:id="711" w:name="_Toc527018738"/>
      <w:bookmarkStart w:id="712" w:name="_Toc527019258"/>
      <w:bookmarkStart w:id="713" w:name="_Toc527019810"/>
      <w:bookmarkStart w:id="714" w:name="_Toc527020102"/>
      <w:bookmarkStart w:id="715" w:name="_Toc527020395"/>
      <w:bookmarkStart w:id="716" w:name="_Toc527020687"/>
      <w:bookmarkStart w:id="717" w:name="_Toc527020979"/>
      <w:bookmarkStart w:id="718" w:name="_Toc527021272"/>
      <w:bookmarkStart w:id="719" w:name="_Toc527021564"/>
      <w:bookmarkStart w:id="720" w:name="_Toc527021740"/>
      <w:bookmarkStart w:id="721" w:name="_Toc527022091"/>
      <w:bookmarkStart w:id="722" w:name="_Toc527023139"/>
      <w:bookmarkStart w:id="723" w:name="_Toc527023964"/>
      <w:bookmarkStart w:id="724" w:name="_Toc527024839"/>
      <w:bookmarkStart w:id="725" w:name="_Toc527025153"/>
      <w:bookmarkStart w:id="726" w:name="_Toc527025468"/>
      <w:bookmarkStart w:id="727" w:name="_Toc527026426"/>
      <w:bookmarkStart w:id="728" w:name="_Toc528151929"/>
      <w:bookmarkStart w:id="729" w:name="_Toc528152990"/>
      <w:bookmarkStart w:id="730" w:name="_Toc528153589"/>
      <w:bookmarkStart w:id="731" w:name="_Toc528154701"/>
      <w:bookmarkStart w:id="732" w:name="_Toc528155211"/>
      <w:bookmarkStart w:id="733" w:name="_Toc528155967"/>
      <w:bookmarkStart w:id="734" w:name="_Toc528156488"/>
      <w:bookmarkStart w:id="735" w:name="_Toc528157013"/>
      <w:bookmarkStart w:id="736" w:name="_Toc528160524"/>
      <w:bookmarkStart w:id="737" w:name="_Toc528161044"/>
      <w:bookmarkStart w:id="738" w:name="_Toc528825618"/>
      <w:bookmarkStart w:id="739" w:name="_Toc528826442"/>
      <w:bookmarkStart w:id="740" w:name="_Toc528826812"/>
      <w:bookmarkStart w:id="741" w:name="_Toc18995485"/>
      <w:bookmarkStart w:id="742" w:name="_Toc18997038"/>
      <w:bookmarkStart w:id="743" w:name="_Toc21589424"/>
      <w:bookmarkStart w:id="744" w:name="_Toc21589949"/>
      <w:bookmarkStart w:id="745" w:name="_Toc21590343"/>
      <w:bookmarkStart w:id="746" w:name="_Toc21591539"/>
      <w:bookmarkStart w:id="747" w:name="_Toc21592297"/>
      <w:bookmarkStart w:id="748" w:name="_Toc21593028"/>
      <w:bookmarkStart w:id="749" w:name="_Toc23425784"/>
      <w:bookmarkStart w:id="750" w:name="_Toc24532791"/>
      <w:bookmarkStart w:id="751" w:name="_Toc24533194"/>
      <w:bookmarkStart w:id="752" w:name="_Toc24533595"/>
      <w:bookmarkStart w:id="753" w:name="_Toc24613589"/>
      <w:bookmarkStart w:id="754" w:name="_Toc105840235"/>
      <w:bookmarkStart w:id="755" w:name="_Toc105840637"/>
      <w:bookmarkStart w:id="756" w:name="_Toc106015356"/>
      <w:bookmarkStart w:id="757" w:name="_Toc110840833"/>
      <w:bookmarkStart w:id="758" w:name="_Toc111622692"/>
      <w:bookmarkStart w:id="759" w:name="_Toc526342344"/>
      <w:bookmarkStart w:id="760" w:name="_Toc526342658"/>
      <w:bookmarkStart w:id="761" w:name="_Toc526342972"/>
      <w:bookmarkStart w:id="762" w:name="_Toc526343286"/>
      <w:bookmarkStart w:id="763" w:name="_Toc526343600"/>
      <w:bookmarkStart w:id="764" w:name="_Toc526343914"/>
      <w:bookmarkStart w:id="765" w:name="_Toc526344227"/>
      <w:bookmarkStart w:id="766" w:name="_Toc526344542"/>
      <w:bookmarkStart w:id="767" w:name="_Toc526344908"/>
      <w:bookmarkStart w:id="768" w:name="_Toc526345220"/>
      <w:bookmarkStart w:id="769" w:name="_Toc526345534"/>
      <w:bookmarkStart w:id="770" w:name="_Toc526345848"/>
      <w:bookmarkStart w:id="771" w:name="_Toc526346162"/>
      <w:bookmarkStart w:id="772" w:name="_Toc526346482"/>
      <w:bookmarkStart w:id="773" w:name="_Toc526346796"/>
      <w:bookmarkStart w:id="774" w:name="_Toc526347111"/>
      <w:bookmarkStart w:id="775" w:name="_Toc526347425"/>
      <w:bookmarkStart w:id="776" w:name="_Toc527013867"/>
      <w:bookmarkStart w:id="777" w:name="_Toc527015057"/>
      <w:bookmarkStart w:id="778" w:name="_Toc527015392"/>
      <w:bookmarkStart w:id="779" w:name="_Toc527016213"/>
      <w:bookmarkStart w:id="780" w:name="_Toc527016548"/>
      <w:bookmarkStart w:id="781" w:name="_Toc527016881"/>
      <w:bookmarkStart w:id="782" w:name="_Toc527017216"/>
      <w:bookmarkStart w:id="783" w:name="_Toc527017551"/>
      <w:bookmarkStart w:id="784" w:name="_Toc527017884"/>
      <w:bookmarkStart w:id="785" w:name="_Toc527018217"/>
      <w:bookmarkStart w:id="786" w:name="_Toc527018551"/>
      <w:bookmarkStart w:id="787" w:name="_Toc527018884"/>
      <w:bookmarkStart w:id="788" w:name="_Toc527019404"/>
      <w:bookmarkStart w:id="789" w:name="_Toc527019928"/>
      <w:bookmarkStart w:id="790" w:name="_Toc527020220"/>
      <w:bookmarkStart w:id="791" w:name="_Toc527020513"/>
      <w:bookmarkStart w:id="792" w:name="_Toc527020805"/>
      <w:bookmarkStart w:id="793" w:name="_Toc527021097"/>
      <w:bookmarkStart w:id="794" w:name="_Toc527021390"/>
      <w:bookmarkStart w:id="795" w:name="_Toc527021682"/>
      <w:bookmarkStart w:id="796" w:name="_Toc527021886"/>
      <w:bookmarkStart w:id="797" w:name="_Toc527022237"/>
      <w:bookmarkStart w:id="798" w:name="_Toc527023285"/>
      <w:bookmarkStart w:id="799" w:name="_Toc527024110"/>
      <w:bookmarkStart w:id="800" w:name="_Toc527024985"/>
      <w:bookmarkStart w:id="801" w:name="_Toc527025299"/>
      <w:bookmarkStart w:id="802" w:name="_Toc527025614"/>
      <w:bookmarkStart w:id="803" w:name="_Toc527026572"/>
      <w:bookmarkStart w:id="804" w:name="_Toc528152227"/>
      <w:bookmarkStart w:id="805" w:name="_Toc528153260"/>
      <w:bookmarkStart w:id="806" w:name="_Toc528153859"/>
      <w:bookmarkStart w:id="807" w:name="_Toc528154999"/>
      <w:bookmarkStart w:id="808" w:name="_Toc528155509"/>
      <w:bookmarkStart w:id="809" w:name="_Toc528156281"/>
      <w:bookmarkStart w:id="810" w:name="_Toc464482755"/>
      <w:bookmarkStart w:id="811" w:name="_Toc464483021"/>
      <w:bookmarkStart w:id="812" w:name="_Toc464483281"/>
      <w:bookmarkStart w:id="813" w:name="_Toc464483547"/>
      <w:bookmarkStart w:id="814" w:name="_Toc464483819"/>
      <w:bookmarkStart w:id="815" w:name="_Toc464484085"/>
      <w:bookmarkStart w:id="816" w:name="_Toc464484524"/>
      <w:bookmarkStart w:id="817" w:name="_Toc464484804"/>
      <w:bookmarkStart w:id="818" w:name="_Toc464488256"/>
      <w:bookmarkStart w:id="819" w:name="_Toc464743128"/>
      <w:bookmarkStart w:id="820" w:name="_Toc464743760"/>
      <w:bookmarkStart w:id="821" w:name="_Toc464744990"/>
      <w:bookmarkStart w:id="822" w:name="_Toc464745539"/>
      <w:bookmarkStart w:id="823" w:name="_Toc464746048"/>
      <w:bookmarkStart w:id="824" w:name="_Toc464747074"/>
      <w:bookmarkStart w:id="825" w:name="_Toc464747352"/>
      <w:bookmarkStart w:id="826" w:name="_Toc464747636"/>
      <w:bookmarkStart w:id="827" w:name="_Toc464747908"/>
      <w:bookmarkStart w:id="828" w:name="_Toc464748669"/>
      <w:bookmarkStart w:id="829" w:name="_Toc464749401"/>
      <w:bookmarkStart w:id="830" w:name="_Toc465148983"/>
      <w:bookmarkStart w:id="831" w:name="_Toc465167984"/>
      <w:bookmarkStart w:id="832" w:name="_Toc489943265"/>
      <w:bookmarkStart w:id="833" w:name="_Toc489943555"/>
      <w:bookmarkStart w:id="834" w:name="_Toc489943845"/>
      <w:bookmarkStart w:id="835" w:name="_Toc491156343"/>
      <w:bookmarkStart w:id="836" w:name="_Toc491157183"/>
      <w:bookmarkStart w:id="837" w:name="_Toc491157477"/>
      <w:bookmarkStart w:id="838" w:name="_Toc491157769"/>
      <w:bookmarkStart w:id="839" w:name="_Toc491158061"/>
      <w:bookmarkStart w:id="840" w:name="_Toc491178502"/>
      <w:bookmarkStart w:id="841" w:name="_Toc491180174"/>
      <w:bookmarkStart w:id="842" w:name="_Toc491180468"/>
      <w:bookmarkStart w:id="843" w:name="_Toc491180844"/>
      <w:bookmarkStart w:id="844" w:name="_Toc491181564"/>
      <w:bookmarkStart w:id="845" w:name="_Toc491183173"/>
      <w:bookmarkStart w:id="846" w:name="_Toc491183457"/>
      <w:bookmarkStart w:id="847" w:name="_Toc491184695"/>
      <w:bookmarkStart w:id="848" w:name="_Toc491184980"/>
      <w:bookmarkStart w:id="849" w:name="_Toc491185260"/>
      <w:bookmarkStart w:id="850" w:name="_Toc491185536"/>
      <w:bookmarkStart w:id="851" w:name="_Toc491250150"/>
      <w:bookmarkStart w:id="852" w:name="_Toc491262007"/>
      <w:bookmarkStart w:id="853" w:name="_Toc491263512"/>
      <w:bookmarkStart w:id="854" w:name="_Toc491265547"/>
      <w:bookmarkStart w:id="855" w:name="_Toc491265841"/>
      <w:bookmarkStart w:id="856" w:name="_Toc491266135"/>
      <w:bookmarkStart w:id="857" w:name="_Toc491267294"/>
      <w:bookmarkStart w:id="858" w:name="_Toc491268079"/>
      <w:bookmarkStart w:id="859" w:name="_Toc18995701"/>
      <w:bookmarkStart w:id="860" w:name="_Toc18997254"/>
      <w:bookmarkStart w:id="861" w:name="_Toc21589643"/>
      <w:bookmarkStart w:id="862" w:name="_Toc21590168"/>
      <w:bookmarkStart w:id="863" w:name="_Toc21590562"/>
      <w:bookmarkStart w:id="864" w:name="_Toc21591758"/>
      <w:bookmarkStart w:id="865" w:name="_Toc21592516"/>
      <w:bookmarkStart w:id="866" w:name="_Toc21593247"/>
      <w:bookmarkStart w:id="867" w:name="_Toc23426001"/>
      <w:bookmarkStart w:id="868" w:name="_Toc24533008"/>
      <w:bookmarkStart w:id="869" w:name="_Toc24533411"/>
      <w:bookmarkStart w:id="870" w:name="_Toc24533812"/>
      <w:bookmarkStart w:id="871" w:name="_Toc24613806"/>
      <w:bookmarkStart w:id="872" w:name="_Toc105840452"/>
      <w:bookmarkStart w:id="873" w:name="_Toc105840854"/>
      <w:bookmarkStart w:id="874" w:name="_Toc106015579"/>
      <w:bookmarkStart w:id="875" w:name="_Toc110841052"/>
      <w:bookmarkStart w:id="876" w:name="_Toc111622911"/>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sidRPr="00E025F9">
        <w:rPr>
          <w:b/>
        </w:rPr>
        <w:t xml:space="preserve">Previous </w:t>
      </w:r>
      <w:r>
        <w:rPr>
          <w:b/>
        </w:rPr>
        <w:t>Status</w:t>
      </w:r>
      <w:r w:rsidRPr="00E025F9">
        <w:rPr>
          <w:b/>
        </w:rPr>
        <w:t>:</w:t>
      </w:r>
    </w:p>
    <w:p w14:paraId="67380A96" w14:textId="3271B396" w:rsidR="00F4289C" w:rsidRDefault="000F384B" w:rsidP="000F384B">
      <w:pPr>
        <w:ind w:left="720"/>
      </w:pPr>
      <w:r>
        <w:t>2025:</w:t>
      </w:r>
      <w:r w:rsidR="00F4289C">
        <w:t xml:space="preserve"> </w:t>
      </w:r>
      <w:r w:rsidR="00BD6850">
        <w:t>Downgraded from Voting to Assigned with a request for a task group.</w:t>
      </w:r>
      <w:r w:rsidR="00F4289C">
        <w:t xml:space="preserve"> </w:t>
      </w:r>
    </w:p>
    <w:p w14:paraId="6BFB1952" w14:textId="77777777" w:rsidR="00F4289C" w:rsidRPr="00AB010B" w:rsidRDefault="00F4289C" w:rsidP="00E00705">
      <w:pPr>
        <w:keepNext/>
        <w:keepLines/>
        <w:spacing w:after="0"/>
        <w:rPr>
          <w:b/>
        </w:rPr>
      </w:pPr>
      <w:r w:rsidRPr="00AB010B">
        <w:rPr>
          <w:b/>
        </w:rPr>
        <w:lastRenderedPageBreak/>
        <w:t>Original Justification:</w:t>
      </w:r>
    </w:p>
    <w:p w14:paraId="1391178E" w14:textId="53D51980" w:rsidR="005C44A3" w:rsidRPr="005C44A3" w:rsidRDefault="005C44A3" w:rsidP="00E00705">
      <w:pPr>
        <w:keepNext/>
        <w:keepLines/>
      </w:pPr>
      <w:r w:rsidRPr="005C44A3">
        <w:t>This is a companion item to those changes requested for HB13</w:t>
      </w:r>
      <w:r>
        <w:t>0</w:t>
      </w:r>
      <w:r w:rsidRPr="005C44A3">
        <w:t>.</w:t>
      </w:r>
    </w:p>
    <w:p w14:paraId="40414FB1" w14:textId="77777777" w:rsidR="005C44A3" w:rsidRPr="005C44A3" w:rsidRDefault="005C44A3" w:rsidP="00E00705">
      <w:pPr>
        <w:keepNext/>
        <w:keepLines/>
      </w:pPr>
      <w:r w:rsidRPr="005C44A3">
        <w:t>In speaking with both weights and measures officials and industry, quite often both interpret the language "moisture allowance" to mean "tolerance" which should automatically be given to inspection results when a lot is found short. Changing the wording to "moisture consideration" should be </w:t>
      </w:r>
      <w:proofErr w:type="gramStart"/>
      <w:r w:rsidRPr="005C44A3">
        <w:t>more clear</w:t>
      </w:r>
      <w:proofErr w:type="gramEnd"/>
      <w:r w:rsidRPr="005C44A3">
        <w:t> that "Further information is required to determine lot compliance or noncompliance", as stated in the glossary.</w:t>
      </w:r>
    </w:p>
    <w:p w14:paraId="249B207B" w14:textId="77777777" w:rsidR="005C44A3" w:rsidRPr="005C44A3" w:rsidRDefault="005C44A3" w:rsidP="005C44A3">
      <w:pPr>
        <w:rPr>
          <w:b/>
          <w:bCs/>
        </w:rPr>
      </w:pPr>
      <w:r w:rsidRPr="005C44A3">
        <w:rPr>
          <w:b/>
          <w:bCs/>
        </w:rPr>
        <w:t>Possible Opposing Arguments:</w:t>
      </w:r>
    </w:p>
    <w:p w14:paraId="1B075028" w14:textId="4B41F2F0" w:rsidR="00F4289C" w:rsidRPr="003B4520" w:rsidRDefault="005C44A3" w:rsidP="00F4289C">
      <w:r w:rsidRPr="005C44A3">
        <w:t>Some industries may believe "moisture allowance" should be used as a tolerance and have always used it as same. There may also be enforcement jurisdictions that want to continue to use it as a tolerance rather than conducting additional investigations into the root cause of shortages found in those packages that allow moisture</w:t>
      </w:r>
      <w:r w:rsidR="0080012B">
        <w:t xml:space="preserve"> consideration. </w:t>
      </w:r>
    </w:p>
    <w:p w14:paraId="029AE1A1" w14:textId="77777777" w:rsidR="00F4289C" w:rsidRPr="002A7C3B" w:rsidRDefault="00F4289C" w:rsidP="00F4289C">
      <w:pPr>
        <w:keepNext/>
        <w:rPr>
          <w:b/>
        </w:rPr>
      </w:pPr>
      <w:bookmarkStart w:id="877" w:name="_Hlk188251463"/>
      <w:r>
        <w:rPr>
          <w:b/>
        </w:rPr>
        <w:t>Comments</w:t>
      </w:r>
      <w:r w:rsidRPr="002A7C3B">
        <w:rPr>
          <w:b/>
        </w:rPr>
        <w:t xml:space="preserve"> in Favor:</w:t>
      </w:r>
    </w:p>
    <w:p w14:paraId="0ACEA1D4" w14:textId="0CF6D38C" w:rsidR="00F4289C" w:rsidRPr="002A7C3B" w:rsidRDefault="0042639E" w:rsidP="00F4289C">
      <w:pPr>
        <w:keepNext/>
        <w:spacing w:after="0"/>
        <w:ind w:left="720"/>
        <w:rPr>
          <w:b/>
        </w:rPr>
      </w:pPr>
      <w:r>
        <w:rPr>
          <w:b/>
        </w:rPr>
        <w:t>Weights and Measures Officials</w:t>
      </w:r>
      <w:r w:rsidR="00F4289C" w:rsidRPr="002A7C3B">
        <w:rPr>
          <w:b/>
        </w:rPr>
        <w:t>:</w:t>
      </w:r>
    </w:p>
    <w:p w14:paraId="4CEC2384" w14:textId="24A9841B" w:rsidR="00DF04EF" w:rsidRDefault="00024E52" w:rsidP="00B530E4">
      <w:pPr>
        <w:pStyle w:val="ListParagraph"/>
        <w:keepNext/>
        <w:keepLines/>
        <w:numPr>
          <w:ilvl w:val="0"/>
          <w:numId w:val="27"/>
        </w:numPr>
        <w:spacing w:after="0"/>
        <w:contextualSpacing/>
      </w:pPr>
      <w:r>
        <w:t>None</w:t>
      </w:r>
    </w:p>
    <w:p w14:paraId="3A36E233" w14:textId="77777777" w:rsidR="00F4289C" w:rsidRPr="002A7C3B" w:rsidRDefault="00F4289C" w:rsidP="00F4289C">
      <w:pPr>
        <w:spacing w:before="240" w:after="0"/>
        <w:ind w:left="720"/>
        <w:rPr>
          <w:b/>
        </w:rPr>
      </w:pPr>
      <w:r w:rsidRPr="002A7C3B">
        <w:rPr>
          <w:b/>
        </w:rPr>
        <w:t>Industry:</w:t>
      </w:r>
    </w:p>
    <w:p w14:paraId="6690A25E" w14:textId="114C2CDE" w:rsidR="00F4289C" w:rsidRPr="002A7C3B" w:rsidRDefault="00024E52" w:rsidP="00F4289C">
      <w:pPr>
        <w:pStyle w:val="ListParagraph"/>
        <w:numPr>
          <w:ilvl w:val="0"/>
          <w:numId w:val="26"/>
        </w:numPr>
        <w:spacing w:after="0" w:line="259" w:lineRule="auto"/>
        <w:contextualSpacing/>
        <w:jc w:val="left"/>
      </w:pPr>
      <w:r>
        <w:t>None</w:t>
      </w:r>
    </w:p>
    <w:p w14:paraId="55B1DE97" w14:textId="77777777" w:rsidR="00F4289C" w:rsidRPr="002A7C3B" w:rsidRDefault="00F4289C" w:rsidP="00F4289C">
      <w:pPr>
        <w:spacing w:before="240" w:after="0"/>
        <w:ind w:left="720"/>
        <w:rPr>
          <w:b/>
        </w:rPr>
      </w:pPr>
      <w:r w:rsidRPr="002A7C3B">
        <w:rPr>
          <w:b/>
        </w:rPr>
        <w:t>Advisory:</w:t>
      </w:r>
    </w:p>
    <w:p w14:paraId="23B53D05" w14:textId="612AAD61" w:rsidR="00F4289C" w:rsidRPr="002A7C3B" w:rsidRDefault="00024E52" w:rsidP="00F4289C">
      <w:pPr>
        <w:pStyle w:val="ListParagraph"/>
        <w:numPr>
          <w:ilvl w:val="0"/>
          <w:numId w:val="26"/>
        </w:numPr>
        <w:spacing w:after="0" w:line="259" w:lineRule="auto"/>
        <w:contextualSpacing/>
        <w:jc w:val="left"/>
      </w:pPr>
      <w:r>
        <w:t>None</w:t>
      </w:r>
    </w:p>
    <w:p w14:paraId="7AF2AD73" w14:textId="77777777" w:rsidR="00F4289C" w:rsidRPr="002A7C3B" w:rsidRDefault="00F4289C" w:rsidP="00E00705">
      <w:pPr>
        <w:spacing w:before="240"/>
        <w:rPr>
          <w:b/>
        </w:rPr>
      </w:pPr>
      <w:r>
        <w:rPr>
          <w:b/>
        </w:rPr>
        <w:t>Comments</w:t>
      </w:r>
      <w:r w:rsidRPr="002A7C3B">
        <w:rPr>
          <w:b/>
        </w:rPr>
        <w:t xml:space="preserve"> Against:</w:t>
      </w:r>
    </w:p>
    <w:p w14:paraId="2A7A0F3E" w14:textId="741E63A5" w:rsidR="00E942E9" w:rsidRPr="00E7709B" w:rsidRDefault="0042639E" w:rsidP="00B530E4">
      <w:pPr>
        <w:spacing w:after="0"/>
        <w:ind w:left="720"/>
      </w:pPr>
      <w:r>
        <w:rPr>
          <w:b/>
        </w:rPr>
        <w:t>Weights and Measures Officials</w:t>
      </w:r>
      <w:r w:rsidR="00F4289C" w:rsidRPr="002A7C3B">
        <w:rPr>
          <w:b/>
        </w:rPr>
        <w:t>:</w:t>
      </w:r>
    </w:p>
    <w:p w14:paraId="33A65BCC" w14:textId="780D2009" w:rsidR="00F4289C" w:rsidRPr="002A7C3B" w:rsidRDefault="00024E52" w:rsidP="00E00705">
      <w:pPr>
        <w:pStyle w:val="ListParagraph"/>
        <w:numPr>
          <w:ilvl w:val="0"/>
          <w:numId w:val="27"/>
        </w:numPr>
        <w:spacing w:after="0" w:line="259" w:lineRule="auto"/>
        <w:contextualSpacing/>
        <w:jc w:val="left"/>
      </w:pPr>
      <w:r>
        <w:t>None</w:t>
      </w:r>
    </w:p>
    <w:p w14:paraId="101C7F5F" w14:textId="77777777" w:rsidR="00F4289C" w:rsidRPr="002A7C3B" w:rsidRDefault="00F4289C" w:rsidP="00F4289C">
      <w:pPr>
        <w:spacing w:before="240" w:after="0"/>
        <w:ind w:left="720"/>
        <w:rPr>
          <w:b/>
        </w:rPr>
      </w:pPr>
      <w:r w:rsidRPr="002A7C3B">
        <w:rPr>
          <w:b/>
        </w:rPr>
        <w:t>Industry:</w:t>
      </w:r>
    </w:p>
    <w:p w14:paraId="5FB663E5" w14:textId="07EAFBDC" w:rsidR="00D50248" w:rsidRDefault="00024E52" w:rsidP="00F4289C">
      <w:pPr>
        <w:pStyle w:val="ListParagraph"/>
        <w:numPr>
          <w:ilvl w:val="0"/>
          <w:numId w:val="27"/>
        </w:numPr>
        <w:spacing w:after="0" w:line="259" w:lineRule="auto"/>
        <w:contextualSpacing/>
        <w:jc w:val="left"/>
      </w:pPr>
      <w:r>
        <w:t>None</w:t>
      </w:r>
    </w:p>
    <w:p w14:paraId="677DE437" w14:textId="77777777" w:rsidR="00F4289C" w:rsidRPr="00AC5B86" w:rsidRDefault="00F4289C" w:rsidP="00F4289C">
      <w:pPr>
        <w:spacing w:before="240" w:after="0"/>
        <w:ind w:left="720"/>
        <w:rPr>
          <w:b/>
        </w:rPr>
      </w:pPr>
      <w:r w:rsidRPr="002A7C3B">
        <w:rPr>
          <w:b/>
        </w:rPr>
        <w:t>Advisory:</w:t>
      </w:r>
    </w:p>
    <w:p w14:paraId="63A8F64F" w14:textId="664A0B44" w:rsidR="00F4289C" w:rsidRDefault="00024E52" w:rsidP="00F4289C">
      <w:pPr>
        <w:pStyle w:val="ListParagraph"/>
        <w:numPr>
          <w:ilvl w:val="0"/>
          <w:numId w:val="27"/>
        </w:numPr>
        <w:spacing w:after="0" w:line="259" w:lineRule="auto"/>
        <w:contextualSpacing/>
        <w:jc w:val="left"/>
      </w:pPr>
      <w:r>
        <w:t>None</w:t>
      </w:r>
    </w:p>
    <w:p w14:paraId="63FE16DA" w14:textId="77777777" w:rsidR="00F4289C" w:rsidRPr="002A7C3B" w:rsidRDefault="00F4289C" w:rsidP="00F4289C">
      <w:pPr>
        <w:spacing w:before="240"/>
        <w:rPr>
          <w:b/>
        </w:rPr>
      </w:pPr>
      <w:r>
        <w:rPr>
          <w:b/>
        </w:rPr>
        <w:t>Neutral Comments</w:t>
      </w:r>
      <w:r w:rsidRPr="002A7C3B">
        <w:rPr>
          <w:b/>
        </w:rPr>
        <w:t>:</w:t>
      </w:r>
    </w:p>
    <w:p w14:paraId="25BFA774" w14:textId="4CE19D36" w:rsidR="00F4289C" w:rsidRPr="002A7C3B" w:rsidRDefault="0042639E" w:rsidP="00F4289C">
      <w:pPr>
        <w:spacing w:after="0"/>
        <w:ind w:left="720"/>
        <w:rPr>
          <w:b/>
        </w:rPr>
      </w:pPr>
      <w:r>
        <w:rPr>
          <w:b/>
        </w:rPr>
        <w:t>Weights and Measures Officials</w:t>
      </w:r>
      <w:r w:rsidR="00F4289C" w:rsidRPr="002A7C3B">
        <w:rPr>
          <w:b/>
        </w:rPr>
        <w:t>:</w:t>
      </w:r>
    </w:p>
    <w:p w14:paraId="6AEBAD50" w14:textId="5F147253" w:rsidR="00CB73C6" w:rsidRPr="00CB73C6" w:rsidRDefault="00024E52" w:rsidP="00145614">
      <w:pPr>
        <w:pStyle w:val="ListParagraph"/>
        <w:keepNext/>
        <w:keepLines/>
        <w:numPr>
          <w:ilvl w:val="0"/>
          <w:numId w:val="27"/>
        </w:numPr>
        <w:spacing w:after="0"/>
        <w:contextualSpacing/>
        <w:rPr>
          <w:b/>
        </w:rPr>
      </w:pPr>
      <w:r>
        <w:t xml:space="preserve">Multiple Weights and Measures </w:t>
      </w:r>
      <w:r w:rsidR="00FB0024">
        <w:t>o</w:t>
      </w:r>
      <w:r>
        <w:t xml:space="preserve">fficials rose to support the work of the Work Group and </w:t>
      </w:r>
      <w:r w:rsidR="001672C6">
        <w:t>recommended that</w:t>
      </w:r>
      <w:r>
        <w:t xml:space="preserve"> it</w:t>
      </w:r>
      <w:r w:rsidR="001672C6">
        <w:t xml:space="preserve"> continue </w:t>
      </w:r>
      <w:r w:rsidR="00B9332D">
        <w:t>to devel</w:t>
      </w:r>
      <w:r w:rsidR="00863219">
        <w:t>op</w:t>
      </w:r>
      <w:r w:rsidR="00B9332D">
        <w:t xml:space="preserve"> </w:t>
      </w:r>
      <w:r w:rsidR="001672C6">
        <w:t>this item.</w:t>
      </w:r>
    </w:p>
    <w:p w14:paraId="2024B787" w14:textId="77777777" w:rsidR="00CB73C6" w:rsidRDefault="00CB73C6" w:rsidP="00CB73C6">
      <w:pPr>
        <w:keepNext/>
        <w:keepLines/>
        <w:spacing w:after="0"/>
        <w:ind w:left="720"/>
        <w:contextualSpacing/>
        <w:rPr>
          <w:b/>
        </w:rPr>
      </w:pPr>
    </w:p>
    <w:p w14:paraId="27541ACE" w14:textId="704848FB" w:rsidR="00F4289C" w:rsidRPr="00CB73C6" w:rsidRDefault="00F4289C" w:rsidP="00CB73C6">
      <w:pPr>
        <w:keepNext/>
        <w:keepLines/>
        <w:spacing w:after="0"/>
        <w:ind w:left="720"/>
        <w:contextualSpacing/>
        <w:rPr>
          <w:b/>
        </w:rPr>
      </w:pPr>
      <w:r w:rsidRPr="00CB73C6">
        <w:rPr>
          <w:b/>
        </w:rPr>
        <w:t>Industry:</w:t>
      </w:r>
    </w:p>
    <w:p w14:paraId="60951552" w14:textId="5AD31243" w:rsidR="00F4289C" w:rsidRPr="002A7C3B" w:rsidRDefault="00024E52" w:rsidP="00E00705">
      <w:pPr>
        <w:pStyle w:val="ListParagraph"/>
        <w:numPr>
          <w:ilvl w:val="0"/>
          <w:numId w:val="27"/>
        </w:numPr>
        <w:spacing w:after="0" w:line="259" w:lineRule="auto"/>
        <w:contextualSpacing/>
        <w:jc w:val="left"/>
      </w:pPr>
      <w:r>
        <w:t>None</w:t>
      </w:r>
    </w:p>
    <w:p w14:paraId="609C104B" w14:textId="458E5F1F" w:rsidR="006C0F91" w:rsidRDefault="00F4289C" w:rsidP="00B530E4">
      <w:pPr>
        <w:spacing w:before="240" w:after="0"/>
        <w:ind w:left="720"/>
      </w:pPr>
      <w:r w:rsidRPr="002A7C3B">
        <w:rPr>
          <w:b/>
        </w:rPr>
        <w:t>Advisory:</w:t>
      </w:r>
    </w:p>
    <w:p w14:paraId="3F23E4DE" w14:textId="0D3A5B0D" w:rsidR="00F4289C" w:rsidRDefault="00E936C5" w:rsidP="00E00705">
      <w:pPr>
        <w:pStyle w:val="ListParagraph"/>
        <w:numPr>
          <w:ilvl w:val="0"/>
          <w:numId w:val="27"/>
        </w:numPr>
        <w:spacing w:after="0" w:line="259" w:lineRule="auto"/>
        <w:contextualSpacing/>
        <w:jc w:val="left"/>
      </w:pPr>
      <w:r>
        <w:t>None</w:t>
      </w:r>
    </w:p>
    <w:p w14:paraId="178933F4" w14:textId="77777777" w:rsidR="00097850" w:rsidRDefault="00097850" w:rsidP="00097850">
      <w:pPr>
        <w:pStyle w:val="ListParagraph"/>
        <w:spacing w:after="0" w:line="259" w:lineRule="auto"/>
        <w:ind w:left="1080"/>
        <w:contextualSpacing/>
        <w:jc w:val="left"/>
      </w:pPr>
    </w:p>
    <w:p w14:paraId="7A6AFFF5" w14:textId="77777777" w:rsidR="0022672C" w:rsidRDefault="00F4289C" w:rsidP="0022672C">
      <w:pPr>
        <w:spacing w:after="0"/>
        <w:rPr>
          <w:u w:val="single"/>
        </w:rPr>
      </w:pPr>
      <w:r w:rsidRPr="002A7C3B">
        <w:rPr>
          <w:b/>
        </w:rPr>
        <w:t>Item Develop</w:t>
      </w:r>
      <w:r w:rsidRPr="00E025F9">
        <w:rPr>
          <w:b/>
        </w:rPr>
        <w:t>ment:</w:t>
      </w:r>
    </w:p>
    <w:p w14:paraId="0F065AD2" w14:textId="6630D512" w:rsidR="00CB73C6" w:rsidRDefault="009F1824" w:rsidP="0022672C">
      <w:pPr>
        <w:spacing w:after="0"/>
        <w:rPr>
          <w:u w:val="single"/>
        </w:rPr>
      </w:pPr>
      <w:r>
        <w:rPr>
          <w:u w:val="single"/>
        </w:rPr>
        <w:t>NCWM 2026 Interim</w:t>
      </w:r>
      <w:proofErr w:type="gramStart"/>
      <w:r>
        <w:rPr>
          <w:u w:val="single"/>
        </w:rPr>
        <w:t>:</w:t>
      </w:r>
      <w:r w:rsidR="006A6D5D">
        <w:rPr>
          <w:u w:val="single"/>
        </w:rPr>
        <w:t xml:space="preserve">  </w:t>
      </w:r>
      <w:r w:rsidR="006A6D5D" w:rsidRPr="00195193">
        <w:t>Th</w:t>
      </w:r>
      <w:r w:rsidR="008A76B0" w:rsidRPr="00195193">
        <w:t>is</w:t>
      </w:r>
      <w:proofErr w:type="gramEnd"/>
      <w:r w:rsidR="008A76B0" w:rsidRPr="00195193">
        <w:t xml:space="preserve"> item remains assigned to the Work Group.  The Committee deleted </w:t>
      </w:r>
      <w:r w:rsidR="00B53150" w:rsidRPr="00195193">
        <w:t xml:space="preserve">4.10.2.2. Moisture Shrinkage Allowance Consideration for Structural Plywood and Wood-based Structural Panels </w:t>
      </w:r>
      <w:r w:rsidR="006B38BA">
        <w:t xml:space="preserve">and </w:t>
      </w:r>
      <w:r w:rsidR="00195193" w:rsidRPr="00195193">
        <w:t xml:space="preserve">4.11.2.1. Shrinking </w:t>
      </w:r>
      <w:r w:rsidR="00195193" w:rsidRPr="00195193">
        <w:lastRenderedPageBreak/>
        <w:t xml:space="preserve">Allowance Consideration </w:t>
      </w:r>
      <w:r w:rsidR="00B53150" w:rsidRPr="00195193">
        <w:t xml:space="preserve">from the title </w:t>
      </w:r>
      <w:r w:rsidR="00085B12" w:rsidRPr="00195193">
        <w:t>because it was previously agreed that plywood would not be part of the proposed changes to this item.</w:t>
      </w:r>
    </w:p>
    <w:p w14:paraId="64746067" w14:textId="0ED3FF03" w:rsidR="00435A6E" w:rsidRDefault="00C0174F" w:rsidP="0096734B">
      <w:pPr>
        <w:rPr>
          <w:u w:val="single"/>
        </w:rPr>
      </w:pPr>
      <w:r w:rsidRPr="00C0174F">
        <w:rPr>
          <w:rFonts w:eastAsia="Times New Roman"/>
          <w:szCs w:val="24"/>
        </w:rPr>
        <w:t>Mr. Kurt Floren (County of Los Angeles, California)</w:t>
      </w:r>
      <w:r w:rsidRPr="00B530E4">
        <w:rPr>
          <w:rFonts w:eastAsia="Times New Roman"/>
          <w:szCs w:val="24"/>
        </w:rPr>
        <w:t xml:space="preserve">, a </w:t>
      </w:r>
      <w:r w:rsidRPr="00C0174F">
        <w:rPr>
          <w:rFonts w:eastAsia="Times New Roman"/>
          <w:szCs w:val="24"/>
        </w:rPr>
        <w:t>member of the Moisture Allowance Task Group</w:t>
      </w:r>
      <w:r w:rsidRPr="00B530E4">
        <w:rPr>
          <w:rFonts w:eastAsia="Times New Roman"/>
          <w:szCs w:val="24"/>
        </w:rPr>
        <w:t xml:space="preserve">, provided a presentation on the task </w:t>
      </w:r>
      <w:proofErr w:type="gramStart"/>
      <w:r w:rsidRPr="00B530E4">
        <w:rPr>
          <w:rFonts w:eastAsia="Times New Roman"/>
          <w:szCs w:val="24"/>
        </w:rPr>
        <w:t>group</w:t>
      </w:r>
      <w:proofErr w:type="gramEnd"/>
      <w:r w:rsidRPr="00B530E4">
        <w:rPr>
          <w:rFonts w:eastAsia="Times New Roman"/>
          <w:szCs w:val="24"/>
        </w:rPr>
        <w:t xml:space="preserve"> efforts</w:t>
      </w:r>
      <w:r w:rsidRPr="00C0174F">
        <w:rPr>
          <w:rFonts w:eastAsia="Times New Roman"/>
          <w:szCs w:val="24"/>
        </w:rPr>
        <w:t>.</w:t>
      </w:r>
      <w:r w:rsidRPr="004762F4">
        <w:rPr>
          <w:rFonts w:eastAsia="Times New Roman"/>
          <w:szCs w:val="24"/>
        </w:rPr>
        <w:t xml:space="preserve"> </w:t>
      </w:r>
      <w:r w:rsidR="00435A6E">
        <w:rPr>
          <w:u w:val="single"/>
        </w:rPr>
        <w:t xml:space="preserve"> </w:t>
      </w:r>
    </w:p>
    <w:p w14:paraId="538F80C1" w14:textId="3AC4127F" w:rsidR="00673CC1" w:rsidRDefault="00673CC1" w:rsidP="0096734B">
      <w:r>
        <w:rPr>
          <w:u w:val="single"/>
        </w:rPr>
        <w:t>NCWM 2025 Annual:</w:t>
      </w:r>
      <w:r w:rsidR="002C4E72">
        <w:rPr>
          <w:u w:val="single"/>
        </w:rPr>
        <w:t xml:space="preserve"> </w:t>
      </w:r>
      <w:r w:rsidR="002C4E72" w:rsidRPr="000E691E">
        <w:t>The</w:t>
      </w:r>
      <w:r w:rsidR="002C4E72" w:rsidRPr="002C4E72">
        <w:rPr>
          <w:u w:val="single"/>
        </w:rPr>
        <w:t xml:space="preserve"> </w:t>
      </w:r>
      <w:r w:rsidR="002C4E72" w:rsidRPr="00D97F43">
        <w:t>Committee hear</w:t>
      </w:r>
      <w:r w:rsidR="00EE6334">
        <w:t>d</w:t>
      </w:r>
      <w:r w:rsidR="002C4E72" w:rsidRPr="00D97F43">
        <w:t xml:space="preserve"> concerns about this item from membership</w:t>
      </w:r>
      <w:r w:rsidR="00EE6334">
        <w:t xml:space="preserve">.  Membership indicated </w:t>
      </w:r>
      <w:r w:rsidR="002C4E72" w:rsidRPr="00D97F43">
        <w:t>the need to pull it back and assign it to a task group</w:t>
      </w:r>
      <w:r w:rsidR="0055121C">
        <w:t>.  Based on the feed</w:t>
      </w:r>
      <w:r w:rsidR="002D0CBF">
        <w:t>back</w:t>
      </w:r>
      <w:r w:rsidR="0055121C">
        <w:t xml:space="preserve"> received, the Committee</w:t>
      </w:r>
      <w:r w:rsidR="002C4E72" w:rsidRPr="00D97F43">
        <w:t xml:space="preserve"> downgrade</w:t>
      </w:r>
      <w:r w:rsidR="002D0CBF">
        <w:t>d</w:t>
      </w:r>
      <w:r w:rsidR="002C4E72" w:rsidRPr="00D97F43">
        <w:t xml:space="preserve"> it from Voting to Assigned.  The Committee will request a moisture allowance task group be formed to better develop the item.</w:t>
      </w:r>
    </w:p>
    <w:p w14:paraId="5BA22008" w14:textId="1EC92892" w:rsidR="00585957" w:rsidRDefault="005D658C" w:rsidP="00246881">
      <w:pPr>
        <w:widowControl w:val="0"/>
        <w:spacing w:before="240" w:after="0" w:line="259" w:lineRule="auto"/>
        <w:contextualSpacing/>
        <w:jc w:val="left"/>
        <w:rPr>
          <w:u w:val="single"/>
        </w:rPr>
      </w:pPr>
      <w:r>
        <w:t xml:space="preserve">The </w:t>
      </w:r>
      <w:r w:rsidR="00935EBD">
        <w:t xml:space="preserve">Committee concurs with </w:t>
      </w:r>
      <w:r>
        <w:t xml:space="preserve">Mr. </w:t>
      </w:r>
      <w:r w:rsidRPr="00E7709B">
        <w:t>VanBuren</w:t>
      </w:r>
      <w:r w:rsidR="00935EBD">
        <w:t>’s comment</w:t>
      </w:r>
      <w:r>
        <w:t xml:space="preserve"> that</w:t>
      </w:r>
      <w:r w:rsidRPr="00E7709B">
        <w:t xml:space="preserve"> </w:t>
      </w:r>
      <w:r>
        <w:t xml:space="preserve">the title needs to reflect the removal of plywood from the item - 4.10.2.2. Moisture Shrinkage </w:t>
      </w:r>
      <w:r w:rsidRPr="009F745D">
        <w:t xml:space="preserve">Allowance </w:t>
      </w:r>
      <w:r w:rsidRPr="005D658C">
        <w:rPr>
          <w:u w:val="single"/>
        </w:rPr>
        <w:t>Consideration</w:t>
      </w:r>
      <w:r>
        <w:t xml:space="preserve"> for Structural Plywood and Wood-based Structural Panels, 4.11.2.1. Shrinking </w:t>
      </w:r>
      <w:r w:rsidRPr="009F745D">
        <w:t>Allowance</w:t>
      </w:r>
      <w:r w:rsidRPr="005D658C">
        <w:rPr>
          <w:strike/>
        </w:rPr>
        <w:t xml:space="preserve"> </w:t>
      </w:r>
      <w:r w:rsidRPr="005D658C">
        <w:rPr>
          <w:u w:val="single"/>
        </w:rPr>
        <w:t>Consideration</w:t>
      </w:r>
      <w:r w:rsidR="00B41410">
        <w:rPr>
          <w:u w:val="single"/>
        </w:rPr>
        <w:t>.</w:t>
      </w:r>
    </w:p>
    <w:p w14:paraId="5DB7EDE0" w14:textId="77777777" w:rsidR="00246881" w:rsidRDefault="00246881" w:rsidP="00246881">
      <w:pPr>
        <w:widowControl w:val="0"/>
        <w:spacing w:before="240" w:after="0" w:line="259" w:lineRule="auto"/>
        <w:contextualSpacing/>
        <w:jc w:val="left"/>
        <w:rPr>
          <w:u w:val="single"/>
        </w:rPr>
      </w:pPr>
    </w:p>
    <w:p w14:paraId="512ED80B" w14:textId="36D9C688" w:rsidR="00530B13" w:rsidRDefault="00585957" w:rsidP="00246881">
      <w:pPr>
        <w:keepNext/>
        <w:keepLines/>
        <w:spacing w:after="0" w:line="259" w:lineRule="auto"/>
        <w:contextualSpacing/>
        <w:jc w:val="left"/>
      </w:pPr>
      <w:r>
        <w:t>Th</w:t>
      </w:r>
      <w:r w:rsidR="00CA127B" w:rsidRPr="00CA127B">
        <w:t>e Comm</w:t>
      </w:r>
      <w:r w:rsidR="00CA127B">
        <w:t xml:space="preserve">ittee will </w:t>
      </w:r>
      <w:r w:rsidR="00530B13">
        <w:t>relay this information to the task group</w:t>
      </w:r>
      <w:r w:rsidR="006733CD">
        <w:t xml:space="preserve"> for their consideration.</w:t>
      </w:r>
    </w:p>
    <w:p w14:paraId="42B480B9" w14:textId="77777777" w:rsidR="00246881" w:rsidRDefault="00246881" w:rsidP="00246881">
      <w:pPr>
        <w:keepNext/>
        <w:keepLines/>
        <w:spacing w:after="0" w:line="259" w:lineRule="auto"/>
        <w:contextualSpacing/>
        <w:jc w:val="left"/>
      </w:pPr>
    </w:p>
    <w:p w14:paraId="66893CAB" w14:textId="77F58653" w:rsidR="00606F34" w:rsidRDefault="0034537C" w:rsidP="0096734B">
      <w:r>
        <w:rPr>
          <w:u w:val="single"/>
        </w:rPr>
        <w:t>NCWM 2025 Interim:</w:t>
      </w:r>
      <w:r w:rsidR="003F792F" w:rsidRPr="000E65C2">
        <w:t xml:space="preserve"> </w:t>
      </w:r>
      <w:r w:rsidR="003F792F">
        <w:t xml:space="preserve">The Committee </w:t>
      </w:r>
      <w:r w:rsidR="0062686D">
        <w:t>received several</w:t>
      </w:r>
      <w:r w:rsidR="003F792F">
        <w:t xml:space="preserve"> versions of this item.  The version appearing here is the latest and the one under consideration. </w:t>
      </w:r>
      <w:r w:rsidR="00AE1DBC">
        <w:t xml:space="preserve"> It does not include </w:t>
      </w:r>
      <w:r w:rsidR="0096734B">
        <w:t>Chapter 4</w:t>
      </w:r>
      <w:r w:rsidR="002E17D1">
        <w:t xml:space="preserve">, </w:t>
      </w:r>
      <w:r w:rsidR="000B573D">
        <w:t xml:space="preserve">the </w:t>
      </w:r>
      <w:r w:rsidR="002E17D1">
        <w:t>Table of Contents, example</w:t>
      </w:r>
      <w:r w:rsidR="000B573D">
        <w:t>s</w:t>
      </w:r>
      <w:r w:rsidR="002E17D1">
        <w:t xml:space="preserve">, reports and other sections previously included that did not require </w:t>
      </w:r>
      <w:r w:rsidR="000B573D">
        <w:t>changes.</w:t>
      </w:r>
      <w:r w:rsidR="0096734B">
        <w:t xml:space="preserve"> </w:t>
      </w:r>
    </w:p>
    <w:p w14:paraId="0157FCC7" w14:textId="36F0986A" w:rsidR="00F4289C" w:rsidRPr="003F792F" w:rsidRDefault="000B573D" w:rsidP="0096734B">
      <w:r>
        <w:t>The Committee reserves the right to make editorial changes to fulfill the intent of the proposal (to add “consideration” to wherever “Moisture Allowance</w:t>
      </w:r>
      <w:r w:rsidR="0037022E">
        <w:t>”</w:t>
      </w:r>
      <w:r>
        <w:t xml:space="preserve"> appears in NIST Handbooks 130 and 133.</w:t>
      </w:r>
      <w:r w:rsidR="00566939">
        <w:t>)</w:t>
      </w:r>
      <w:r>
        <w:t xml:space="preserve"> </w:t>
      </w:r>
      <w:r w:rsidR="003F792F">
        <w:t>The Committee believes that the item is fully developed an assigned Voting status.</w:t>
      </w:r>
    </w:p>
    <w:bookmarkEnd w:id="877"/>
    <w:p w14:paraId="012733B1" w14:textId="32F7FB35" w:rsidR="00D0707F" w:rsidRPr="00246881" w:rsidRDefault="00D0707F" w:rsidP="00246881">
      <w:pPr>
        <w:rPr>
          <w:b/>
        </w:rPr>
      </w:pPr>
      <w:r w:rsidRPr="00E025F9">
        <w:rPr>
          <w:b/>
        </w:rPr>
        <w:t>Regional Associations’ Comments:</w:t>
      </w:r>
    </w:p>
    <w:p w14:paraId="79364108" w14:textId="5D79BE03" w:rsidR="002959F9" w:rsidRDefault="00D0707F" w:rsidP="00246881">
      <w:pPr>
        <w:rPr>
          <w:rFonts w:eastAsia="Times New Roman"/>
          <w:szCs w:val="24"/>
          <w:u w:val="single"/>
        </w:rPr>
      </w:pPr>
      <w:r w:rsidRPr="008D62FB">
        <w:rPr>
          <w:rFonts w:eastAsia="Times New Roman"/>
          <w:szCs w:val="24"/>
          <w:u w:val="single"/>
        </w:rPr>
        <w:t>WWMA 202</w:t>
      </w:r>
      <w:r>
        <w:rPr>
          <w:rFonts w:eastAsia="Times New Roman"/>
          <w:szCs w:val="24"/>
          <w:u w:val="single"/>
        </w:rPr>
        <w:t>5</w:t>
      </w:r>
      <w:r w:rsidRPr="008D62FB">
        <w:rPr>
          <w:rFonts w:eastAsia="Times New Roman"/>
          <w:szCs w:val="24"/>
          <w:u w:val="single"/>
        </w:rPr>
        <w:t xml:space="preserve"> Annual Meeting:</w:t>
      </w:r>
    </w:p>
    <w:p w14:paraId="33775EBB" w14:textId="254FCE45" w:rsidR="009A6B64" w:rsidRDefault="009A6B64" w:rsidP="00246881">
      <w:pPr>
        <w:rPr>
          <w:rFonts w:eastAsia="Times New Roman"/>
          <w:szCs w:val="24"/>
        </w:rPr>
      </w:pPr>
      <w:r>
        <w:rPr>
          <w:rFonts w:eastAsia="Times New Roman"/>
          <w:szCs w:val="24"/>
        </w:rPr>
        <w:t>The WWMA L&amp;R Committee heard comments on this item as part of Block 4 rather than as an individual item, so these comments apply to the whole block.</w:t>
      </w:r>
    </w:p>
    <w:p w14:paraId="357B8BC2" w14:textId="04C3EBFE" w:rsidR="009A6B64" w:rsidRDefault="009A6B64" w:rsidP="00246881">
      <w:pPr>
        <w:rPr>
          <w:rFonts w:eastAsia="Times New Roman"/>
          <w:szCs w:val="24"/>
        </w:rPr>
      </w:pPr>
      <w:r>
        <w:rPr>
          <w:rFonts w:eastAsia="Times New Roman"/>
          <w:szCs w:val="24"/>
        </w:rPr>
        <w:t>Mr. Kurt Floren (County of Los Angeles, California) stated that he w</w:t>
      </w:r>
      <w:r w:rsidRPr="004762F4">
        <w:rPr>
          <w:rFonts w:eastAsia="Times New Roman"/>
          <w:szCs w:val="24"/>
        </w:rPr>
        <w:t xml:space="preserve">as </w:t>
      </w:r>
      <w:r>
        <w:rPr>
          <w:rFonts w:eastAsia="Times New Roman"/>
          <w:szCs w:val="24"/>
        </w:rPr>
        <w:t>a</w:t>
      </w:r>
      <w:r w:rsidRPr="004762F4">
        <w:rPr>
          <w:rFonts w:eastAsia="Times New Roman"/>
          <w:szCs w:val="24"/>
        </w:rPr>
        <w:t xml:space="preserve"> </w:t>
      </w:r>
      <w:r>
        <w:rPr>
          <w:rFonts w:eastAsia="Times New Roman"/>
          <w:szCs w:val="24"/>
        </w:rPr>
        <w:t>member</w:t>
      </w:r>
      <w:r w:rsidRPr="004762F4">
        <w:rPr>
          <w:rFonts w:eastAsia="Times New Roman"/>
          <w:szCs w:val="24"/>
        </w:rPr>
        <w:t xml:space="preserve"> of the</w:t>
      </w:r>
      <w:r>
        <w:rPr>
          <w:rFonts w:eastAsia="Times New Roman"/>
          <w:szCs w:val="24"/>
        </w:rPr>
        <w:t xml:space="preserve"> Moisture Allowance</w:t>
      </w:r>
      <w:r w:rsidRPr="004762F4">
        <w:rPr>
          <w:rFonts w:eastAsia="Times New Roman"/>
          <w:szCs w:val="24"/>
        </w:rPr>
        <w:t xml:space="preserve"> </w:t>
      </w:r>
      <w:r>
        <w:rPr>
          <w:rFonts w:eastAsia="Times New Roman"/>
          <w:szCs w:val="24"/>
        </w:rPr>
        <w:t>Task</w:t>
      </w:r>
      <w:r w:rsidRPr="004762F4">
        <w:rPr>
          <w:rFonts w:eastAsia="Times New Roman"/>
          <w:szCs w:val="24"/>
        </w:rPr>
        <w:t xml:space="preserve"> </w:t>
      </w:r>
      <w:r>
        <w:rPr>
          <w:rFonts w:eastAsia="Times New Roman"/>
          <w:szCs w:val="24"/>
        </w:rPr>
        <w:t>G</w:t>
      </w:r>
      <w:r w:rsidRPr="004762F4">
        <w:rPr>
          <w:rFonts w:eastAsia="Times New Roman"/>
          <w:szCs w:val="24"/>
        </w:rPr>
        <w:t xml:space="preserve">roup. </w:t>
      </w:r>
      <w:r>
        <w:rPr>
          <w:rFonts w:eastAsia="Times New Roman"/>
          <w:szCs w:val="24"/>
        </w:rPr>
        <w:t>This proposal is being considered b</w:t>
      </w:r>
      <w:r w:rsidRPr="004762F4">
        <w:rPr>
          <w:rFonts w:eastAsia="Times New Roman"/>
          <w:szCs w:val="24"/>
        </w:rPr>
        <w:t xml:space="preserve">ecause federal laws </w:t>
      </w:r>
      <w:r>
        <w:rPr>
          <w:rFonts w:eastAsia="Times New Roman"/>
          <w:szCs w:val="24"/>
        </w:rPr>
        <w:t xml:space="preserve">require regulators to consider moisture loss when applying tolerances. </w:t>
      </w:r>
      <w:r w:rsidRPr="004762F4">
        <w:rPr>
          <w:rFonts w:eastAsia="Times New Roman"/>
          <w:szCs w:val="24"/>
        </w:rPr>
        <w:t>Variations occur</w:t>
      </w:r>
      <w:r>
        <w:rPr>
          <w:rFonts w:eastAsia="Times New Roman"/>
          <w:szCs w:val="24"/>
        </w:rPr>
        <w:t xml:space="preserve"> due to fluctuations </w:t>
      </w:r>
      <w:r w:rsidRPr="004762F4">
        <w:rPr>
          <w:rFonts w:eastAsia="Times New Roman"/>
          <w:szCs w:val="24"/>
        </w:rPr>
        <w:t>in</w:t>
      </w:r>
      <w:r>
        <w:rPr>
          <w:rFonts w:eastAsia="Times New Roman"/>
          <w:szCs w:val="24"/>
        </w:rPr>
        <w:t xml:space="preserve"> moisture even with</w:t>
      </w:r>
      <w:r w:rsidRPr="004762F4">
        <w:rPr>
          <w:rFonts w:eastAsia="Times New Roman"/>
          <w:szCs w:val="24"/>
        </w:rPr>
        <w:t xml:space="preserve"> good distribution practice</w:t>
      </w:r>
      <w:r>
        <w:rPr>
          <w:rFonts w:eastAsia="Times New Roman"/>
          <w:szCs w:val="24"/>
        </w:rPr>
        <w:t>s</w:t>
      </w:r>
      <w:r w:rsidRPr="004762F4">
        <w:rPr>
          <w:rFonts w:eastAsia="Times New Roman"/>
          <w:szCs w:val="24"/>
        </w:rPr>
        <w:t>.</w:t>
      </w:r>
      <w:r>
        <w:rPr>
          <w:rFonts w:eastAsia="Times New Roman"/>
          <w:szCs w:val="24"/>
        </w:rPr>
        <w:t xml:space="preserve"> The language the task group will be developing will be based upon the language in </w:t>
      </w:r>
      <w:r w:rsidRPr="004762F4">
        <w:rPr>
          <w:rFonts w:eastAsia="Times New Roman"/>
          <w:szCs w:val="24"/>
        </w:rPr>
        <w:t xml:space="preserve">Federal law </w:t>
      </w:r>
      <w:r>
        <w:rPr>
          <w:rFonts w:eastAsia="Times New Roman"/>
          <w:szCs w:val="24"/>
        </w:rPr>
        <w:t xml:space="preserve">which </w:t>
      </w:r>
      <w:r w:rsidRPr="004762F4">
        <w:rPr>
          <w:rFonts w:eastAsia="Times New Roman"/>
          <w:szCs w:val="24"/>
        </w:rPr>
        <w:t>speak</w:t>
      </w:r>
      <w:r>
        <w:rPr>
          <w:rFonts w:eastAsia="Times New Roman"/>
          <w:szCs w:val="24"/>
        </w:rPr>
        <w:t>s to</w:t>
      </w:r>
      <w:r w:rsidRPr="004762F4">
        <w:rPr>
          <w:rFonts w:eastAsia="Times New Roman"/>
          <w:szCs w:val="24"/>
        </w:rPr>
        <w:t xml:space="preserve"> </w:t>
      </w:r>
      <w:r>
        <w:rPr>
          <w:rFonts w:eastAsia="Times New Roman"/>
          <w:szCs w:val="24"/>
        </w:rPr>
        <w:t>“</w:t>
      </w:r>
      <w:r w:rsidRPr="004762F4">
        <w:rPr>
          <w:rFonts w:eastAsia="Times New Roman"/>
          <w:szCs w:val="24"/>
        </w:rPr>
        <w:t>reasonable variation</w:t>
      </w:r>
      <w:r>
        <w:rPr>
          <w:rFonts w:eastAsia="Times New Roman"/>
          <w:szCs w:val="24"/>
        </w:rPr>
        <w:t>”</w:t>
      </w:r>
      <w:r w:rsidRPr="004762F4">
        <w:rPr>
          <w:rFonts w:eastAsia="Times New Roman"/>
          <w:szCs w:val="24"/>
        </w:rPr>
        <w:t xml:space="preserve">. </w:t>
      </w:r>
    </w:p>
    <w:p w14:paraId="18D2ECEE" w14:textId="09CA4A68" w:rsidR="009A6B64" w:rsidRPr="00A43BF4" w:rsidRDefault="009A6B64" w:rsidP="00246881">
      <w:pPr>
        <w:rPr>
          <w:rFonts w:eastAsia="Times New Roman"/>
          <w:szCs w:val="24"/>
        </w:rPr>
      </w:pPr>
      <w:r w:rsidRPr="008B1174">
        <w:rPr>
          <w:rFonts w:eastAsia="Times New Roman"/>
          <w:szCs w:val="24"/>
        </w:rPr>
        <w:t>Mr. Aaron Yanker (Colorado Department of Agriculture, Weights and Measures)</w:t>
      </w:r>
      <w:r>
        <w:rPr>
          <w:rFonts w:eastAsia="Times New Roman"/>
          <w:szCs w:val="24"/>
        </w:rPr>
        <w:t xml:space="preserve">, Mr. Austin Shepherd (County of San Diego, California), and </w:t>
      </w:r>
      <w:r w:rsidRPr="000A0675">
        <w:rPr>
          <w:rFonts w:eastAsia="Times New Roman"/>
          <w:szCs w:val="24"/>
        </w:rPr>
        <w:t xml:space="preserve">Mr. Matt Douglas </w:t>
      </w:r>
      <w:r>
        <w:rPr>
          <w:rFonts w:eastAsia="Times New Roman"/>
          <w:szCs w:val="24"/>
        </w:rPr>
        <w:t>(</w:t>
      </w:r>
      <w:r w:rsidRPr="000A0675">
        <w:rPr>
          <w:rFonts w:eastAsia="Times New Roman"/>
          <w:szCs w:val="24"/>
        </w:rPr>
        <w:t>California</w:t>
      </w:r>
      <w:r>
        <w:rPr>
          <w:rFonts w:eastAsia="Times New Roman"/>
          <w:szCs w:val="24"/>
        </w:rPr>
        <w:t xml:space="preserve"> Division of Measurement Standards) expressed support for the task group and the comments made by Mr. Floren.</w:t>
      </w:r>
    </w:p>
    <w:p w14:paraId="3040049D" w14:textId="4F6685DC" w:rsidR="00D0707F" w:rsidRPr="00A43BF4" w:rsidRDefault="009A6B64" w:rsidP="00246881">
      <w:pPr>
        <w:rPr>
          <w:rFonts w:eastAsia="Times New Roman"/>
          <w:szCs w:val="24"/>
        </w:rPr>
      </w:pPr>
      <w:r>
        <w:rPr>
          <w:rFonts w:eastAsia="Times New Roman"/>
          <w:szCs w:val="24"/>
        </w:rPr>
        <w:t>The WWMA L&amp;R Committee recommends this item remain assigned.</w:t>
      </w:r>
    </w:p>
    <w:p w14:paraId="22FDCE22" w14:textId="7C437FA9" w:rsidR="00D0707F" w:rsidRDefault="00D0707F" w:rsidP="00D0707F">
      <w:pPr>
        <w:rPr>
          <w:rFonts w:eastAsia="Times New Roman"/>
          <w:szCs w:val="24"/>
          <w:u w:val="single"/>
        </w:rPr>
      </w:pPr>
      <w:r>
        <w:rPr>
          <w:rFonts w:eastAsia="Times New Roman"/>
          <w:szCs w:val="24"/>
          <w:u w:val="single"/>
        </w:rPr>
        <w:t>C</w:t>
      </w:r>
      <w:r w:rsidRPr="0051426D">
        <w:rPr>
          <w:rFonts w:eastAsia="Times New Roman"/>
          <w:szCs w:val="24"/>
          <w:u w:val="single"/>
        </w:rPr>
        <w:t>WMA 202</w:t>
      </w:r>
      <w:r>
        <w:rPr>
          <w:rFonts w:eastAsia="Times New Roman"/>
          <w:szCs w:val="24"/>
          <w:u w:val="single"/>
        </w:rPr>
        <w:t>5</w:t>
      </w:r>
      <w:r w:rsidRPr="0051426D">
        <w:rPr>
          <w:rFonts w:eastAsia="Times New Roman"/>
          <w:szCs w:val="24"/>
          <w:u w:val="single"/>
        </w:rPr>
        <w:t xml:space="preserve"> </w:t>
      </w:r>
      <w:r w:rsidR="006A6C83">
        <w:rPr>
          <w:rFonts w:eastAsia="Times New Roman"/>
          <w:szCs w:val="24"/>
          <w:u w:val="single"/>
        </w:rPr>
        <w:t>Interim</w:t>
      </w:r>
      <w:r w:rsidRPr="0051426D">
        <w:rPr>
          <w:rFonts w:eastAsia="Times New Roman"/>
          <w:szCs w:val="24"/>
          <w:u w:val="single"/>
        </w:rPr>
        <w:t xml:space="preserve"> Meeting:</w:t>
      </w:r>
    </w:p>
    <w:p w14:paraId="7AEBF27B" w14:textId="77777777" w:rsidR="00252A7D" w:rsidRPr="00A43BF4" w:rsidRDefault="00252A7D" w:rsidP="00252A7D">
      <w:pPr>
        <w:spacing w:after="0"/>
        <w:rPr>
          <w:rFonts w:eastAsia="Times New Roman"/>
          <w:szCs w:val="24"/>
        </w:rPr>
      </w:pPr>
      <w:r>
        <w:rPr>
          <w:rFonts w:eastAsia="Times New Roman"/>
          <w:szCs w:val="24"/>
        </w:rPr>
        <w:t xml:space="preserve">One regulator recommended withdrawal while another regulator </w:t>
      </w:r>
      <w:proofErr w:type="gramStart"/>
      <w:r>
        <w:rPr>
          <w:rFonts w:eastAsia="Times New Roman"/>
          <w:szCs w:val="24"/>
        </w:rPr>
        <w:t>recommend</w:t>
      </w:r>
      <w:proofErr w:type="gramEnd"/>
      <w:r>
        <w:rPr>
          <w:rFonts w:eastAsia="Times New Roman"/>
          <w:szCs w:val="24"/>
        </w:rPr>
        <w:t xml:space="preserve"> assigned status.  Concerns were raised regarding the definitions of “Allowances Considerations”.  </w:t>
      </w:r>
    </w:p>
    <w:p w14:paraId="4FFB4FBE" w14:textId="15269745" w:rsidR="00726F20" w:rsidRPr="00252A7D" w:rsidRDefault="00252A7D" w:rsidP="003A543E">
      <w:pPr>
        <w:spacing w:before="240" w:after="0"/>
        <w:jc w:val="left"/>
        <w:rPr>
          <w:rFonts w:eastAsia="Times New Roman"/>
          <w:szCs w:val="24"/>
        </w:rPr>
      </w:pPr>
      <w:r>
        <w:rPr>
          <w:rFonts w:eastAsia="Times New Roman"/>
          <w:szCs w:val="24"/>
        </w:rPr>
        <w:t>The CWMA L&amp;R Committee recommends this item remain assigned.</w:t>
      </w:r>
    </w:p>
    <w:p w14:paraId="3139B92D" w14:textId="77777777" w:rsidR="00EE0428" w:rsidRDefault="00D0707F" w:rsidP="003A543E">
      <w:pPr>
        <w:keepNext/>
        <w:keepLines/>
        <w:spacing w:before="240"/>
        <w:jc w:val="left"/>
        <w:rPr>
          <w:u w:val="single"/>
        </w:rPr>
      </w:pPr>
      <w:r w:rsidRPr="006C7BFB">
        <w:rPr>
          <w:u w:val="single"/>
        </w:rPr>
        <w:lastRenderedPageBreak/>
        <w:t>NEWMA 202</w:t>
      </w:r>
      <w:r>
        <w:rPr>
          <w:u w:val="single"/>
        </w:rPr>
        <w:t>5</w:t>
      </w:r>
      <w:r w:rsidRPr="006C7BFB">
        <w:rPr>
          <w:u w:val="single"/>
        </w:rPr>
        <w:t xml:space="preserve"> Interim Meeting:</w:t>
      </w:r>
    </w:p>
    <w:p w14:paraId="2944ECBB" w14:textId="4C28D7CE" w:rsidR="007751C6" w:rsidRDefault="007751C6" w:rsidP="003A543E">
      <w:pPr>
        <w:keepNext/>
        <w:keepLines/>
        <w:rPr>
          <w:rFonts w:eastAsia="Times New Roman"/>
          <w:szCs w:val="24"/>
        </w:rPr>
      </w:pPr>
      <w:r>
        <w:rPr>
          <w:rFonts w:eastAsia="Times New Roman"/>
          <w:szCs w:val="24"/>
        </w:rPr>
        <w:t>Comments were heard together on all items in Block 4.  All comments heard apply to each item in this Block 4.</w:t>
      </w:r>
    </w:p>
    <w:p w14:paraId="66E15353" w14:textId="6DFB9322" w:rsidR="007751C6" w:rsidRDefault="007751C6" w:rsidP="003A543E">
      <w:pPr>
        <w:keepNext/>
        <w:keepLines/>
        <w:rPr>
          <w:rFonts w:eastAsia="Times New Roman"/>
          <w:szCs w:val="24"/>
        </w:rPr>
      </w:pPr>
      <w:r>
        <w:rPr>
          <w:rFonts w:eastAsia="Times New Roman"/>
          <w:szCs w:val="24"/>
        </w:rPr>
        <w:t xml:space="preserve">A regulator from New York (and member of the Moisture Task Group) gave an update.  He commented that the task group met on October 7, </w:t>
      </w:r>
      <w:proofErr w:type="gramStart"/>
      <w:r>
        <w:rPr>
          <w:rFonts w:eastAsia="Times New Roman"/>
          <w:szCs w:val="24"/>
        </w:rPr>
        <w:t>2025</w:t>
      </w:r>
      <w:proofErr w:type="gramEnd"/>
      <w:r>
        <w:rPr>
          <w:rFonts w:eastAsia="Times New Roman"/>
          <w:szCs w:val="24"/>
        </w:rPr>
        <w:t xml:space="preserve"> and will be meeting monthly.  They are looking to align the language with federal language.  A regulator from New Jersey commented they are looking forward to the work of the task group and recommended an Assigned status.</w:t>
      </w:r>
    </w:p>
    <w:p w14:paraId="2CAF3BA4" w14:textId="323110B2" w:rsidR="00C23360" w:rsidRPr="009F1824" w:rsidRDefault="007751C6" w:rsidP="009F1824">
      <w:pPr>
        <w:spacing w:after="0"/>
        <w:rPr>
          <w:rFonts w:eastAsia="Times New Roman"/>
          <w:szCs w:val="24"/>
        </w:rPr>
      </w:pPr>
      <w:r>
        <w:rPr>
          <w:rFonts w:eastAsia="Times New Roman"/>
          <w:szCs w:val="24"/>
        </w:rPr>
        <w:t xml:space="preserve">After hearing comments from the floor, the committee recommended an Assigned </w:t>
      </w:r>
      <w:proofErr w:type="gramStart"/>
      <w:r>
        <w:rPr>
          <w:rFonts w:eastAsia="Times New Roman"/>
          <w:szCs w:val="24"/>
        </w:rPr>
        <w:t>status</w:t>
      </w:r>
      <w:proofErr w:type="gramEnd"/>
      <w:r>
        <w:rPr>
          <w:rFonts w:eastAsia="Times New Roman"/>
          <w:szCs w:val="24"/>
        </w:rPr>
        <w:t>, and the body concurred.</w:t>
      </w:r>
    </w:p>
    <w:p w14:paraId="7DD9B2AF" w14:textId="0962C1BE" w:rsidR="00D0707F" w:rsidRDefault="00D0707F" w:rsidP="003A543E">
      <w:pPr>
        <w:spacing w:before="240"/>
        <w:rPr>
          <w:u w:val="single"/>
        </w:rPr>
      </w:pPr>
      <w:r>
        <w:rPr>
          <w:u w:val="single"/>
        </w:rPr>
        <w:t>S</w:t>
      </w:r>
      <w:r w:rsidRPr="00EF1ACC">
        <w:rPr>
          <w:u w:val="single"/>
        </w:rPr>
        <w:t>WMA 202</w:t>
      </w:r>
      <w:r>
        <w:rPr>
          <w:u w:val="single"/>
        </w:rPr>
        <w:t>5</w:t>
      </w:r>
      <w:r w:rsidRPr="00EF1ACC">
        <w:rPr>
          <w:u w:val="single"/>
        </w:rPr>
        <w:t xml:space="preserve"> </w:t>
      </w:r>
      <w:r w:rsidR="006A6C83">
        <w:rPr>
          <w:u w:val="single"/>
        </w:rPr>
        <w:t>Annual</w:t>
      </w:r>
      <w:r w:rsidRPr="00EF1ACC">
        <w:rPr>
          <w:u w:val="single"/>
        </w:rPr>
        <w:t xml:space="preserve"> Meeting</w:t>
      </w:r>
      <w:r>
        <w:rPr>
          <w:u w:val="single"/>
        </w:rPr>
        <w:t>:</w:t>
      </w:r>
    </w:p>
    <w:p w14:paraId="76CB5AED" w14:textId="6885DF1C" w:rsidR="00CE57D8" w:rsidRDefault="00CE57D8" w:rsidP="003A543E">
      <w:pPr>
        <w:rPr>
          <w:rFonts w:eastAsia="Times New Roman"/>
          <w:szCs w:val="24"/>
        </w:rPr>
      </w:pPr>
      <w:r>
        <w:rPr>
          <w:rFonts w:eastAsia="Times New Roman"/>
          <w:szCs w:val="24"/>
        </w:rPr>
        <w:t xml:space="preserve">Mr. Tory Brewer, moisture allowance task group chair, commented that the moisture allowance task group has met only once and has decided to rewrite the entire moisture allowance section. The group will meet again in November and plans on having a tentative draft that will be presented in January at the NCWM 2026 interim. </w:t>
      </w:r>
    </w:p>
    <w:p w14:paraId="0874D517" w14:textId="73B10DE2" w:rsidR="007751C6" w:rsidRPr="007751C6" w:rsidRDefault="00CE57D8" w:rsidP="003A543E">
      <w:pPr>
        <w:rPr>
          <w:rFonts w:eastAsia="Times New Roman"/>
          <w:szCs w:val="24"/>
        </w:rPr>
      </w:pPr>
      <w:r>
        <w:rPr>
          <w:rFonts w:eastAsia="Times New Roman"/>
          <w:szCs w:val="24"/>
        </w:rPr>
        <w:t>The Committee recommends this item remain Assigned. This applies to all items in Block 4.</w:t>
      </w:r>
    </w:p>
    <w:p w14:paraId="3B744460" w14:textId="6587EC82" w:rsidR="00E857B2" w:rsidRDefault="009D2986" w:rsidP="007D489A">
      <w:r>
        <w:t xml:space="preserve">Additional letters, </w:t>
      </w:r>
      <w:proofErr w:type="gramStart"/>
      <w:r>
        <w:t>presentation</w:t>
      </w:r>
      <w:proofErr w:type="gramEnd"/>
      <w:r>
        <w:t xml:space="preserve"> and data may have been submitted for consideration with this item.  Please refer to </w:t>
      </w:r>
      <w:hyperlink r:id="rId42" w:history="1">
        <w:r w:rsidRPr="002A1164">
          <w:rPr>
            <w:rStyle w:val="Hyperlink"/>
          </w:rPr>
          <w:t>https://www.ncwm.com/publication-15</w:t>
        </w:r>
      </w:hyperlink>
      <w:r>
        <w:t xml:space="preserve"> to </w:t>
      </w:r>
      <w:proofErr w:type="gramStart"/>
      <w:r>
        <w:t>review these documents.</w:t>
      </w:r>
      <w:proofErr w:type="gramEnd"/>
    </w:p>
    <w:tbl>
      <w:tblPr>
        <w:tblW w:w="0" w:type="auto"/>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795"/>
      </w:tblGrid>
      <w:tr w:rsidR="00F63D53" w14:paraId="7DA8E461" w14:textId="77777777" w:rsidTr="00F63D53">
        <w:tc>
          <w:tcPr>
            <w:tcW w:w="4795" w:type="dxa"/>
            <w:tcBorders>
              <w:top w:val="nil"/>
              <w:left w:val="nil"/>
              <w:bottom w:val="single" w:sz="8" w:space="0" w:color="auto"/>
              <w:right w:val="nil"/>
            </w:tcBorders>
          </w:tcPr>
          <w:p w14:paraId="69B27113" w14:textId="77777777" w:rsidR="00F63D53" w:rsidRDefault="00F63D53">
            <w:pPr>
              <w:pStyle w:val="TableText"/>
              <w:keepNext/>
            </w:pPr>
          </w:p>
        </w:tc>
      </w:tr>
    </w:tbl>
    <w:p w14:paraId="7E24A3A9" w14:textId="33C25A9C" w:rsidR="00F63D53" w:rsidRPr="00C65A5A" w:rsidRDefault="002C05E0" w:rsidP="007D489A">
      <w:pPr>
        <w:pStyle w:val="CommitteeMemberNames"/>
        <w:suppressLineNumbers/>
        <w:spacing w:before="120"/>
        <w:rPr>
          <w:strike/>
        </w:rPr>
      </w:pPr>
      <w:r>
        <w:t xml:space="preserve">Mauricio Mejia, Florida </w:t>
      </w:r>
      <w:r w:rsidR="00F63D53">
        <w:t>| Chair</w:t>
      </w:r>
    </w:p>
    <w:p w14:paraId="5EA77D55" w14:textId="7A71E32E" w:rsidR="00F63D53" w:rsidRDefault="002C05E0" w:rsidP="007D489A">
      <w:pPr>
        <w:pStyle w:val="CommitteeMemberNames"/>
        <w:suppressLineNumbers/>
      </w:pPr>
      <w:r>
        <w:t>Mi</w:t>
      </w:r>
      <w:r w:rsidR="00EF7012">
        <w:t>chael</w:t>
      </w:r>
      <w:r>
        <w:t xml:space="preserve"> Peeler, New Jersey </w:t>
      </w:r>
      <w:r w:rsidR="00F63D53">
        <w:t xml:space="preserve">| </w:t>
      </w:r>
      <w:r w:rsidR="00262473">
        <w:t>Vice-Chair</w:t>
      </w:r>
    </w:p>
    <w:p w14:paraId="7F30DD18" w14:textId="2FF8AFA7" w:rsidR="00F63D53" w:rsidRDefault="00F63D53" w:rsidP="007D489A">
      <w:pPr>
        <w:pStyle w:val="CommitteeMemberNames"/>
        <w:suppressLineNumbers/>
      </w:pPr>
      <w:r>
        <w:t xml:space="preserve">Mike Harrington, Iowa </w:t>
      </w:r>
      <w:bookmarkStart w:id="878" w:name="_Hlk185318116"/>
      <w:r>
        <w:t>| Member</w:t>
      </w:r>
    </w:p>
    <w:bookmarkEnd w:id="878"/>
    <w:p w14:paraId="188D511F" w14:textId="78803A32" w:rsidR="00C65A5A" w:rsidRDefault="00C65A5A" w:rsidP="007D489A">
      <w:pPr>
        <w:pStyle w:val="CommitteeMemberNames"/>
        <w:suppressLineNumbers/>
      </w:pPr>
      <w:r>
        <w:t>Austin</w:t>
      </w:r>
      <w:r w:rsidR="00CB25A3">
        <w:t xml:space="preserve"> Shep</w:t>
      </w:r>
      <w:r w:rsidR="007B6CB1">
        <w:t>h</w:t>
      </w:r>
      <w:r w:rsidR="005B5E78">
        <w:t>e</w:t>
      </w:r>
      <w:r w:rsidR="00CB25A3">
        <w:t xml:space="preserve">rd, </w:t>
      </w:r>
      <w:r w:rsidR="00ED1CD7">
        <w:t>San Diego County | Member</w:t>
      </w:r>
    </w:p>
    <w:p w14:paraId="5AEC4ABE" w14:textId="07E6158D" w:rsidR="002C05E0" w:rsidRDefault="00F92E57" w:rsidP="007D489A">
      <w:pPr>
        <w:pStyle w:val="CommitteeMemberNames"/>
        <w:suppressLineNumbers/>
      </w:pPr>
      <w:r>
        <w:t>Jose Arriaga, Orange County, California</w:t>
      </w:r>
      <w:r w:rsidR="002C05E0">
        <w:t xml:space="preserve"> | Member</w:t>
      </w:r>
    </w:p>
    <w:p w14:paraId="109ED87C" w14:textId="6E23B053" w:rsidR="00F63D53" w:rsidRDefault="00F63D53" w:rsidP="007D489A">
      <w:pPr>
        <w:pStyle w:val="CommitteeMemberNames"/>
        <w:suppressLineNumbers/>
      </w:pPr>
      <w:r>
        <w:t>Brent Price, Gilbarco | AMC Representative</w:t>
      </w:r>
    </w:p>
    <w:p w14:paraId="3B48F2AC" w14:textId="477BD20B" w:rsidR="004C5924" w:rsidRDefault="004C5924" w:rsidP="007D489A">
      <w:pPr>
        <w:pStyle w:val="CommitteeMemberNames"/>
        <w:suppressLineNumbers/>
      </w:pPr>
      <w:r>
        <w:t>Rowan Hemsing, Measurement Canada | Canadian Technical Advisor</w:t>
      </w:r>
    </w:p>
    <w:p w14:paraId="38E3BCC7" w14:textId="1F444AA3" w:rsidR="00F63D53" w:rsidRDefault="002C05E0" w:rsidP="007D489A">
      <w:pPr>
        <w:suppressLineNumbers/>
        <w:spacing w:after="0"/>
        <w:jc w:val="left"/>
      </w:pPr>
      <w:r>
        <w:t>J</w:t>
      </w:r>
      <w:r w:rsidR="00F63D53">
        <w:t>ohn McGuire, NIST OWM | NIST Technical Advisor</w:t>
      </w:r>
    </w:p>
    <w:p w14:paraId="13CDECD2" w14:textId="11A65727" w:rsidR="00F63D53" w:rsidRDefault="00F63D53" w:rsidP="007D489A">
      <w:pPr>
        <w:suppressLineNumbers/>
        <w:spacing w:after="0"/>
        <w:jc w:val="left"/>
      </w:pPr>
      <w:r>
        <w:t>Loren Minnich, NIST OWM | NIST Technical Advisor</w:t>
      </w:r>
    </w:p>
    <w:p w14:paraId="32930415" w14:textId="50977A29" w:rsidR="00F63D53" w:rsidRDefault="00F63D53" w:rsidP="007D489A">
      <w:pPr>
        <w:pStyle w:val="CommitteeMemberNames"/>
        <w:suppressLineNumbers/>
      </w:pPr>
      <w:r>
        <w:t xml:space="preserve">Constantine Cotsoradis, NCWM | Committee Coordinator </w:t>
      </w:r>
    </w:p>
    <w:p w14:paraId="6AAA5E9B" w14:textId="11D41698" w:rsidR="007D489A" w:rsidRDefault="00F63D53" w:rsidP="00A94B54">
      <w:pPr>
        <w:suppressLineNumbers/>
        <w:spacing w:before="120" w:after="0"/>
        <w:jc w:val="left"/>
        <w:rPr>
          <w:b/>
          <w:bCs/>
        </w:rPr>
        <w:sectPr w:rsidR="007D489A" w:rsidSect="006B4156">
          <w:headerReference w:type="even" r:id="rId43"/>
          <w:headerReference w:type="default" r:id="rId44"/>
          <w:footerReference w:type="even" r:id="rId45"/>
          <w:footerReference w:type="default" r:id="rId46"/>
          <w:pgSz w:w="12240" w:h="15840"/>
          <w:pgMar w:top="1440" w:right="1350" w:bottom="1440" w:left="1440" w:header="720" w:footer="360" w:gutter="0"/>
          <w:lnNumType w:countBy="1"/>
          <w:pgNumType w:start="27"/>
          <w:cols w:space="720"/>
          <w:docGrid w:linePitch="360"/>
        </w:sectPr>
      </w:pPr>
      <w:r>
        <w:rPr>
          <w:b/>
          <w:bCs/>
        </w:rPr>
        <w:t>Laws and Regulations Committee</w:t>
      </w:r>
      <w:r w:rsidR="007D489A">
        <w:rPr>
          <w:b/>
          <w:bCs/>
        </w:rPr>
        <w:br w:type="page"/>
      </w:r>
    </w:p>
    <w:p w14:paraId="4B205E90" w14:textId="77777777" w:rsidR="00A11A19" w:rsidRDefault="00A11A19" w:rsidP="00A11A19">
      <w:pPr>
        <w:suppressLineNumbers/>
        <w:suppressAutoHyphens/>
        <w:spacing w:after="0"/>
        <w:jc w:val="center"/>
        <w:rPr>
          <w:b/>
          <w:sz w:val="28"/>
          <w:szCs w:val="28"/>
        </w:rPr>
      </w:pPr>
      <w:bookmarkStart w:id="879" w:name="_Toc301768233"/>
      <w:bookmarkStart w:id="880" w:name="_Toc308595428"/>
      <w:bookmarkStart w:id="881" w:name="_Toc308595834"/>
      <w:bookmarkStart w:id="882" w:name="_Toc308596039"/>
    </w:p>
    <w:p w14:paraId="17D7E0E9" w14:textId="77777777" w:rsidR="00A11A19" w:rsidRDefault="00A11A19" w:rsidP="00A11A19">
      <w:pPr>
        <w:suppressLineNumbers/>
        <w:suppressAutoHyphens/>
        <w:spacing w:after="0"/>
        <w:jc w:val="center"/>
        <w:rPr>
          <w:b/>
          <w:sz w:val="28"/>
          <w:szCs w:val="28"/>
        </w:rPr>
      </w:pPr>
    </w:p>
    <w:p w14:paraId="471AECA3" w14:textId="77777777" w:rsidR="00A11A19" w:rsidRDefault="00A11A19" w:rsidP="00A11A19">
      <w:pPr>
        <w:suppressLineNumbers/>
        <w:suppressAutoHyphens/>
        <w:spacing w:after="0"/>
        <w:jc w:val="center"/>
        <w:rPr>
          <w:b/>
          <w:sz w:val="28"/>
          <w:szCs w:val="28"/>
        </w:rPr>
      </w:pPr>
    </w:p>
    <w:p w14:paraId="4B1DE3C1" w14:textId="77777777" w:rsidR="00A11A19" w:rsidRDefault="00A11A19" w:rsidP="00A11A19">
      <w:pPr>
        <w:suppressLineNumbers/>
        <w:suppressAutoHyphens/>
        <w:spacing w:after="0"/>
        <w:jc w:val="center"/>
        <w:rPr>
          <w:b/>
          <w:sz w:val="28"/>
          <w:szCs w:val="28"/>
        </w:rPr>
      </w:pPr>
    </w:p>
    <w:p w14:paraId="1511A9A9" w14:textId="77777777" w:rsidR="00A11A19" w:rsidRDefault="00A11A19" w:rsidP="00A11A19">
      <w:pPr>
        <w:suppressLineNumbers/>
        <w:suppressAutoHyphens/>
        <w:spacing w:after="0"/>
        <w:jc w:val="center"/>
        <w:rPr>
          <w:b/>
          <w:sz w:val="28"/>
          <w:szCs w:val="28"/>
        </w:rPr>
      </w:pPr>
    </w:p>
    <w:p w14:paraId="493753AA" w14:textId="77777777" w:rsidR="00A11A19" w:rsidRDefault="00A11A19" w:rsidP="00A11A19">
      <w:pPr>
        <w:suppressLineNumbers/>
        <w:suppressAutoHyphens/>
        <w:spacing w:after="0"/>
        <w:jc w:val="center"/>
        <w:rPr>
          <w:b/>
          <w:sz w:val="28"/>
          <w:szCs w:val="28"/>
        </w:rPr>
      </w:pPr>
    </w:p>
    <w:p w14:paraId="6BFBFB86" w14:textId="77777777" w:rsidR="00A11A19" w:rsidRDefault="00A11A19" w:rsidP="00A11A19">
      <w:pPr>
        <w:suppressLineNumbers/>
        <w:suppressAutoHyphens/>
        <w:spacing w:after="0"/>
        <w:jc w:val="center"/>
        <w:rPr>
          <w:b/>
          <w:sz w:val="28"/>
          <w:szCs w:val="28"/>
        </w:rPr>
      </w:pPr>
    </w:p>
    <w:p w14:paraId="74FBCABA" w14:textId="77777777" w:rsidR="00A11A19" w:rsidRDefault="00A11A19" w:rsidP="00A11A19">
      <w:pPr>
        <w:suppressLineNumbers/>
        <w:suppressAutoHyphens/>
        <w:spacing w:after="0"/>
        <w:jc w:val="center"/>
        <w:rPr>
          <w:b/>
          <w:sz w:val="28"/>
          <w:szCs w:val="28"/>
        </w:rPr>
      </w:pPr>
    </w:p>
    <w:p w14:paraId="7A7322D2" w14:textId="77777777" w:rsidR="00A11A19" w:rsidRDefault="00A11A19" w:rsidP="00A11A19">
      <w:pPr>
        <w:suppressLineNumbers/>
        <w:suppressAutoHyphens/>
        <w:spacing w:after="0"/>
        <w:jc w:val="center"/>
        <w:rPr>
          <w:b/>
          <w:sz w:val="28"/>
          <w:szCs w:val="28"/>
        </w:rPr>
      </w:pPr>
    </w:p>
    <w:p w14:paraId="1321A55B" w14:textId="77777777" w:rsidR="00A11A19" w:rsidRDefault="00A11A19" w:rsidP="00A11A19">
      <w:pPr>
        <w:suppressLineNumbers/>
        <w:suppressAutoHyphens/>
        <w:spacing w:after="0"/>
        <w:jc w:val="center"/>
        <w:rPr>
          <w:b/>
          <w:sz w:val="28"/>
          <w:szCs w:val="28"/>
        </w:rPr>
      </w:pPr>
    </w:p>
    <w:p w14:paraId="552AB380" w14:textId="77777777" w:rsidR="00A11A19" w:rsidRDefault="00A11A19" w:rsidP="00A11A19">
      <w:pPr>
        <w:suppressLineNumbers/>
        <w:suppressAutoHyphens/>
        <w:spacing w:after="0"/>
        <w:jc w:val="center"/>
        <w:rPr>
          <w:b/>
          <w:sz w:val="28"/>
          <w:szCs w:val="28"/>
        </w:rPr>
      </w:pPr>
    </w:p>
    <w:p w14:paraId="281EB3D7" w14:textId="77777777" w:rsidR="00A11A19" w:rsidRDefault="00A11A19" w:rsidP="00A11A19">
      <w:pPr>
        <w:suppressLineNumbers/>
        <w:suppressAutoHyphens/>
        <w:spacing w:after="0"/>
        <w:jc w:val="center"/>
        <w:rPr>
          <w:b/>
          <w:sz w:val="28"/>
          <w:szCs w:val="28"/>
        </w:rPr>
      </w:pPr>
    </w:p>
    <w:p w14:paraId="60160794" w14:textId="77777777" w:rsidR="00A11A19" w:rsidRDefault="00A11A19" w:rsidP="00A11A19">
      <w:pPr>
        <w:suppressLineNumbers/>
        <w:suppressAutoHyphens/>
        <w:spacing w:after="0"/>
        <w:jc w:val="center"/>
        <w:rPr>
          <w:b/>
          <w:sz w:val="28"/>
          <w:szCs w:val="28"/>
        </w:rPr>
      </w:pPr>
    </w:p>
    <w:p w14:paraId="1AB3CF93" w14:textId="77777777" w:rsidR="00A11A19" w:rsidRDefault="00A11A19" w:rsidP="00A11A19">
      <w:pPr>
        <w:suppressLineNumbers/>
        <w:suppressAutoHyphens/>
        <w:spacing w:after="0"/>
        <w:jc w:val="center"/>
        <w:rPr>
          <w:b/>
          <w:sz w:val="28"/>
          <w:szCs w:val="28"/>
        </w:rPr>
      </w:pPr>
    </w:p>
    <w:p w14:paraId="46E43CD9" w14:textId="77777777" w:rsidR="00A11A19" w:rsidRDefault="00A11A19" w:rsidP="00A11A19">
      <w:pPr>
        <w:suppressLineNumbers/>
        <w:suppressAutoHyphens/>
        <w:spacing w:after="0"/>
        <w:jc w:val="center"/>
        <w:rPr>
          <w:b/>
          <w:sz w:val="28"/>
          <w:szCs w:val="28"/>
        </w:rPr>
      </w:pPr>
    </w:p>
    <w:p w14:paraId="26370196" w14:textId="77777777" w:rsidR="00A11A19" w:rsidRDefault="00A11A19" w:rsidP="00A11A19">
      <w:pPr>
        <w:suppressLineNumbers/>
        <w:suppressAutoHyphens/>
        <w:spacing w:after="0"/>
        <w:jc w:val="center"/>
        <w:rPr>
          <w:b/>
          <w:sz w:val="28"/>
          <w:szCs w:val="28"/>
        </w:rPr>
      </w:pPr>
    </w:p>
    <w:p w14:paraId="0EE6F77D" w14:textId="77777777" w:rsidR="00A11A19" w:rsidRDefault="00A11A19" w:rsidP="00A11A19">
      <w:pPr>
        <w:suppressLineNumbers/>
        <w:suppressAutoHyphens/>
        <w:spacing w:after="0"/>
        <w:jc w:val="center"/>
        <w:rPr>
          <w:b/>
          <w:sz w:val="28"/>
          <w:szCs w:val="28"/>
        </w:rPr>
      </w:pPr>
    </w:p>
    <w:p w14:paraId="21BA6E77" w14:textId="77777777" w:rsidR="00A11A19" w:rsidRPr="00352B45" w:rsidRDefault="00A11A19" w:rsidP="00A11A19">
      <w:pPr>
        <w:suppressLineNumbers/>
        <w:suppressAutoHyphens/>
        <w:spacing w:after="0"/>
        <w:jc w:val="center"/>
        <w:rPr>
          <w:b/>
          <w:sz w:val="36"/>
          <w:szCs w:val="36"/>
        </w:rPr>
      </w:pPr>
    </w:p>
    <w:bookmarkStart w:id="883" w:name="AppendixA"/>
    <w:bookmarkStart w:id="884" w:name="Appendix1"/>
    <w:p w14:paraId="50813A18" w14:textId="6C73B976" w:rsidR="007D489A" w:rsidRPr="00BD6458" w:rsidRDefault="00BD6458" w:rsidP="00A11A19">
      <w:pPr>
        <w:suppressLineNumbers/>
        <w:suppressAutoHyphens/>
        <w:spacing w:after="0"/>
        <w:jc w:val="center"/>
        <w:rPr>
          <w:rStyle w:val="Hyperlink"/>
          <w:b/>
          <w:noProof w:val="0"/>
          <w:sz w:val="36"/>
          <w:szCs w:val="36"/>
          <w:u w:val="none"/>
        </w:rPr>
      </w:pPr>
      <w:r>
        <w:rPr>
          <w:b/>
          <w:sz w:val="36"/>
          <w:szCs w:val="36"/>
        </w:rPr>
        <w:fldChar w:fldCharType="begin"/>
      </w:r>
      <w:r>
        <w:rPr>
          <w:b/>
          <w:sz w:val="36"/>
          <w:szCs w:val="36"/>
        </w:rPr>
        <w:instrText>HYPERLINK  \l "AppendixA"</w:instrText>
      </w:r>
      <w:r>
        <w:rPr>
          <w:b/>
          <w:sz w:val="36"/>
          <w:szCs w:val="36"/>
        </w:rPr>
      </w:r>
      <w:r>
        <w:rPr>
          <w:b/>
          <w:sz w:val="36"/>
          <w:szCs w:val="36"/>
        </w:rPr>
        <w:fldChar w:fldCharType="separate"/>
      </w:r>
      <w:r w:rsidR="00B314B4" w:rsidRPr="00BD6458">
        <w:rPr>
          <w:rStyle w:val="Hyperlink"/>
          <w:b/>
          <w:noProof w:val="0"/>
          <w:sz w:val="36"/>
          <w:szCs w:val="36"/>
          <w:u w:val="none"/>
        </w:rPr>
        <w:t>Appendix A</w:t>
      </w:r>
      <w:bookmarkEnd w:id="883"/>
      <w:r w:rsidR="00B314B4" w:rsidRPr="00BD6458">
        <w:rPr>
          <w:rStyle w:val="Hyperlink"/>
          <w:b/>
          <w:noProof w:val="0"/>
          <w:sz w:val="36"/>
          <w:szCs w:val="36"/>
          <w:u w:val="none"/>
        </w:rPr>
        <w:t xml:space="preserve"> </w:t>
      </w:r>
    </w:p>
    <w:p w14:paraId="144737F1" w14:textId="7F425875" w:rsidR="00671778" w:rsidRPr="00BD6458" w:rsidRDefault="00B314B4" w:rsidP="00A11A19">
      <w:pPr>
        <w:suppressLineNumbers/>
        <w:suppressAutoHyphens/>
        <w:spacing w:after="0"/>
        <w:jc w:val="center"/>
        <w:rPr>
          <w:rStyle w:val="Hyperlink"/>
          <w:b/>
          <w:noProof w:val="0"/>
          <w:sz w:val="36"/>
          <w:szCs w:val="36"/>
          <w:u w:val="none"/>
        </w:rPr>
      </w:pPr>
      <w:r w:rsidRPr="00BD6458">
        <w:rPr>
          <w:rStyle w:val="Hyperlink"/>
          <w:b/>
          <w:noProof w:val="0"/>
          <w:sz w:val="36"/>
          <w:szCs w:val="36"/>
          <w:u w:val="none"/>
        </w:rPr>
        <w:t>Quantit</w:t>
      </w:r>
      <w:r w:rsidR="00A11A19" w:rsidRPr="00BD6458">
        <w:rPr>
          <w:rStyle w:val="Hyperlink"/>
          <w:b/>
          <w:noProof w:val="0"/>
          <w:sz w:val="36"/>
          <w:szCs w:val="36"/>
          <w:u w:val="none"/>
        </w:rPr>
        <w:t>y-Related Expressions on a Principal Display Panel</w:t>
      </w:r>
    </w:p>
    <w:p w14:paraId="2F486DAD" w14:textId="77777777" w:rsidR="00671778" w:rsidRPr="00BD6458" w:rsidRDefault="00671778">
      <w:pPr>
        <w:spacing w:after="0"/>
        <w:jc w:val="left"/>
        <w:rPr>
          <w:rStyle w:val="Hyperlink"/>
          <w:b/>
          <w:noProof w:val="0"/>
          <w:sz w:val="36"/>
          <w:szCs w:val="36"/>
        </w:rPr>
      </w:pPr>
      <w:r w:rsidRPr="00BD6458">
        <w:rPr>
          <w:rStyle w:val="Hyperlink"/>
          <w:b/>
          <w:noProof w:val="0"/>
          <w:sz w:val="36"/>
          <w:szCs w:val="36"/>
        </w:rPr>
        <w:br w:type="page"/>
      </w:r>
    </w:p>
    <w:p w14:paraId="017EF9D0" w14:textId="393095F1" w:rsidR="00B314B4" w:rsidRPr="00352B45" w:rsidRDefault="00BD6458" w:rsidP="00A11A19">
      <w:pPr>
        <w:suppressLineNumbers/>
        <w:suppressAutoHyphens/>
        <w:spacing w:after="0"/>
        <w:jc w:val="center"/>
        <w:rPr>
          <w:b/>
          <w:sz w:val="36"/>
          <w:szCs w:val="36"/>
        </w:rPr>
      </w:pPr>
      <w:r>
        <w:rPr>
          <w:b/>
          <w:sz w:val="36"/>
          <w:szCs w:val="36"/>
        </w:rPr>
        <w:lastRenderedPageBreak/>
        <w:fldChar w:fldCharType="end"/>
      </w:r>
    </w:p>
    <w:bookmarkEnd w:id="884"/>
    <w:p w14:paraId="4738B220" w14:textId="77777777" w:rsidR="007D489A" w:rsidRDefault="007D489A" w:rsidP="007D489A">
      <w:pPr>
        <w:suppressLineNumbers/>
        <w:suppressAutoHyphens/>
        <w:jc w:val="center"/>
        <w:rPr>
          <w:b/>
          <w:sz w:val="28"/>
          <w:szCs w:val="28"/>
        </w:rPr>
      </w:pPr>
    </w:p>
    <w:p w14:paraId="24E7AEE9" w14:textId="698CEA42" w:rsidR="00B314B4" w:rsidRDefault="00B314B4">
      <w:pPr>
        <w:spacing w:after="0"/>
        <w:jc w:val="left"/>
        <w:rPr>
          <w:b/>
          <w:sz w:val="28"/>
          <w:szCs w:val="28"/>
        </w:rPr>
      </w:pPr>
      <w:r>
        <w:rPr>
          <w:b/>
          <w:sz w:val="28"/>
          <w:szCs w:val="28"/>
        </w:rPr>
        <w:br w:type="page"/>
      </w:r>
    </w:p>
    <w:p w14:paraId="192F3E58" w14:textId="211147FD" w:rsidR="007D489A" w:rsidRDefault="00B314B4" w:rsidP="007D489A">
      <w:pPr>
        <w:suppressLineNumbers/>
        <w:suppressAutoHyphens/>
        <w:jc w:val="center"/>
        <w:rPr>
          <w:b/>
          <w:sz w:val="28"/>
          <w:szCs w:val="28"/>
        </w:rPr>
      </w:pPr>
      <w:r>
        <w:rPr>
          <w:noProof/>
        </w:rPr>
        <w:lastRenderedPageBreak/>
        <w:drawing>
          <wp:anchor distT="0" distB="0" distL="114300" distR="114300" simplePos="0" relativeHeight="251658309" behindDoc="0" locked="0" layoutInCell="1" allowOverlap="1" wp14:anchorId="101939AF" wp14:editId="0DE57C8B">
            <wp:simplePos x="0" y="0"/>
            <wp:positionH relativeFrom="column">
              <wp:posOffset>4943475</wp:posOffset>
            </wp:positionH>
            <wp:positionV relativeFrom="paragraph">
              <wp:posOffset>0</wp:posOffset>
            </wp:positionV>
            <wp:extent cx="1319979" cy="1307163"/>
            <wp:effectExtent l="0" t="0" r="0" b="7620"/>
            <wp:wrapSquare wrapText="bothSides"/>
            <wp:docPr id="168251493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60274" name="Picture 59"/>
                    <pic:cNvPicPr/>
                  </pic:nvPicPr>
                  <pic:blipFill>
                    <a:blip r:embed="rId47">
                      <a:extLst>
                        <a:ext uri="{28A0092B-C50C-407E-A947-70E740481C1C}">
                          <a14:useLocalDpi xmlns:a14="http://schemas.microsoft.com/office/drawing/2010/main" val="0"/>
                        </a:ext>
                      </a:extLst>
                    </a:blip>
                    <a:stretch>
                      <a:fillRect/>
                    </a:stretch>
                  </pic:blipFill>
                  <pic:spPr>
                    <a:xfrm>
                      <a:off x="0" y="0"/>
                      <a:ext cx="1319979" cy="1307163"/>
                    </a:xfrm>
                    <a:prstGeom prst="rect">
                      <a:avLst/>
                    </a:prstGeom>
                  </pic:spPr>
                </pic:pic>
              </a:graphicData>
            </a:graphic>
          </wp:anchor>
        </w:drawing>
      </w:r>
    </w:p>
    <w:p w14:paraId="691D6228" w14:textId="77777777" w:rsidR="007D489A" w:rsidRDefault="007D489A" w:rsidP="007D489A">
      <w:pPr>
        <w:suppressLineNumbers/>
        <w:suppressAutoHyphens/>
        <w:jc w:val="center"/>
        <w:rPr>
          <w:b/>
          <w:sz w:val="28"/>
          <w:szCs w:val="28"/>
        </w:rPr>
      </w:pPr>
    </w:p>
    <w:bookmarkEnd w:id="882" w:displacedByCustomXml="next"/>
    <w:bookmarkEnd w:id="881" w:displacedByCustomXml="next"/>
    <w:bookmarkEnd w:id="880" w:displacedByCustomXml="next"/>
    <w:bookmarkEnd w:id="879" w:displacedByCustomXml="next"/>
    <w:sdt>
      <w:sdtPr>
        <w:rPr>
          <w:rFonts w:ascii="Calibri" w:hAnsi="Calibri"/>
          <w:sz w:val="22"/>
        </w:rPr>
        <w:id w:val="1386449988"/>
        <w:docPartObj>
          <w:docPartGallery w:val="Cover Pages"/>
          <w:docPartUnique/>
        </w:docPartObj>
      </w:sdtPr>
      <w:sdtEndPr>
        <w:rPr>
          <w:b/>
          <w:color w:val="FF0000"/>
        </w:rPr>
      </w:sdtEndPr>
      <w:sdtContent>
        <w:p w14:paraId="4D871497" w14:textId="63876A64" w:rsidR="00B314B4" w:rsidRPr="007702B1" w:rsidRDefault="007702B1" w:rsidP="007702B1">
          <w:pPr>
            <w:keepNext/>
            <w:keepLines/>
            <w:spacing w:before="240" w:after="0" w:line="276" w:lineRule="auto"/>
            <w:jc w:val="left"/>
            <w:outlineLvl w:val="0"/>
            <w:rPr>
              <w:rFonts w:ascii="Cambria" w:eastAsia="Times New Roman" w:hAnsi="Cambria"/>
              <w:color w:val="365F91"/>
              <w:sz w:val="32"/>
              <w:szCs w:val="32"/>
            </w:rPr>
          </w:pPr>
          <w:r w:rsidRPr="000C465B">
            <w:rPr>
              <w:rFonts w:ascii="Calibri" w:hAnsi="Calibri"/>
              <w:b/>
              <w:color w:val="FF0000"/>
              <w:sz w:val="22"/>
            </w:rPr>
            <w:t>DRAFT 03/31/2026</w:t>
          </w:r>
          <w:r w:rsidRPr="000C465B">
            <w:rPr>
              <w:sz w:val="24"/>
              <w:szCs w:val="24"/>
            </w:rPr>
            <w:t xml:space="preserve"> </w:t>
          </w:r>
          <w:r w:rsidR="000C465B" w:rsidRPr="000C465B">
            <w:rPr>
              <w:rFonts w:ascii="Cambria" w:eastAsia="Times New Roman" w:hAnsi="Cambria"/>
              <w:noProof/>
              <w:color w:val="365F91"/>
              <w:sz w:val="32"/>
              <w:szCs w:val="32"/>
            </w:rPr>
            <mc:AlternateContent>
              <mc:Choice Requires="wpg">
                <w:drawing>
                  <wp:anchor distT="0" distB="0" distL="114300" distR="114300" simplePos="0" relativeHeight="251658298" behindDoc="0" locked="0" layoutInCell="1" allowOverlap="1" wp14:anchorId="6A296803" wp14:editId="51881F1E">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7108353"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306447024"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2701244" name="Rectangle 802701244"/>
                            <wps:cNvSpPr/>
                            <wps:spPr>
                              <a:xfrm>
                                <a:off x="0" y="0"/>
                                <a:ext cx="7315200" cy="1216152"/>
                              </a:xfrm>
                              <a:prstGeom prst="rect">
                                <a:avLst/>
                              </a:prstGeom>
                              <a:blipFill>
                                <a:blip r:embed="rId48"/>
                                <a:stretch>
                                  <a:fillRect r="-7574"/>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717CBCA" id="Group 157" o:spid="_x0000_s1026" style="position:absolute;margin-left:0;margin-top:0;width:8in;height:95.7pt;z-index:25172377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" path="m,l7312660,r,1129665l3619500,733425,,1091565,,xe" fillcolor="#4f81bd" stroked="f" strokeweight="2pt">
                      <v:path arrowok="t" o:connecttype="custom" o:connectlocs="0,0;7315200,0;7315200,1130373;3620757,733885;0,1092249;0,0" o:connectangles="0,0,0,0,0,0"/>
                    </v:shape>
                    <v:rect id="Rectangle 802701244"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" stroked="f" strokeweight="2pt">
                      <v:fill r:id="rId49" o:title="" recolor="t" rotate="t" type="frame"/>
                    </v:rect>
                    <w10:wrap anchorx="page" anchory="page"/>
                  </v:group>
                </w:pict>
              </mc:Fallback>
            </mc:AlternateContent>
          </w:r>
          <w:r w:rsidR="000C465B" w:rsidRPr="000C465B">
            <w:rPr>
              <w:rFonts w:ascii="Calibri" w:hAnsi="Calibri"/>
              <w:noProof/>
              <w:sz w:val="22"/>
            </w:rPr>
            <mc:AlternateContent>
              <mc:Choice Requires="wps">
                <w:drawing>
                  <wp:anchor distT="0" distB="0" distL="114300" distR="114300" simplePos="0" relativeHeight="251658296" behindDoc="0" locked="0" layoutInCell="1" allowOverlap="1" wp14:anchorId="6E1EAE8B" wp14:editId="2A1AF2DF">
                    <wp:simplePos x="0" y="0"/>
                    <wp:positionH relativeFrom="page">
                      <wp:posOffset>-1038225</wp:posOffset>
                    </wp:positionH>
                    <wp:positionV relativeFrom="page">
                      <wp:posOffset>3019425</wp:posOffset>
                    </wp:positionV>
                    <wp:extent cx="8523605" cy="4200525"/>
                    <wp:effectExtent l="0" t="0" r="0" b="9525"/>
                    <wp:wrapSquare wrapText="bothSides"/>
                    <wp:docPr id="305784802" name="Text Box 163"/>
                    <wp:cNvGraphicFramePr/>
                    <a:graphic xmlns:a="http://schemas.openxmlformats.org/drawingml/2006/main">
                      <a:graphicData uri="http://schemas.microsoft.com/office/word/2010/wordprocessingShape">
                        <wps:wsp>
                          <wps:cNvSpPr txBox="1"/>
                          <wps:spPr>
                            <a:xfrm>
                              <a:off x="0" y="0"/>
                              <a:ext cx="8523605" cy="4200525"/>
                            </a:xfrm>
                            <a:prstGeom prst="rect">
                              <a:avLst/>
                            </a:prstGeom>
                            <a:noFill/>
                            <a:ln w="6350">
                              <a:noFill/>
                            </a:ln>
                            <a:effectLst/>
                          </wps:spPr>
                          <wps:txbx>
                            <w:txbxContent>
                              <w:p w14:paraId="5B8874D7" w14:textId="59BD2022" w:rsidR="000C465B" w:rsidRPr="003D1041" w:rsidRDefault="000C465B" w:rsidP="000C465B">
                                <w:pPr>
                                  <w:pStyle w:val="NoSpacing"/>
                                  <w:jc w:val="right"/>
                                  <w:rPr>
                                    <w:b/>
                                    <w:bCs/>
                                    <w:color w:val="386398"/>
                                    <w:sz w:val="56"/>
                                    <w:szCs w:val="56"/>
                                  </w:rPr>
                                </w:pPr>
                                <w:r w:rsidRPr="003D1041">
                                  <w:rPr>
                                    <w:b/>
                                    <w:bCs/>
                                    <w:color w:val="386398"/>
                                    <w:sz w:val="56"/>
                                    <w:szCs w:val="56"/>
                                  </w:rPr>
                                  <w:t xml:space="preserve">Quantity-Related Expressions </w:t>
                                </w:r>
                              </w:p>
                              <w:p w14:paraId="1CF73247" w14:textId="77777777" w:rsidR="000C465B" w:rsidRPr="003D1041" w:rsidRDefault="000C465B" w:rsidP="000C465B">
                                <w:pPr>
                                  <w:pStyle w:val="NoSpacing"/>
                                  <w:jc w:val="right"/>
                                  <w:rPr>
                                    <w:b/>
                                    <w:bCs/>
                                    <w:color w:val="386398"/>
                                    <w:sz w:val="56"/>
                                    <w:szCs w:val="56"/>
                                  </w:rPr>
                                </w:pPr>
                                <w:r w:rsidRPr="003D1041">
                                  <w:rPr>
                                    <w:b/>
                                    <w:bCs/>
                                    <w:color w:val="386398"/>
                                    <w:sz w:val="56"/>
                                    <w:szCs w:val="56"/>
                                  </w:rPr>
                                  <w:t>on a Principal Display Panel</w:t>
                                </w:r>
                              </w:p>
                              <w:p w14:paraId="52507CEC" w14:textId="77777777" w:rsidR="000C465B" w:rsidRPr="000C465B" w:rsidRDefault="000C465B" w:rsidP="000C465B">
                                <w:pPr>
                                  <w:pStyle w:val="NoSpacing"/>
                                  <w:jc w:val="right"/>
                                  <w:rPr>
                                    <w:b/>
                                    <w:bCs/>
                                    <w:color w:val="4F81BD"/>
                                    <w:sz w:val="56"/>
                                    <w:szCs w:val="56"/>
                                  </w:rPr>
                                </w:pPr>
                              </w:p>
                              <w:sdt>
                                <w:sdtPr>
                                  <w:rPr>
                                    <w:b/>
                                    <w:bCs/>
                                    <w:color w:val="404040"/>
                                    <w:sz w:val="32"/>
                                    <w:szCs w:val="32"/>
                                  </w:rPr>
                                  <w:alias w:val="Subtitle"/>
                                  <w:tag w:val=""/>
                                  <w:id w:val="157824457"/>
                                  <w:showingPlcHdr/>
                                  <w:dataBinding w:prefixMappings="xmlns:ns0='http://purl.org/dc/elements/1.1/' xmlns:ns1='http://schemas.openxmlformats.org/package/2006/metadata/core-properties' " w:xpath="/ns1:coreProperties[1]/ns0:subject[1]" w:storeItemID="{6C3C8BC8-F283-45AE-878A-BAB7291924A1}"/>
                                  <w:text/>
                                </w:sdtPr>
                                <w:sdtEndPr/>
                                <w:sdtContent>
                                  <w:p w14:paraId="74D54D3C" w14:textId="77777777" w:rsidR="000C465B" w:rsidRPr="000C465B" w:rsidRDefault="000C465B" w:rsidP="000C465B">
                                    <w:pPr>
                                      <w:jc w:val="right"/>
                                      <w:rPr>
                                        <w:b/>
                                        <w:bCs/>
                                        <w:smallCaps/>
                                        <w:color w:val="404040"/>
                                        <w:sz w:val="32"/>
                                        <w:szCs w:val="32"/>
                                      </w:rPr>
                                    </w:pPr>
                                    <w:r w:rsidRPr="000C465B">
                                      <w:rPr>
                                        <w:b/>
                                        <w:bCs/>
                                        <w:color w:val="404040"/>
                                        <w:sz w:val="32"/>
                                        <w:szCs w:val="32"/>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E1EAE8B" id="_x0000_t202" coordsize="21600,21600" o:spt="202" path="m,l,21600r21600,l21600,xe">
                    <v:stroke joinstyle="miter"/>
                    <v:path gradientshapeok="t" o:connecttype="rect"/>
                  </v:shapetype>
                  <v:shape id="Text Box 163" o:spid="_x0000_s1026" type="#_x0000_t202" style="position:absolute;margin-left:-81.75pt;margin-top:237.75pt;width:671.15pt;height:330.75pt;z-index:251658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" filled="f" stroked="f" strokeweight=".5pt">
                    <v:textbox inset="126pt,0,54pt,0">
                      <w:txbxContent>
                        <w:p w14:paraId="5B8874D7" w14:textId="59BD2022" w:rsidR="000C465B" w:rsidRPr="003D1041" w:rsidRDefault="000C465B" w:rsidP="000C465B">
                          <w:pPr>
                            <w:pStyle w:val="NoSpacing"/>
                            <w:jc w:val="right"/>
                            <w:rPr>
                              <w:b/>
                              <w:bCs/>
                              <w:color w:val="386398"/>
                              <w:sz w:val="56"/>
                              <w:szCs w:val="56"/>
                            </w:rPr>
                          </w:pPr>
                          <w:r w:rsidRPr="003D1041">
                            <w:rPr>
                              <w:b/>
                              <w:bCs/>
                              <w:color w:val="386398"/>
                              <w:sz w:val="56"/>
                              <w:szCs w:val="56"/>
                            </w:rPr>
                            <w:t xml:space="preserve">Quantity-Related Expressions </w:t>
                          </w:r>
                        </w:p>
                        <w:p w14:paraId="1CF73247" w14:textId="77777777" w:rsidR="000C465B" w:rsidRPr="003D1041" w:rsidRDefault="000C465B" w:rsidP="000C465B">
                          <w:pPr>
                            <w:pStyle w:val="NoSpacing"/>
                            <w:jc w:val="right"/>
                            <w:rPr>
                              <w:b/>
                              <w:bCs/>
                              <w:color w:val="386398"/>
                              <w:sz w:val="56"/>
                              <w:szCs w:val="56"/>
                            </w:rPr>
                          </w:pPr>
                          <w:r w:rsidRPr="003D1041">
                            <w:rPr>
                              <w:b/>
                              <w:bCs/>
                              <w:color w:val="386398"/>
                              <w:sz w:val="56"/>
                              <w:szCs w:val="56"/>
                            </w:rPr>
                            <w:t>on a Principal Display Panel</w:t>
                          </w:r>
                        </w:p>
                        <w:p w14:paraId="52507CEC" w14:textId="77777777" w:rsidR="000C465B" w:rsidRPr="000C465B" w:rsidRDefault="000C465B" w:rsidP="000C465B">
                          <w:pPr>
                            <w:pStyle w:val="NoSpacing"/>
                            <w:jc w:val="right"/>
                            <w:rPr>
                              <w:b/>
                              <w:bCs/>
                              <w:color w:val="4F81BD"/>
                              <w:sz w:val="56"/>
                              <w:szCs w:val="56"/>
                            </w:rPr>
                          </w:pPr>
                        </w:p>
                        <w:sdt>
                          <w:sdtPr>
                            <w:rPr>
                              <w:b/>
                              <w:bCs/>
                              <w:color w:val="404040"/>
                              <w:sz w:val="32"/>
                              <w:szCs w:val="32"/>
                            </w:rPr>
                            <w:alias w:val="Subtitle"/>
                            <w:tag w:val=""/>
                            <w:id w:val="157824457"/>
                            <w:showingPlcHdr/>
                            <w:dataBinding w:prefixMappings="xmlns:ns0='http://purl.org/dc/elements/1.1/' xmlns:ns1='http://schemas.openxmlformats.org/package/2006/metadata/core-properties' " w:xpath="/ns1:coreProperties[1]/ns0:subject[1]" w:storeItemID="{6C3C8BC8-F283-45AE-878A-BAB7291924A1}"/>
                            <w:text/>
                          </w:sdtPr>
                          <w:sdtEndPr/>
                          <w:sdtContent>
                            <w:p w14:paraId="74D54D3C" w14:textId="77777777" w:rsidR="000C465B" w:rsidRPr="000C465B" w:rsidRDefault="000C465B" w:rsidP="000C465B">
                              <w:pPr>
                                <w:jc w:val="right"/>
                                <w:rPr>
                                  <w:b/>
                                  <w:bCs/>
                                  <w:smallCaps/>
                                  <w:color w:val="404040"/>
                                  <w:sz w:val="32"/>
                                  <w:szCs w:val="32"/>
                                </w:rPr>
                              </w:pPr>
                              <w:r w:rsidRPr="000C465B">
                                <w:rPr>
                                  <w:b/>
                                  <w:bCs/>
                                  <w:color w:val="404040"/>
                                  <w:sz w:val="32"/>
                                  <w:szCs w:val="32"/>
                                </w:rPr>
                                <w:t xml:space="preserve">     </w:t>
                              </w:r>
                            </w:p>
                          </w:sdtContent>
                        </w:sdt>
                      </w:txbxContent>
                    </v:textbox>
                    <w10:wrap type="square" anchorx="page" anchory="page"/>
                  </v:shape>
                </w:pict>
              </mc:Fallback>
            </mc:AlternateContent>
          </w:r>
          <w:r w:rsidR="000C465B" w:rsidRPr="000C465B">
            <w:rPr>
              <w:rFonts w:ascii="Calibri" w:hAnsi="Calibri"/>
              <w:noProof/>
              <w:sz w:val="22"/>
            </w:rPr>
            <mc:AlternateContent>
              <mc:Choice Requires="wps">
                <w:drawing>
                  <wp:anchor distT="0" distB="0" distL="114300" distR="114300" simplePos="0" relativeHeight="251658297" behindDoc="0" locked="0" layoutInCell="1" allowOverlap="1" wp14:anchorId="66E42FE6" wp14:editId="5B0E710E">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635693576"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txbx>
                            <w:txbxContent>
                              <w:p w14:paraId="7AC2AF7F" w14:textId="02FA922C" w:rsidR="000C465B" w:rsidRPr="007A2E29" w:rsidRDefault="00CE3D5D" w:rsidP="003258DF">
                                <w:pPr>
                                  <w:pStyle w:val="NoSpacing"/>
                                  <w:jc w:val="right"/>
                                </w:pPr>
                                <w:sdt>
                                  <w:sdtPr>
                                    <w:rPr>
                                      <w:sz w:val="28"/>
                                      <w:szCs w:val="28"/>
                                    </w:rPr>
                                    <w:alias w:val="Author"/>
                                    <w:tag w:val=""/>
                                    <w:id w:val="1653642194"/>
                                    <w:showingPlcHdr/>
                                    <w:dataBinding w:prefixMappings="xmlns:ns0='http://purl.org/dc/elements/1.1/' xmlns:ns1='http://schemas.openxmlformats.org/package/2006/metadata/core-properties' " w:xpath="/ns1:coreProperties[1]/ns0:creator[1]" w:storeItemID="{6C3C8BC8-F283-45AE-878A-BAB7291924A1}"/>
                                    <w:text/>
                                  </w:sdtPr>
                                  <w:sdtEndPr>
                                    <w:rPr>
                                      <w:sz w:val="22"/>
                                      <w:szCs w:val="22"/>
                                    </w:rPr>
                                  </w:sdtEndPr>
                                  <w:sdtContent>
                                    <w:r w:rsidR="003258DF">
                                      <w:rPr>
                                        <w:sz w:val="28"/>
                                        <w:szCs w:val="28"/>
                                      </w:rPr>
                                      <w:t xml:space="preserve">     </w:t>
                                    </w:r>
                                  </w:sdtContent>
                                </w:sdt>
                                <w:r w:rsidR="000C465B" w:rsidRPr="007A2E29">
                                  <w:t>   info@ncwm.com</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66E42FE6" id="Text Box 159" o:spid="_x0000_s1027" type="#_x0000_t202" style="position:absolute;margin-left:0;margin-top:0;width:8in;height:1in;z-index:251658297;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" filled="f" stroked="f" strokeweight=".5pt">
                    <v:textbox inset="126pt,0,54pt,0">
                      <w:txbxContent>
                        <w:p w14:paraId="7AC2AF7F" w14:textId="02FA922C" w:rsidR="000C465B" w:rsidRPr="007A2E29" w:rsidRDefault="00CE3D5D" w:rsidP="003258DF">
                          <w:pPr>
                            <w:pStyle w:val="NoSpacing"/>
                            <w:jc w:val="right"/>
                          </w:pPr>
                          <w:sdt>
                            <w:sdtPr>
                              <w:rPr>
                                <w:sz w:val="28"/>
                                <w:szCs w:val="28"/>
                              </w:rPr>
                              <w:alias w:val="Author"/>
                              <w:tag w:val=""/>
                              <w:id w:val="1653642194"/>
                              <w:showingPlcHdr/>
                              <w:dataBinding w:prefixMappings="xmlns:ns0='http://purl.org/dc/elements/1.1/' xmlns:ns1='http://schemas.openxmlformats.org/package/2006/metadata/core-properties' " w:xpath="/ns1:coreProperties[1]/ns0:creator[1]" w:storeItemID="{6C3C8BC8-F283-45AE-878A-BAB7291924A1}"/>
                              <w:text/>
                            </w:sdtPr>
                            <w:sdtEndPr>
                              <w:rPr>
                                <w:sz w:val="22"/>
                                <w:szCs w:val="22"/>
                              </w:rPr>
                            </w:sdtEndPr>
                            <w:sdtContent>
                              <w:r w:rsidR="003258DF">
                                <w:rPr>
                                  <w:sz w:val="28"/>
                                  <w:szCs w:val="28"/>
                                </w:rPr>
                                <w:t xml:space="preserve">     </w:t>
                              </w:r>
                            </w:sdtContent>
                          </w:sdt>
                          <w:r w:rsidR="000C465B" w:rsidRPr="007A2E29">
                            <w:t>   info@ncwm.com</w:t>
                          </w:r>
                        </w:p>
                      </w:txbxContent>
                    </v:textbox>
                    <w10:wrap type="square" anchorx="page" anchory="page"/>
                  </v:shape>
                </w:pict>
              </mc:Fallback>
            </mc:AlternateContent>
          </w:r>
        </w:p>
      </w:sdtContent>
    </w:sdt>
    <w:p w14:paraId="7549A1BD" w14:textId="0699C7F1" w:rsidR="007702B1" w:rsidRPr="007702B1" w:rsidRDefault="000C465B" w:rsidP="007702B1">
      <w:pPr>
        <w:spacing w:after="200" w:line="276" w:lineRule="auto"/>
        <w:jc w:val="left"/>
        <w:rPr>
          <w:b/>
          <w:bCs/>
          <w:sz w:val="22"/>
        </w:rPr>
      </w:pPr>
      <w:r w:rsidRPr="000C465B">
        <w:rPr>
          <w:rFonts w:ascii="Calibri" w:hAnsi="Calibri"/>
          <w:b/>
          <w:color w:val="FF0000"/>
          <w:sz w:val="22"/>
        </w:rPr>
        <w:br w:type="page"/>
      </w:r>
      <w:r w:rsidRPr="000C465B">
        <w:rPr>
          <w:sz w:val="24"/>
          <w:szCs w:val="24"/>
        </w:rPr>
        <w:lastRenderedPageBreak/>
        <w:t xml:space="preserve"> </w:t>
      </w:r>
      <w:r w:rsidR="007702B1" w:rsidRPr="007702B1">
        <w:rPr>
          <w:b/>
          <w:bCs/>
          <w:sz w:val="22"/>
        </w:rPr>
        <w:t>Contains Nonbinding Recommendations</w:t>
      </w:r>
    </w:p>
    <w:p w14:paraId="24CEBF9B" w14:textId="77777777" w:rsidR="007702B1" w:rsidRPr="007702B1" w:rsidRDefault="007702B1" w:rsidP="007702B1">
      <w:pPr>
        <w:widowControl w:val="0"/>
        <w:spacing w:after="0"/>
        <w:jc w:val="left"/>
        <w:rPr>
          <w:b/>
          <w:bCs/>
          <w:sz w:val="22"/>
        </w:rPr>
      </w:pPr>
    </w:p>
    <w:p w14:paraId="58E4E7DC" w14:textId="563BBC92" w:rsidR="007702B1" w:rsidRPr="007702B1" w:rsidRDefault="007702B1" w:rsidP="007702B1">
      <w:pPr>
        <w:widowControl w:val="0"/>
        <w:spacing w:after="0"/>
        <w:rPr>
          <w:b/>
          <w:bCs/>
          <w:sz w:val="22"/>
        </w:rPr>
      </w:pPr>
      <w:r w:rsidRPr="007702B1">
        <w:rPr>
          <w:b/>
          <w:bCs/>
          <w:sz w:val="22"/>
        </w:rPr>
        <w:t>Guidance and Recommendations to Manufacturers and Regulators on Best Practices for U.S. Packages</w:t>
      </w:r>
    </w:p>
    <w:p w14:paraId="312BF6A3" w14:textId="77777777" w:rsidR="007702B1" w:rsidRPr="007702B1" w:rsidRDefault="007702B1" w:rsidP="007702B1">
      <w:pPr>
        <w:widowControl w:val="0"/>
        <w:spacing w:after="0"/>
        <w:rPr>
          <w:b/>
          <w:bCs/>
          <w:sz w:val="22"/>
        </w:rPr>
      </w:pPr>
    </w:p>
    <w:p w14:paraId="609FCAB2" w14:textId="77777777" w:rsidR="007702B1" w:rsidRPr="007702B1" w:rsidRDefault="007702B1" w:rsidP="007702B1">
      <w:pPr>
        <w:spacing w:after="160"/>
        <w:jc w:val="left"/>
        <w:rPr>
          <w:b/>
          <w:bCs/>
          <w:sz w:val="22"/>
        </w:rPr>
      </w:pPr>
      <w:r w:rsidRPr="007702B1">
        <w:rPr>
          <w:b/>
          <w:bCs/>
          <w:sz w:val="22"/>
        </w:rPr>
        <w:t>Quantity-Related Expressions Appearing on the Principal Display Panel separate from the Required Statement of Quantity</w:t>
      </w:r>
    </w:p>
    <w:p w14:paraId="6D2FFE74" w14:textId="1EC30252" w:rsidR="007702B1" w:rsidRPr="007702B1" w:rsidRDefault="007702B1" w:rsidP="007702B1">
      <w:pPr>
        <w:spacing w:after="120" w:line="360" w:lineRule="auto"/>
        <w:rPr>
          <w:i/>
          <w:iCs/>
          <w:sz w:val="22"/>
        </w:rPr>
      </w:pPr>
      <w:r w:rsidRPr="007702B1">
        <w:rPr>
          <w:i/>
          <w:iCs/>
          <w:sz w:val="22"/>
        </w:rPr>
        <w:t>This document is intended to provide guidance and recommendations regarding best practices for quantity-oriented    expressions which appear on a product Principal Display Panel (PDP) in addition to the required Declaration of Net Quantity (</w:t>
      </w:r>
      <w:proofErr w:type="spellStart"/>
      <w:r w:rsidRPr="007702B1">
        <w:rPr>
          <w:i/>
          <w:iCs/>
          <w:sz w:val="22"/>
        </w:rPr>
        <w:t>DoNQ</w:t>
      </w:r>
      <w:proofErr w:type="spellEnd"/>
      <w:r w:rsidRPr="007702B1">
        <w:rPr>
          <w:i/>
          <w:iCs/>
          <w:sz w:val="22"/>
        </w:rPr>
        <w:t xml:space="preserve">). The National Council on Weights and Measures (NCWM) has drafted this document to help manufacturers, regulators and retailers </w:t>
      </w:r>
      <w:proofErr w:type="gramStart"/>
      <w:r w:rsidRPr="007702B1">
        <w:rPr>
          <w:i/>
          <w:iCs/>
          <w:sz w:val="22"/>
        </w:rPr>
        <w:t>assure</w:t>
      </w:r>
      <w:proofErr w:type="gramEnd"/>
      <w:r w:rsidRPr="007702B1">
        <w:rPr>
          <w:i/>
          <w:iCs/>
          <w:sz w:val="22"/>
        </w:rPr>
        <w:t xml:space="preserve"> this added information is truthful, non-misleading and is presented in a manner that complements    the required Declaration of Net Quantity.</w:t>
      </w:r>
    </w:p>
    <w:p w14:paraId="6541A8A4" w14:textId="77777777" w:rsidR="007702B1" w:rsidRPr="007702B1" w:rsidRDefault="007702B1" w:rsidP="007702B1">
      <w:pPr>
        <w:widowControl w:val="0"/>
        <w:spacing w:after="120"/>
        <w:rPr>
          <w:rStyle w:val="Hyperlink"/>
          <w:b/>
          <w:bCs/>
          <w:color w:val="auto"/>
          <w:sz w:val="22"/>
        </w:rPr>
      </w:pPr>
      <w:r w:rsidRPr="007702B1">
        <w:rPr>
          <w:b/>
          <w:bCs/>
          <w:sz w:val="22"/>
        </w:rPr>
        <w:t xml:space="preserve"> </w:t>
      </w:r>
      <w:r w:rsidRPr="007702B1">
        <w:rPr>
          <w:b/>
          <w:bCs/>
          <w:sz w:val="22"/>
        </w:rPr>
        <w:fldChar w:fldCharType="begin"/>
      </w:r>
      <w:r w:rsidRPr="007702B1">
        <w:rPr>
          <w:b/>
          <w:bCs/>
          <w:sz w:val="22"/>
        </w:rPr>
        <w:instrText>HYPERLINK  \l "Introduction"</w:instrText>
      </w:r>
      <w:r w:rsidRPr="007702B1">
        <w:rPr>
          <w:b/>
          <w:bCs/>
          <w:sz w:val="22"/>
        </w:rPr>
      </w:r>
      <w:r w:rsidRPr="007702B1">
        <w:rPr>
          <w:b/>
          <w:bCs/>
          <w:sz w:val="22"/>
        </w:rPr>
        <w:fldChar w:fldCharType="separate"/>
      </w:r>
      <w:r w:rsidRPr="007702B1">
        <w:rPr>
          <w:rStyle w:val="Hyperlink"/>
          <w:b/>
          <w:bCs/>
          <w:color w:val="auto"/>
          <w:sz w:val="22"/>
        </w:rPr>
        <w:t>Introduction</w:t>
      </w:r>
    </w:p>
    <w:p w14:paraId="22EF8933" w14:textId="77777777" w:rsidR="007702B1" w:rsidRPr="007702B1" w:rsidRDefault="007702B1" w:rsidP="007702B1">
      <w:pPr>
        <w:widowControl w:val="0"/>
        <w:spacing w:after="0"/>
        <w:ind w:left="720"/>
        <w:rPr>
          <w:szCs w:val="20"/>
        </w:rPr>
      </w:pPr>
      <w:r w:rsidRPr="007702B1">
        <w:rPr>
          <w:b/>
          <w:bCs/>
          <w:sz w:val="22"/>
        </w:rPr>
        <w:fldChar w:fldCharType="end"/>
      </w:r>
      <w:r w:rsidRPr="007702B1">
        <w:rPr>
          <w:szCs w:val="20"/>
        </w:rPr>
        <w:t>Organization of Document</w:t>
      </w:r>
    </w:p>
    <w:p w14:paraId="5A6F3966" w14:textId="77777777" w:rsidR="007702B1" w:rsidRPr="007702B1" w:rsidRDefault="007702B1" w:rsidP="007702B1">
      <w:pPr>
        <w:widowControl w:val="0"/>
        <w:spacing w:after="120"/>
        <w:ind w:left="720"/>
        <w:rPr>
          <w:szCs w:val="20"/>
        </w:rPr>
      </w:pPr>
      <w:r w:rsidRPr="007702B1">
        <w:rPr>
          <w:szCs w:val="20"/>
        </w:rPr>
        <w:t>Discussion of Supplemental Statements</w:t>
      </w:r>
    </w:p>
    <w:p w14:paraId="77F9F004" w14:textId="77777777" w:rsidR="007702B1" w:rsidRPr="007702B1" w:rsidRDefault="007702B1" w:rsidP="007702B1">
      <w:pPr>
        <w:widowControl w:val="0"/>
        <w:spacing w:after="120"/>
        <w:rPr>
          <w:rFonts w:ascii="Calibri" w:hAnsi="Calibri" w:cs="Calibri"/>
          <w:b/>
          <w:bCs/>
          <w:sz w:val="22"/>
        </w:rPr>
      </w:pPr>
      <w:hyperlink w:anchor="Background" w:history="1">
        <w:r w:rsidRPr="007702B1">
          <w:rPr>
            <w:rStyle w:val="Hyperlink"/>
            <w:b/>
            <w:bCs/>
            <w:color w:val="auto"/>
            <w:sz w:val="22"/>
          </w:rPr>
          <w:t>Background</w:t>
        </w:r>
      </w:hyperlink>
    </w:p>
    <w:p w14:paraId="4A79D438" w14:textId="77777777" w:rsidR="007702B1" w:rsidRPr="007702B1" w:rsidRDefault="007702B1" w:rsidP="007702B1">
      <w:pPr>
        <w:widowControl w:val="0"/>
        <w:spacing w:after="120"/>
        <w:rPr>
          <w:rStyle w:val="Hyperlink"/>
          <w:b/>
          <w:bCs/>
          <w:color w:val="auto"/>
          <w:sz w:val="22"/>
        </w:rPr>
      </w:pPr>
      <w:r w:rsidRPr="007702B1">
        <w:rPr>
          <w:b/>
          <w:bCs/>
          <w:sz w:val="22"/>
        </w:rPr>
        <w:fldChar w:fldCharType="begin"/>
      </w:r>
      <w:r w:rsidRPr="007702B1">
        <w:rPr>
          <w:b/>
          <w:bCs/>
          <w:sz w:val="22"/>
        </w:rPr>
        <w:instrText>HYPERLINK  \l "Expression_Categories"</w:instrText>
      </w:r>
      <w:r w:rsidRPr="007702B1">
        <w:rPr>
          <w:b/>
          <w:bCs/>
          <w:sz w:val="22"/>
        </w:rPr>
      </w:r>
      <w:r w:rsidRPr="007702B1">
        <w:rPr>
          <w:b/>
          <w:bCs/>
          <w:sz w:val="22"/>
        </w:rPr>
        <w:fldChar w:fldCharType="separate"/>
      </w:r>
      <w:r w:rsidRPr="007702B1">
        <w:rPr>
          <w:rStyle w:val="Hyperlink"/>
          <w:b/>
          <w:bCs/>
          <w:color w:val="auto"/>
          <w:sz w:val="22"/>
        </w:rPr>
        <w:t>Expression Categories</w:t>
      </w:r>
    </w:p>
    <w:p w14:paraId="3ECF5178" w14:textId="77777777" w:rsidR="007702B1" w:rsidRPr="007702B1" w:rsidRDefault="007702B1" w:rsidP="007702B1">
      <w:pPr>
        <w:widowControl w:val="0"/>
        <w:spacing w:after="0"/>
        <w:ind w:left="1080" w:hanging="360"/>
        <w:rPr>
          <w:szCs w:val="20"/>
        </w:rPr>
      </w:pPr>
      <w:r w:rsidRPr="007702B1">
        <w:rPr>
          <w:b/>
          <w:bCs/>
          <w:sz w:val="22"/>
        </w:rPr>
        <w:fldChar w:fldCharType="end"/>
      </w:r>
      <w:r w:rsidRPr="007702B1">
        <w:rPr>
          <w:szCs w:val="20"/>
        </w:rPr>
        <w:t>1. Additional Expression of Quantity</w:t>
      </w:r>
    </w:p>
    <w:p w14:paraId="32753C5D" w14:textId="77777777" w:rsidR="007702B1" w:rsidRPr="007702B1" w:rsidRDefault="007702B1" w:rsidP="007702B1">
      <w:pPr>
        <w:widowControl w:val="0"/>
        <w:spacing w:after="0"/>
        <w:ind w:left="1080" w:hanging="360"/>
        <w:rPr>
          <w:szCs w:val="20"/>
        </w:rPr>
      </w:pPr>
      <w:r w:rsidRPr="007702B1">
        <w:rPr>
          <w:szCs w:val="20"/>
        </w:rPr>
        <w:t>2. Reconstituted Expression of Quantity</w:t>
      </w:r>
    </w:p>
    <w:p w14:paraId="56999878" w14:textId="77777777" w:rsidR="007702B1" w:rsidRPr="007702B1" w:rsidRDefault="007702B1" w:rsidP="007702B1">
      <w:pPr>
        <w:widowControl w:val="0"/>
        <w:spacing w:after="0"/>
        <w:ind w:left="1080" w:hanging="360"/>
        <w:rPr>
          <w:szCs w:val="20"/>
        </w:rPr>
      </w:pPr>
      <w:r w:rsidRPr="007702B1">
        <w:rPr>
          <w:szCs w:val="20"/>
        </w:rPr>
        <w:t>3. Derived Unit Expression</w:t>
      </w:r>
    </w:p>
    <w:p w14:paraId="5D7B27E2" w14:textId="77777777" w:rsidR="007702B1" w:rsidRPr="007702B1" w:rsidRDefault="007702B1" w:rsidP="007702B1">
      <w:pPr>
        <w:widowControl w:val="0"/>
        <w:spacing w:after="0"/>
        <w:ind w:left="1080" w:hanging="360"/>
        <w:rPr>
          <w:szCs w:val="20"/>
        </w:rPr>
      </w:pPr>
      <w:r w:rsidRPr="007702B1">
        <w:rPr>
          <w:szCs w:val="20"/>
        </w:rPr>
        <w:t>4. Comparative Quantity Representation</w:t>
      </w:r>
    </w:p>
    <w:p w14:paraId="58B5DF58" w14:textId="77777777" w:rsidR="007702B1" w:rsidRPr="007702B1" w:rsidRDefault="007702B1" w:rsidP="007702B1">
      <w:pPr>
        <w:widowControl w:val="0"/>
        <w:spacing w:after="120"/>
        <w:ind w:left="1080" w:hanging="360"/>
        <w:rPr>
          <w:szCs w:val="20"/>
        </w:rPr>
      </w:pPr>
      <w:r w:rsidRPr="007702B1">
        <w:rPr>
          <w:szCs w:val="20"/>
        </w:rPr>
        <w:t>5. Comparative Performance Representation</w:t>
      </w:r>
    </w:p>
    <w:p w14:paraId="54460F6E" w14:textId="77777777" w:rsidR="007702B1" w:rsidRPr="007702B1" w:rsidRDefault="007702B1" w:rsidP="007702B1">
      <w:pPr>
        <w:widowControl w:val="0"/>
        <w:spacing w:after="120"/>
        <w:rPr>
          <w:rFonts w:ascii="Calibri" w:hAnsi="Calibri" w:cs="Calibri"/>
          <w:b/>
          <w:bCs/>
          <w:spacing w:val="-3"/>
          <w:sz w:val="22"/>
        </w:rPr>
      </w:pPr>
      <w:hyperlink w:anchor="Principles_Recommendations" w:history="1">
        <w:r w:rsidRPr="007702B1">
          <w:rPr>
            <w:rStyle w:val="Hyperlink"/>
            <w:b/>
            <w:bCs/>
            <w:color w:val="auto"/>
            <w:spacing w:val="-3"/>
            <w:sz w:val="22"/>
          </w:rPr>
          <w:t>Principles &amp; Recommendations by Expression Category</w:t>
        </w:r>
      </w:hyperlink>
    </w:p>
    <w:p w14:paraId="1ECACE59" w14:textId="77777777" w:rsidR="007702B1" w:rsidRPr="007702B1" w:rsidRDefault="007702B1" w:rsidP="007702B1">
      <w:pPr>
        <w:widowControl w:val="0"/>
        <w:spacing w:after="120"/>
        <w:ind w:left="720"/>
        <w:rPr>
          <w:szCs w:val="20"/>
        </w:rPr>
      </w:pPr>
      <w:hyperlink w:anchor="Table1" w:history="1">
        <w:r w:rsidRPr="007702B1">
          <w:rPr>
            <w:rStyle w:val="Hyperlink"/>
            <w:color w:val="auto"/>
            <w:szCs w:val="20"/>
          </w:rPr>
          <w:t>Table 1: Summary of Principles</w:t>
        </w:r>
      </w:hyperlink>
      <w:r w:rsidRPr="007702B1">
        <w:rPr>
          <w:szCs w:val="20"/>
        </w:rPr>
        <w:t xml:space="preserve"> </w:t>
      </w:r>
    </w:p>
    <w:p w14:paraId="655AE893" w14:textId="77777777" w:rsidR="007702B1" w:rsidRPr="007702B1" w:rsidRDefault="007702B1" w:rsidP="007702B1">
      <w:pPr>
        <w:widowControl w:val="0"/>
        <w:spacing w:after="0"/>
        <w:ind w:firstLine="720"/>
        <w:rPr>
          <w:rStyle w:val="Hyperlink"/>
          <w:color w:val="auto"/>
          <w:szCs w:val="20"/>
        </w:rPr>
      </w:pPr>
      <w:r w:rsidRPr="007702B1">
        <w:rPr>
          <w:szCs w:val="20"/>
        </w:rPr>
        <w:fldChar w:fldCharType="begin"/>
      </w:r>
      <w:r w:rsidRPr="007702B1">
        <w:rPr>
          <w:szCs w:val="20"/>
        </w:rPr>
        <w:instrText>HYPERLINK  \l "Table2"</w:instrText>
      </w:r>
      <w:r w:rsidRPr="007702B1">
        <w:rPr>
          <w:szCs w:val="20"/>
        </w:rPr>
      </w:r>
      <w:r w:rsidRPr="007702B1">
        <w:rPr>
          <w:szCs w:val="20"/>
        </w:rPr>
        <w:fldChar w:fldCharType="separate"/>
      </w:r>
      <w:r w:rsidRPr="007702B1">
        <w:rPr>
          <w:rStyle w:val="Hyperlink"/>
          <w:color w:val="auto"/>
          <w:szCs w:val="20"/>
        </w:rPr>
        <w:t>Table 2: Expression Principles and Guidance</w:t>
      </w:r>
    </w:p>
    <w:p w14:paraId="6B992ABD" w14:textId="77777777" w:rsidR="007702B1" w:rsidRPr="007702B1" w:rsidRDefault="007702B1" w:rsidP="007702B1">
      <w:pPr>
        <w:widowControl w:val="0"/>
        <w:spacing w:after="0"/>
        <w:ind w:left="1440" w:hanging="360"/>
        <w:rPr>
          <w:szCs w:val="20"/>
        </w:rPr>
      </w:pPr>
      <w:r w:rsidRPr="007702B1">
        <w:rPr>
          <w:szCs w:val="20"/>
        </w:rPr>
        <w:fldChar w:fldCharType="end"/>
      </w:r>
      <w:r w:rsidRPr="007702B1">
        <w:rPr>
          <w:szCs w:val="20"/>
        </w:rPr>
        <w:t>1. Should be useful for consumers</w:t>
      </w:r>
    </w:p>
    <w:p w14:paraId="6E097E9B" w14:textId="77777777" w:rsidR="007702B1" w:rsidRPr="007702B1" w:rsidRDefault="007702B1" w:rsidP="007702B1">
      <w:pPr>
        <w:widowControl w:val="0"/>
        <w:spacing w:after="0"/>
        <w:ind w:left="1440" w:hanging="360"/>
        <w:rPr>
          <w:szCs w:val="20"/>
        </w:rPr>
      </w:pPr>
      <w:r w:rsidRPr="007702B1">
        <w:rPr>
          <w:szCs w:val="20"/>
        </w:rPr>
        <w:t>2. Must be accurate and verifiable</w:t>
      </w:r>
    </w:p>
    <w:p w14:paraId="7D4AFA83" w14:textId="77777777" w:rsidR="007702B1" w:rsidRPr="007702B1" w:rsidRDefault="007702B1" w:rsidP="007702B1">
      <w:pPr>
        <w:widowControl w:val="0"/>
        <w:spacing w:after="0"/>
        <w:ind w:left="1440" w:hanging="360"/>
        <w:rPr>
          <w:szCs w:val="20"/>
        </w:rPr>
      </w:pPr>
      <w:r w:rsidRPr="007702B1">
        <w:rPr>
          <w:szCs w:val="20"/>
        </w:rPr>
        <w:t>3. Must be clear and unambiguous</w:t>
      </w:r>
    </w:p>
    <w:p w14:paraId="40797DAF" w14:textId="77777777" w:rsidR="007702B1" w:rsidRPr="007702B1" w:rsidRDefault="007702B1" w:rsidP="007702B1">
      <w:pPr>
        <w:widowControl w:val="0"/>
        <w:spacing w:after="0"/>
        <w:ind w:left="1440" w:hanging="360"/>
        <w:rPr>
          <w:szCs w:val="20"/>
        </w:rPr>
      </w:pPr>
      <w:r w:rsidRPr="007702B1">
        <w:rPr>
          <w:szCs w:val="20"/>
        </w:rPr>
        <w:t xml:space="preserve">4. Must not conflict with mandatory Declaration of </w:t>
      </w:r>
    </w:p>
    <w:p w14:paraId="0FD7736D" w14:textId="77777777" w:rsidR="007702B1" w:rsidRPr="007702B1" w:rsidRDefault="007702B1" w:rsidP="007702B1">
      <w:pPr>
        <w:widowControl w:val="0"/>
        <w:spacing w:after="0"/>
        <w:ind w:left="1080"/>
        <w:rPr>
          <w:szCs w:val="20"/>
        </w:rPr>
      </w:pPr>
      <w:r w:rsidRPr="007702B1">
        <w:rPr>
          <w:szCs w:val="20"/>
        </w:rPr>
        <w:t xml:space="preserve">      Net Quantity (</w:t>
      </w:r>
      <w:proofErr w:type="spellStart"/>
      <w:r w:rsidRPr="007702B1">
        <w:rPr>
          <w:szCs w:val="20"/>
        </w:rPr>
        <w:t>DoNQ</w:t>
      </w:r>
      <w:proofErr w:type="spellEnd"/>
      <w:r w:rsidRPr="007702B1">
        <w:rPr>
          <w:szCs w:val="20"/>
        </w:rPr>
        <w:t>)</w:t>
      </w:r>
    </w:p>
    <w:p w14:paraId="5773CFB3" w14:textId="77777777" w:rsidR="007702B1" w:rsidRPr="007702B1" w:rsidRDefault="007702B1" w:rsidP="007702B1">
      <w:pPr>
        <w:widowControl w:val="0"/>
        <w:spacing w:after="0"/>
        <w:ind w:left="1440" w:hanging="360"/>
        <w:rPr>
          <w:szCs w:val="20"/>
        </w:rPr>
      </w:pPr>
      <w:r w:rsidRPr="007702B1">
        <w:rPr>
          <w:szCs w:val="20"/>
        </w:rPr>
        <w:t xml:space="preserve">5. Location and prominence must be balanced against </w:t>
      </w:r>
    </w:p>
    <w:p w14:paraId="10F3DB39" w14:textId="77777777" w:rsidR="007702B1" w:rsidRPr="007702B1" w:rsidRDefault="007702B1" w:rsidP="007702B1">
      <w:pPr>
        <w:widowControl w:val="0"/>
        <w:spacing w:after="0"/>
        <w:ind w:left="1080"/>
        <w:rPr>
          <w:szCs w:val="20"/>
        </w:rPr>
      </w:pPr>
      <w:r w:rsidRPr="007702B1">
        <w:rPr>
          <w:szCs w:val="20"/>
        </w:rPr>
        <w:t xml:space="preserve">      Declaration of Net Quantity</w:t>
      </w:r>
    </w:p>
    <w:p w14:paraId="762DE156" w14:textId="77777777" w:rsidR="007702B1" w:rsidRPr="007702B1" w:rsidRDefault="007702B1" w:rsidP="007702B1">
      <w:pPr>
        <w:widowControl w:val="0"/>
        <w:spacing w:after="0"/>
        <w:ind w:left="1440" w:hanging="360"/>
        <w:rPr>
          <w:szCs w:val="20"/>
        </w:rPr>
      </w:pPr>
      <w:r w:rsidRPr="007702B1">
        <w:rPr>
          <w:szCs w:val="20"/>
        </w:rPr>
        <w:t xml:space="preserve">6. Should </w:t>
      </w:r>
      <w:proofErr w:type="gramStart"/>
      <w:r w:rsidRPr="007702B1">
        <w:rPr>
          <w:szCs w:val="20"/>
        </w:rPr>
        <w:t>provide</w:t>
      </w:r>
      <w:proofErr w:type="gramEnd"/>
      <w:r w:rsidRPr="007702B1">
        <w:rPr>
          <w:szCs w:val="20"/>
        </w:rPr>
        <w:t xml:space="preserve"> </w:t>
      </w:r>
      <w:proofErr w:type="gramStart"/>
      <w:r w:rsidRPr="007702B1">
        <w:rPr>
          <w:szCs w:val="20"/>
        </w:rPr>
        <w:t>consumer</w:t>
      </w:r>
      <w:proofErr w:type="gramEnd"/>
      <w:r w:rsidRPr="007702B1">
        <w:rPr>
          <w:szCs w:val="20"/>
        </w:rPr>
        <w:t xml:space="preserve"> relevant information</w:t>
      </w:r>
    </w:p>
    <w:p w14:paraId="592A92F5" w14:textId="77777777" w:rsidR="007702B1" w:rsidRPr="007702B1" w:rsidRDefault="007702B1" w:rsidP="007702B1">
      <w:pPr>
        <w:widowControl w:val="0"/>
        <w:spacing w:after="0"/>
        <w:ind w:left="1440" w:hanging="360"/>
        <w:rPr>
          <w:szCs w:val="20"/>
        </w:rPr>
      </w:pPr>
      <w:r w:rsidRPr="007702B1">
        <w:rPr>
          <w:szCs w:val="20"/>
        </w:rPr>
        <w:t>7. Should not conflict with units of Legal Metrology</w:t>
      </w:r>
    </w:p>
    <w:p w14:paraId="51549E70" w14:textId="77777777" w:rsidR="007702B1" w:rsidRPr="007702B1" w:rsidRDefault="007702B1" w:rsidP="007702B1">
      <w:pPr>
        <w:widowControl w:val="0"/>
        <w:spacing w:after="0"/>
        <w:ind w:left="1440" w:hanging="360"/>
        <w:rPr>
          <w:szCs w:val="20"/>
        </w:rPr>
      </w:pPr>
      <w:r w:rsidRPr="007702B1">
        <w:rPr>
          <w:szCs w:val="20"/>
        </w:rPr>
        <w:t>8. Must provide directions for how to reconstitute</w:t>
      </w:r>
    </w:p>
    <w:p w14:paraId="364F1BEF" w14:textId="77777777" w:rsidR="007702B1" w:rsidRPr="007702B1" w:rsidRDefault="007702B1" w:rsidP="007702B1">
      <w:pPr>
        <w:widowControl w:val="0"/>
        <w:spacing w:after="0"/>
        <w:ind w:left="1440" w:hanging="360"/>
        <w:rPr>
          <w:szCs w:val="20"/>
        </w:rPr>
      </w:pPr>
      <w:r w:rsidRPr="007702B1">
        <w:rPr>
          <w:szCs w:val="20"/>
        </w:rPr>
        <w:t>9. Must provide definition of derived unit</w:t>
      </w:r>
    </w:p>
    <w:p w14:paraId="13EF7339" w14:textId="77777777" w:rsidR="007702B1" w:rsidRPr="007702B1" w:rsidRDefault="007702B1" w:rsidP="007702B1">
      <w:pPr>
        <w:widowControl w:val="0"/>
        <w:spacing w:after="0"/>
        <w:ind w:left="1440" w:hanging="360"/>
        <w:rPr>
          <w:szCs w:val="20"/>
        </w:rPr>
      </w:pPr>
      <w:r w:rsidRPr="007702B1">
        <w:rPr>
          <w:szCs w:val="20"/>
        </w:rPr>
        <w:t>10. Derived unit must be consistent across similar products</w:t>
      </w:r>
    </w:p>
    <w:p w14:paraId="64240B8D" w14:textId="77777777" w:rsidR="007702B1" w:rsidRPr="007702B1" w:rsidRDefault="007702B1" w:rsidP="007702B1">
      <w:pPr>
        <w:widowControl w:val="0"/>
        <w:spacing w:after="0"/>
        <w:ind w:left="1440" w:hanging="360"/>
        <w:rPr>
          <w:szCs w:val="20"/>
        </w:rPr>
      </w:pPr>
      <w:r w:rsidRPr="007702B1">
        <w:rPr>
          <w:szCs w:val="20"/>
        </w:rPr>
        <w:t>11. Comparative expression must appear in its entirety in upper 70% of Principal Display Panel (PDP)</w:t>
      </w:r>
    </w:p>
    <w:p w14:paraId="55DC02C1" w14:textId="77777777" w:rsidR="007702B1" w:rsidRPr="007702B1" w:rsidRDefault="007702B1" w:rsidP="007702B1">
      <w:pPr>
        <w:widowControl w:val="0"/>
        <w:spacing w:after="120"/>
        <w:ind w:left="1440" w:hanging="360"/>
        <w:rPr>
          <w:szCs w:val="20"/>
        </w:rPr>
      </w:pPr>
      <w:r w:rsidRPr="007702B1">
        <w:rPr>
          <w:szCs w:val="20"/>
        </w:rPr>
        <w:t xml:space="preserve">12. If </w:t>
      </w:r>
      <w:proofErr w:type="gramStart"/>
      <w:r w:rsidRPr="007702B1">
        <w:rPr>
          <w:szCs w:val="20"/>
        </w:rPr>
        <w:t>no</w:t>
      </w:r>
      <w:proofErr w:type="gramEnd"/>
      <w:r w:rsidRPr="007702B1">
        <w:rPr>
          <w:szCs w:val="20"/>
        </w:rPr>
        <w:t xml:space="preserve"> reference to recognized units of Legal Metrology, must be balanced and complete</w:t>
      </w:r>
    </w:p>
    <w:p w14:paraId="74627A7B" w14:textId="74D6E215" w:rsidR="007702B1" w:rsidRPr="007702B1" w:rsidRDefault="007702B1" w:rsidP="007702B1">
      <w:pPr>
        <w:widowControl w:val="0"/>
        <w:spacing w:after="120"/>
        <w:rPr>
          <w:rStyle w:val="Hyperlink"/>
          <w:b/>
          <w:bCs/>
          <w:noProof w:val="0"/>
          <w:sz w:val="22"/>
        </w:rPr>
      </w:pPr>
      <w:r>
        <w:rPr>
          <w:b/>
          <w:bCs/>
          <w:noProof/>
          <w:sz w:val="22"/>
        </w:rPr>
        <w:fldChar w:fldCharType="begin"/>
      </w:r>
      <w:r>
        <w:rPr>
          <w:b/>
          <w:bCs/>
          <w:noProof/>
          <w:sz w:val="22"/>
        </w:rPr>
        <w:instrText>HYPERLINK  \l "Enforcement"</w:instrText>
      </w:r>
      <w:r>
        <w:rPr>
          <w:b/>
          <w:bCs/>
          <w:noProof/>
          <w:sz w:val="22"/>
        </w:rPr>
      </w:r>
      <w:r>
        <w:rPr>
          <w:b/>
          <w:bCs/>
          <w:noProof/>
          <w:sz w:val="22"/>
        </w:rPr>
        <w:fldChar w:fldCharType="separate"/>
      </w:r>
      <w:r w:rsidRPr="007702B1">
        <w:rPr>
          <w:rStyle w:val="Hyperlink"/>
          <w:b/>
          <w:bCs/>
          <w:sz w:val="22"/>
        </w:rPr>
        <w:t>Enforcement</w:t>
      </w:r>
    </w:p>
    <w:p w14:paraId="0101AEC2" w14:textId="585855BA" w:rsidR="007702B1" w:rsidRPr="007702B1" w:rsidRDefault="007702B1" w:rsidP="007702B1">
      <w:pPr>
        <w:widowControl w:val="0"/>
        <w:spacing w:after="120"/>
        <w:rPr>
          <w:rFonts w:ascii="Calibri" w:hAnsi="Calibri" w:cs="Calibri"/>
          <w:b/>
          <w:bCs/>
          <w:sz w:val="22"/>
        </w:rPr>
      </w:pPr>
      <w:r>
        <w:rPr>
          <w:b/>
          <w:bCs/>
          <w:noProof/>
          <w:sz w:val="22"/>
        </w:rPr>
        <w:fldChar w:fldCharType="end"/>
      </w:r>
      <w:hyperlink w:anchor="Appendix_1" w:history="1">
        <w:r w:rsidRPr="007702B1">
          <w:rPr>
            <w:rStyle w:val="Hyperlink"/>
            <w:b/>
            <w:bCs/>
            <w:sz w:val="22"/>
          </w:rPr>
          <w:t>Appendix 1: Supplemental Statements</w:t>
        </w:r>
      </w:hyperlink>
    </w:p>
    <w:p w14:paraId="3899F582" w14:textId="77777777" w:rsidR="007702B1" w:rsidRPr="007702B1" w:rsidRDefault="007702B1" w:rsidP="007702B1">
      <w:pPr>
        <w:widowControl w:val="0"/>
        <w:spacing w:after="120"/>
        <w:rPr>
          <w:b/>
          <w:bCs/>
          <w:sz w:val="22"/>
        </w:rPr>
      </w:pPr>
      <w:hyperlink w:anchor="Appendix2" w:history="1">
        <w:r w:rsidRPr="007702B1">
          <w:rPr>
            <w:rStyle w:val="Hyperlink"/>
            <w:b/>
            <w:bCs/>
            <w:color w:val="auto"/>
            <w:sz w:val="22"/>
          </w:rPr>
          <w:t>Appendix 2: Illustrations and Discussion of Voluntarily Added Expressions</w:t>
        </w:r>
      </w:hyperlink>
    </w:p>
    <w:p w14:paraId="018F7099" w14:textId="492839E5" w:rsidR="007702B1" w:rsidRPr="007702B1" w:rsidRDefault="007702B1" w:rsidP="007702B1">
      <w:pPr>
        <w:widowControl w:val="0"/>
        <w:spacing w:after="120"/>
        <w:rPr>
          <w:rStyle w:val="Hyperlink"/>
          <w:rFonts w:ascii="Calibri" w:hAnsi="Calibri" w:cs="Calibri"/>
          <w:b/>
          <w:bCs/>
          <w:noProof w:val="0"/>
          <w:sz w:val="22"/>
        </w:rPr>
      </w:pPr>
      <w:r>
        <w:rPr>
          <w:b/>
          <w:bCs/>
          <w:noProof/>
          <w:sz w:val="22"/>
        </w:rPr>
        <w:fldChar w:fldCharType="begin"/>
      </w:r>
      <w:r>
        <w:rPr>
          <w:b/>
          <w:bCs/>
          <w:noProof/>
          <w:sz w:val="22"/>
        </w:rPr>
        <w:instrText>HYPERLINK  \l "Resources"</w:instrText>
      </w:r>
      <w:r>
        <w:rPr>
          <w:b/>
          <w:bCs/>
          <w:noProof/>
          <w:sz w:val="22"/>
        </w:rPr>
      </w:r>
      <w:r>
        <w:rPr>
          <w:b/>
          <w:bCs/>
          <w:noProof/>
          <w:sz w:val="22"/>
        </w:rPr>
        <w:fldChar w:fldCharType="separate"/>
      </w:r>
      <w:r w:rsidRPr="007702B1">
        <w:rPr>
          <w:rStyle w:val="Hyperlink"/>
          <w:b/>
          <w:bCs/>
          <w:sz w:val="22"/>
        </w:rPr>
        <w:t>Resources</w:t>
      </w:r>
      <w:bookmarkStart w:id="885" w:name="Introduction"/>
      <w:bookmarkEnd w:id="885"/>
    </w:p>
    <w:p w14:paraId="1632BD73" w14:textId="0F4F4D57" w:rsidR="000C465B" w:rsidRPr="000C465B" w:rsidRDefault="007702B1" w:rsidP="00F42F14">
      <w:pPr>
        <w:spacing w:after="0" w:line="276" w:lineRule="auto"/>
        <w:jc w:val="center"/>
        <w:rPr>
          <w:b/>
          <w:sz w:val="36"/>
          <w:szCs w:val="36"/>
        </w:rPr>
      </w:pPr>
      <w:r>
        <w:rPr>
          <w:b/>
          <w:bCs/>
          <w:noProof/>
          <w:sz w:val="22"/>
        </w:rPr>
        <w:lastRenderedPageBreak/>
        <w:fldChar w:fldCharType="end"/>
      </w:r>
      <w:r w:rsidR="000C465B" w:rsidRPr="000C465B">
        <w:rPr>
          <w:b/>
          <w:sz w:val="36"/>
          <w:szCs w:val="36"/>
        </w:rPr>
        <w:t>Introduction</w:t>
      </w:r>
    </w:p>
    <w:p w14:paraId="339A922F" w14:textId="77777777" w:rsidR="000C465B" w:rsidRPr="000C465B" w:rsidRDefault="000C465B" w:rsidP="000C465B">
      <w:pPr>
        <w:spacing w:after="200" w:line="276" w:lineRule="auto"/>
        <w:rPr>
          <w:szCs w:val="20"/>
        </w:rPr>
      </w:pPr>
      <w:proofErr w:type="gramStart"/>
      <w:r w:rsidRPr="000C465B">
        <w:rPr>
          <w:szCs w:val="20"/>
        </w:rPr>
        <w:t>A number of</w:t>
      </w:r>
      <w:proofErr w:type="gramEnd"/>
      <w:r w:rsidRPr="000C465B">
        <w:rPr>
          <w:szCs w:val="20"/>
        </w:rPr>
        <w:t xml:space="preserve"> product package Principal Display Panel (PDP) labels provide additional information regarding product quantity or product performance beyond the information provided in the required Declaration of Net Quantity (</w:t>
      </w:r>
      <w:proofErr w:type="spellStart"/>
      <w:r w:rsidRPr="000C465B">
        <w:rPr>
          <w:szCs w:val="20"/>
        </w:rPr>
        <w:t>DoNQ</w:t>
      </w:r>
      <w:proofErr w:type="spellEnd"/>
      <w:r w:rsidRPr="000C465B">
        <w:rPr>
          <w:szCs w:val="20"/>
        </w:rPr>
        <w:t xml:space="preserve">).   In some instances, providing additional information that is not present in the </w:t>
      </w:r>
      <w:proofErr w:type="spellStart"/>
      <w:r w:rsidRPr="000C465B">
        <w:rPr>
          <w:szCs w:val="20"/>
        </w:rPr>
        <w:t>DoNQ</w:t>
      </w:r>
      <w:proofErr w:type="spellEnd"/>
      <w:r w:rsidRPr="000C465B">
        <w:rPr>
          <w:szCs w:val="20"/>
        </w:rPr>
        <w:t xml:space="preserve"> can help consumers make more informed product selections. In other instances, providing additional information can help consumers more easily identify the product size they seek. </w:t>
      </w:r>
      <w:proofErr w:type="gramStart"/>
      <w:r w:rsidRPr="000C465B">
        <w:rPr>
          <w:szCs w:val="20"/>
        </w:rPr>
        <w:t>In still</w:t>
      </w:r>
      <w:proofErr w:type="gramEnd"/>
      <w:r w:rsidRPr="000C465B">
        <w:rPr>
          <w:szCs w:val="20"/>
        </w:rPr>
        <w:t xml:space="preserve"> other instances, providing additional information can help educate consumers about a new product form or concentration. In short, there are </w:t>
      </w:r>
      <w:proofErr w:type="gramStart"/>
      <w:r w:rsidRPr="000C465B">
        <w:rPr>
          <w:szCs w:val="20"/>
        </w:rPr>
        <w:t>a number of</w:t>
      </w:r>
      <w:proofErr w:type="gramEnd"/>
      <w:r w:rsidRPr="000C465B">
        <w:rPr>
          <w:szCs w:val="20"/>
        </w:rPr>
        <w:t xml:space="preserve"> appropriate reasons why a product manufacturer may feel compelled to provide additional information for consumers </w:t>
      </w:r>
      <w:proofErr w:type="gramStart"/>
      <w:r w:rsidRPr="000C465B">
        <w:rPr>
          <w:szCs w:val="20"/>
        </w:rPr>
        <w:t>and also</w:t>
      </w:r>
      <w:proofErr w:type="gramEnd"/>
      <w:r w:rsidRPr="000C465B">
        <w:rPr>
          <w:szCs w:val="20"/>
        </w:rPr>
        <w:t xml:space="preserve"> why consumers would want and use this information to make better and more informed product purchase decisions.  </w:t>
      </w:r>
    </w:p>
    <w:p w14:paraId="4BE6F1C3" w14:textId="77777777" w:rsidR="000C465B" w:rsidRPr="000C465B" w:rsidRDefault="000C465B" w:rsidP="000C465B">
      <w:pPr>
        <w:spacing w:after="200" w:line="276" w:lineRule="auto"/>
        <w:rPr>
          <w:szCs w:val="20"/>
        </w:rPr>
      </w:pPr>
      <w:r w:rsidRPr="000C465B">
        <w:rPr>
          <w:szCs w:val="20"/>
        </w:rPr>
        <w:t xml:space="preserve">While federal and state laws and regulations provide substantial detail regarding the accuracy, location, and appearance of the information appearing in the required Declaration of Net Quantity, provisions for the accuracy, location, and appearance of other quantity-related expressions which manufacturers may add to the PDP relate to general requirements pertaining to product claim content truthful and non-misleading statements. Yet there is little information available to guide manufacturers in the presentation of added quantity-related expressions and information. While </w:t>
      </w:r>
      <w:proofErr w:type="gramStart"/>
      <w:r w:rsidRPr="000C465B">
        <w:rPr>
          <w:szCs w:val="20"/>
        </w:rPr>
        <w:t>the majority of</w:t>
      </w:r>
      <w:proofErr w:type="gramEnd"/>
      <w:r w:rsidRPr="000C465B">
        <w:rPr>
          <w:szCs w:val="20"/>
        </w:rPr>
        <w:t xml:space="preserve"> product PDPs that provide </w:t>
      </w:r>
      <w:proofErr w:type="gramStart"/>
      <w:r w:rsidRPr="000C465B">
        <w:rPr>
          <w:szCs w:val="20"/>
        </w:rPr>
        <w:t>consumers</w:t>
      </w:r>
      <w:proofErr w:type="gramEnd"/>
      <w:r w:rsidRPr="000C465B">
        <w:rPr>
          <w:szCs w:val="20"/>
        </w:rPr>
        <w:t xml:space="preserve"> additional information </w:t>
      </w:r>
      <w:proofErr w:type="gramStart"/>
      <w:r w:rsidRPr="000C465B">
        <w:rPr>
          <w:szCs w:val="20"/>
        </w:rPr>
        <w:t>do</w:t>
      </w:r>
      <w:proofErr w:type="gramEnd"/>
      <w:r w:rsidRPr="000C465B">
        <w:rPr>
          <w:szCs w:val="20"/>
        </w:rPr>
        <w:t xml:space="preserve"> this effectively in a manner that aids consumers, package PDP labels that have caused concerns amongst regulators and consumers have been identified periodically.  In several previous instances, certain product PDP labels have been submitted to the NCWM for possible development of regulations targeting a specific practice viewed to be of concern. To date, the consensus of the NCWM has been that the development of this best practice document for manufacturers is a better and more holistic solution as opposed to narrowly targeted regulation. It is believed that best practice information will be valuable to manufacturers at the time they are contemplating package label design, it will assist regulators by providing a source they can direct questions and concerns, and the result will be providing consumers with the best information possible at the time they make value comparisons and product selections.  </w:t>
      </w:r>
    </w:p>
    <w:p w14:paraId="75D593C3" w14:textId="77777777" w:rsidR="000C465B" w:rsidRPr="000C465B" w:rsidRDefault="000C465B" w:rsidP="000C465B">
      <w:pPr>
        <w:spacing w:after="200" w:line="276" w:lineRule="auto"/>
        <w:rPr>
          <w:szCs w:val="20"/>
        </w:rPr>
      </w:pPr>
      <w:r w:rsidRPr="000C465B">
        <w:rPr>
          <w:szCs w:val="20"/>
        </w:rPr>
        <w:t xml:space="preserve">The recommendations contained herein are intended to provide guidance to manufacturers contemplating the inclusion of additional expressions on their packages to ensure the expressions are clear, accurate, balanced, and non-misleading. These recommendations are also intended to help regulators responsible for package labeling requirements create more consistency in the marketplace.    </w:t>
      </w:r>
    </w:p>
    <w:p w14:paraId="1D929C73" w14:textId="77777777" w:rsidR="000C465B" w:rsidRPr="000C465B" w:rsidRDefault="000C465B" w:rsidP="00F42F14">
      <w:pPr>
        <w:spacing w:after="120" w:line="276" w:lineRule="auto"/>
        <w:jc w:val="left"/>
        <w:rPr>
          <w:b/>
          <w:sz w:val="24"/>
          <w:szCs w:val="24"/>
        </w:rPr>
      </w:pPr>
      <w:r w:rsidRPr="000C465B">
        <w:rPr>
          <w:b/>
          <w:sz w:val="24"/>
          <w:szCs w:val="24"/>
        </w:rPr>
        <w:t xml:space="preserve">Organization of Document </w:t>
      </w:r>
    </w:p>
    <w:p w14:paraId="1C889DF4" w14:textId="77777777" w:rsidR="000C465B" w:rsidRPr="000C465B" w:rsidRDefault="000C465B" w:rsidP="000C465B">
      <w:pPr>
        <w:spacing w:after="200" w:line="276" w:lineRule="auto"/>
        <w:jc w:val="left"/>
        <w:rPr>
          <w:szCs w:val="20"/>
        </w:rPr>
      </w:pPr>
      <w:r w:rsidRPr="000C465B">
        <w:rPr>
          <w:szCs w:val="20"/>
        </w:rPr>
        <w:t xml:space="preserve">This Best Practice document is organized into the following sections to help the user focus on a specific topic, although it is recommended that the document be viewed in its entirety first.  </w:t>
      </w:r>
    </w:p>
    <w:p w14:paraId="402059A1" w14:textId="77777777" w:rsidR="000C465B" w:rsidRPr="000C465B" w:rsidRDefault="000C465B" w:rsidP="007169B6">
      <w:pPr>
        <w:numPr>
          <w:ilvl w:val="0"/>
          <w:numId w:val="80"/>
        </w:numPr>
        <w:spacing w:after="0" w:line="276" w:lineRule="auto"/>
        <w:contextualSpacing/>
        <w:jc w:val="left"/>
        <w:rPr>
          <w:szCs w:val="20"/>
        </w:rPr>
      </w:pPr>
      <w:r w:rsidRPr="000C465B">
        <w:rPr>
          <w:szCs w:val="20"/>
        </w:rPr>
        <w:t>Discussion of Supplemental Statements</w:t>
      </w:r>
    </w:p>
    <w:p w14:paraId="341B53F9" w14:textId="77777777" w:rsidR="000C465B" w:rsidRPr="000C465B" w:rsidRDefault="000C465B" w:rsidP="007169B6">
      <w:pPr>
        <w:numPr>
          <w:ilvl w:val="0"/>
          <w:numId w:val="80"/>
        </w:numPr>
        <w:spacing w:after="0" w:line="276" w:lineRule="auto"/>
        <w:contextualSpacing/>
        <w:jc w:val="left"/>
        <w:rPr>
          <w:szCs w:val="20"/>
        </w:rPr>
      </w:pPr>
      <w:r w:rsidRPr="000C465B">
        <w:rPr>
          <w:szCs w:val="20"/>
        </w:rPr>
        <w:t>Background on Additional Expressions</w:t>
      </w:r>
    </w:p>
    <w:p w14:paraId="1771532C" w14:textId="77777777" w:rsidR="000C465B" w:rsidRPr="000C465B" w:rsidRDefault="000C465B" w:rsidP="007169B6">
      <w:pPr>
        <w:numPr>
          <w:ilvl w:val="0"/>
          <w:numId w:val="80"/>
        </w:numPr>
        <w:spacing w:after="0" w:line="276" w:lineRule="auto"/>
        <w:contextualSpacing/>
        <w:jc w:val="left"/>
        <w:rPr>
          <w:szCs w:val="20"/>
        </w:rPr>
      </w:pPr>
      <w:r w:rsidRPr="000C465B">
        <w:rPr>
          <w:szCs w:val="20"/>
        </w:rPr>
        <w:t>Categories of Expressions</w:t>
      </w:r>
    </w:p>
    <w:p w14:paraId="71907F0C" w14:textId="77777777" w:rsidR="000C465B" w:rsidRPr="000C465B" w:rsidRDefault="000C465B" w:rsidP="007169B6">
      <w:pPr>
        <w:numPr>
          <w:ilvl w:val="0"/>
          <w:numId w:val="80"/>
        </w:numPr>
        <w:spacing w:after="0" w:line="276" w:lineRule="auto"/>
        <w:contextualSpacing/>
        <w:jc w:val="left"/>
        <w:rPr>
          <w:szCs w:val="20"/>
        </w:rPr>
      </w:pPr>
      <w:r w:rsidRPr="000C465B">
        <w:rPr>
          <w:szCs w:val="20"/>
        </w:rPr>
        <w:t>Principles and Recommendations by Expression Categories</w:t>
      </w:r>
    </w:p>
    <w:p w14:paraId="4F66D4D0" w14:textId="77777777" w:rsidR="000C465B" w:rsidRPr="000C465B" w:rsidRDefault="000C465B" w:rsidP="007169B6">
      <w:pPr>
        <w:numPr>
          <w:ilvl w:val="0"/>
          <w:numId w:val="80"/>
        </w:numPr>
        <w:spacing w:after="0" w:line="276" w:lineRule="auto"/>
        <w:contextualSpacing/>
        <w:jc w:val="left"/>
        <w:rPr>
          <w:szCs w:val="20"/>
        </w:rPr>
      </w:pPr>
      <w:r w:rsidRPr="000C465B">
        <w:rPr>
          <w:szCs w:val="20"/>
        </w:rPr>
        <w:t xml:space="preserve">Enforcement Discussion </w:t>
      </w:r>
    </w:p>
    <w:p w14:paraId="36FF074E" w14:textId="77777777" w:rsidR="000C465B" w:rsidRPr="000C465B" w:rsidRDefault="000C465B" w:rsidP="007169B6">
      <w:pPr>
        <w:numPr>
          <w:ilvl w:val="0"/>
          <w:numId w:val="80"/>
        </w:numPr>
        <w:spacing w:after="0" w:line="276" w:lineRule="auto"/>
        <w:contextualSpacing/>
        <w:jc w:val="left"/>
        <w:rPr>
          <w:szCs w:val="20"/>
        </w:rPr>
      </w:pPr>
      <w:r w:rsidRPr="000C465B">
        <w:rPr>
          <w:szCs w:val="20"/>
        </w:rPr>
        <w:t>Supplemental Statement Requirements and Interpretations (Appendix 1)</w:t>
      </w:r>
    </w:p>
    <w:p w14:paraId="70C809B5" w14:textId="77777777" w:rsidR="000C465B" w:rsidRPr="000C465B" w:rsidRDefault="000C465B" w:rsidP="007169B6">
      <w:pPr>
        <w:numPr>
          <w:ilvl w:val="0"/>
          <w:numId w:val="80"/>
        </w:numPr>
        <w:spacing w:after="0" w:line="276" w:lineRule="auto"/>
        <w:contextualSpacing/>
        <w:jc w:val="left"/>
        <w:rPr>
          <w:szCs w:val="20"/>
        </w:rPr>
      </w:pPr>
      <w:r w:rsidRPr="000C465B">
        <w:rPr>
          <w:szCs w:val="20"/>
        </w:rPr>
        <w:t>Illustrations and Discussion of Voluntarily Added Expressions (Appendix 2)</w:t>
      </w:r>
    </w:p>
    <w:p w14:paraId="452964CE" w14:textId="77777777" w:rsidR="000C465B" w:rsidRPr="000C465B" w:rsidRDefault="000C465B" w:rsidP="000C465B">
      <w:pPr>
        <w:spacing w:after="200" w:line="276" w:lineRule="auto"/>
        <w:jc w:val="left"/>
        <w:rPr>
          <w:szCs w:val="20"/>
        </w:rPr>
      </w:pPr>
    </w:p>
    <w:p w14:paraId="600D1D02" w14:textId="77777777" w:rsidR="000C465B" w:rsidRPr="000C465B" w:rsidRDefault="000C465B" w:rsidP="000C465B">
      <w:pPr>
        <w:spacing w:after="200" w:line="276" w:lineRule="auto"/>
        <w:rPr>
          <w:sz w:val="22"/>
        </w:rPr>
      </w:pPr>
      <w:r w:rsidRPr="000C465B">
        <w:rPr>
          <w:szCs w:val="20"/>
        </w:rPr>
        <w:t xml:space="preserve">The recommended procedure for using this document is to first identify the category (or categories) an expression fits within and then to review the detailed principles and recommendations that apply to that category (or categories).   </w:t>
      </w:r>
      <w:r w:rsidRPr="000C465B">
        <w:rPr>
          <w:sz w:val="22"/>
        </w:rPr>
        <w:t xml:space="preserve"> </w:t>
      </w:r>
    </w:p>
    <w:p w14:paraId="138031C6" w14:textId="77777777" w:rsidR="00810BDD" w:rsidRDefault="00810BDD" w:rsidP="000C465B">
      <w:pPr>
        <w:spacing w:after="200" w:line="276" w:lineRule="auto"/>
        <w:jc w:val="left"/>
        <w:rPr>
          <w:b/>
          <w:bCs/>
          <w:sz w:val="24"/>
          <w:szCs w:val="24"/>
        </w:rPr>
      </w:pPr>
    </w:p>
    <w:p w14:paraId="721EBE53" w14:textId="22B4F74E" w:rsidR="000C465B" w:rsidRPr="000C465B" w:rsidRDefault="000C465B" w:rsidP="000C465B">
      <w:pPr>
        <w:spacing w:after="200" w:line="276" w:lineRule="auto"/>
        <w:jc w:val="left"/>
        <w:rPr>
          <w:b/>
          <w:bCs/>
          <w:sz w:val="24"/>
          <w:szCs w:val="24"/>
        </w:rPr>
      </w:pPr>
      <w:r w:rsidRPr="000C465B">
        <w:rPr>
          <w:b/>
          <w:bCs/>
          <w:sz w:val="24"/>
          <w:szCs w:val="24"/>
        </w:rPr>
        <w:lastRenderedPageBreak/>
        <w:t>Discussion of Supplemental Statements</w:t>
      </w:r>
    </w:p>
    <w:p w14:paraId="207865DF" w14:textId="77777777" w:rsidR="000C465B" w:rsidRPr="000C465B" w:rsidRDefault="000C465B" w:rsidP="000C465B">
      <w:pPr>
        <w:spacing w:after="200" w:line="276" w:lineRule="auto"/>
        <w:rPr>
          <w:szCs w:val="20"/>
        </w:rPr>
      </w:pPr>
      <w:r w:rsidRPr="000C465B">
        <w:rPr>
          <w:szCs w:val="20"/>
        </w:rPr>
        <w:t>A common question is whether statements of the type described in this Best Practice Document would be considered “supplemental statements” and, therefore, not lawfully allowed on the Principal Display Panel (PDP).  This question stems from a Fair Packaging and Labeling Act (FPLA) provision that allows supplemental statements that describe the net quantity in nondeceptive terms, provided they appear “at other places on the package” than the net quantity of contents statement and existing regulations that state supplemental statements should not appear on the PDP.</w:t>
      </w:r>
    </w:p>
    <w:p w14:paraId="45E8EF42" w14:textId="77777777" w:rsidR="000C465B" w:rsidRPr="000C465B" w:rsidRDefault="000C465B" w:rsidP="000C465B">
      <w:pPr>
        <w:spacing w:after="200" w:line="276" w:lineRule="auto"/>
        <w:rPr>
          <w:szCs w:val="20"/>
        </w:rPr>
      </w:pPr>
      <w:r w:rsidRPr="000C465B">
        <w:rPr>
          <w:szCs w:val="20"/>
        </w:rPr>
        <w:t xml:space="preserve">A close review of regulatory precedent reveals surprisingly few statements that have been considered "supplemental" by regulators over the past fifty years.  Only one example of formal agency guidance identifying a specific statement as supplemental was located – an FDA determination that a weight declaration is supplemental on a product for which the net contents must be declared in fluid ounces. (FDA Fair Packaging and Labeling Manual Guide 7563.15 – historical – no longer published.)  In contrast, numerous statements have been expressly determined to be not supplemental, including directions for use, reconstitution statements (e.g., Makes 1 quart), voluntary declarations of drained weight combined with total package weight including packing liquids, voluntary declarations of count, and metric labeling (prior to metric labeling being mandatory).  Numerous other statements have existed in the marketplace for years without challenge.  Finally, in an era where consumers increasingly demand more information about the products they purchase and use, regulatory agencies are recognizing that providing accurate information in clear and non-misleading ways would appear to be beneficial to consumers.  Additional </w:t>
      </w:r>
      <w:proofErr w:type="gramStart"/>
      <w:r w:rsidRPr="000C465B">
        <w:rPr>
          <w:szCs w:val="20"/>
        </w:rPr>
        <w:t>detail</w:t>
      </w:r>
      <w:proofErr w:type="gramEnd"/>
      <w:r w:rsidRPr="000C465B">
        <w:rPr>
          <w:szCs w:val="20"/>
        </w:rPr>
        <w:t xml:space="preserve"> regarding the history of supplemental statements is in Appendix 1.</w:t>
      </w:r>
    </w:p>
    <w:p w14:paraId="142F8940" w14:textId="77777777" w:rsidR="000C465B" w:rsidRPr="000C465B" w:rsidRDefault="000C465B" w:rsidP="000C465B">
      <w:pPr>
        <w:spacing w:after="200" w:line="276" w:lineRule="auto"/>
        <w:rPr>
          <w:szCs w:val="20"/>
        </w:rPr>
      </w:pPr>
      <w:proofErr w:type="gramStart"/>
      <w:r w:rsidRPr="000C465B">
        <w:rPr>
          <w:szCs w:val="20"/>
        </w:rPr>
        <w:t>In light of</w:t>
      </w:r>
      <w:proofErr w:type="gramEnd"/>
      <w:r w:rsidRPr="000C465B">
        <w:rPr>
          <w:szCs w:val="20"/>
        </w:rPr>
        <w:t xml:space="preserve"> the regulatory history, the statements in this Best Practice Document are not considered to be prohibited from appearing on the PDP.  Every manufacturer, however, must make independent judgments and be prepared to explain why individual statements are permissible.  Similarly, regulators may question specific package PDP statements that they believe are misleading or cause consumer confusion.  </w:t>
      </w:r>
    </w:p>
    <w:p w14:paraId="7EB120A8" w14:textId="77777777" w:rsidR="000C465B" w:rsidRPr="000C465B" w:rsidRDefault="000C465B" w:rsidP="000C465B">
      <w:pPr>
        <w:spacing w:after="200" w:line="276" w:lineRule="auto"/>
        <w:jc w:val="left"/>
        <w:rPr>
          <w:rFonts w:ascii="Calibri" w:hAnsi="Calibri"/>
          <w:b/>
          <w:sz w:val="40"/>
          <w:szCs w:val="40"/>
        </w:rPr>
      </w:pPr>
    </w:p>
    <w:p w14:paraId="6C3EC703" w14:textId="77777777" w:rsidR="000C465B" w:rsidRPr="000C465B" w:rsidRDefault="000C465B" w:rsidP="000C465B">
      <w:pPr>
        <w:spacing w:after="200" w:line="276" w:lineRule="auto"/>
        <w:jc w:val="left"/>
        <w:rPr>
          <w:rFonts w:ascii="Calibri" w:hAnsi="Calibri"/>
          <w:b/>
          <w:sz w:val="40"/>
          <w:szCs w:val="40"/>
        </w:rPr>
      </w:pPr>
    </w:p>
    <w:p w14:paraId="3F65B334" w14:textId="77777777" w:rsidR="000C465B" w:rsidRPr="000C465B" w:rsidRDefault="000C465B" w:rsidP="000C465B">
      <w:pPr>
        <w:spacing w:after="200" w:line="276" w:lineRule="auto"/>
        <w:jc w:val="left"/>
        <w:rPr>
          <w:rFonts w:ascii="Calibri" w:hAnsi="Calibri"/>
          <w:b/>
          <w:sz w:val="40"/>
          <w:szCs w:val="40"/>
        </w:rPr>
      </w:pPr>
    </w:p>
    <w:p w14:paraId="3B98A822" w14:textId="77777777" w:rsidR="000C465B" w:rsidRPr="000C465B" w:rsidRDefault="000C465B" w:rsidP="000C465B">
      <w:pPr>
        <w:spacing w:after="200" w:line="276" w:lineRule="auto"/>
        <w:jc w:val="left"/>
        <w:rPr>
          <w:rFonts w:ascii="Calibri" w:hAnsi="Calibri"/>
          <w:b/>
          <w:sz w:val="40"/>
          <w:szCs w:val="40"/>
        </w:rPr>
      </w:pPr>
    </w:p>
    <w:p w14:paraId="7724A484" w14:textId="77777777" w:rsidR="000C465B" w:rsidRPr="000C465B" w:rsidRDefault="000C465B" w:rsidP="00F42F14">
      <w:pPr>
        <w:pageBreakBefore/>
        <w:spacing w:after="120" w:line="276" w:lineRule="auto"/>
        <w:jc w:val="center"/>
        <w:rPr>
          <w:b/>
          <w:sz w:val="36"/>
          <w:szCs w:val="36"/>
        </w:rPr>
      </w:pPr>
      <w:bookmarkStart w:id="886" w:name="Background"/>
      <w:bookmarkEnd w:id="886"/>
      <w:r w:rsidRPr="000C465B">
        <w:rPr>
          <w:b/>
          <w:sz w:val="36"/>
          <w:szCs w:val="36"/>
        </w:rPr>
        <w:lastRenderedPageBreak/>
        <w:t>Background</w:t>
      </w:r>
    </w:p>
    <w:p w14:paraId="53C85DA7" w14:textId="77777777" w:rsidR="000C465B" w:rsidRPr="000C465B" w:rsidRDefault="000C465B" w:rsidP="000C465B">
      <w:pPr>
        <w:spacing w:after="200" w:line="276" w:lineRule="auto"/>
        <w:rPr>
          <w:szCs w:val="20"/>
        </w:rPr>
      </w:pPr>
      <w:r w:rsidRPr="000C465B">
        <w:rPr>
          <w:szCs w:val="20"/>
        </w:rPr>
        <w:t>Manufacturers are responsible for supporting all statements that appear on their labels, including voluntary expressions related to package quantity.  Federal and state laws and regulations require voluntary quantity-related claims to be truthful and substantiated and, correspondingly, prohibit false or misleading information.  For example, weights and measures laws commonly prohibit selling less than the represented quantity or representing the quantity in a manner that tends to mislead or deceive another person.</w:t>
      </w:r>
      <w:r w:rsidRPr="000C465B">
        <w:rPr>
          <w:szCs w:val="20"/>
          <w:vertAlign w:val="superscript"/>
        </w:rPr>
        <w:footnoteReference w:id="3"/>
      </w:r>
      <w:r w:rsidRPr="000C465B">
        <w:rPr>
          <w:szCs w:val="20"/>
        </w:rPr>
        <w:t xml:space="preserve">  Consumer protection laws prohibit unfair and deceptive trade practices, such as the failure to possess a reasonable basis (substantiation) for objective claims.</w:t>
      </w:r>
      <w:r w:rsidRPr="000C465B">
        <w:rPr>
          <w:szCs w:val="20"/>
          <w:vertAlign w:val="superscript"/>
        </w:rPr>
        <w:footnoteReference w:id="4"/>
      </w:r>
      <w:r w:rsidRPr="000C465B">
        <w:rPr>
          <w:szCs w:val="20"/>
        </w:rPr>
        <w:t xml:space="preserve">  </w:t>
      </w:r>
    </w:p>
    <w:p w14:paraId="48BDB9B1" w14:textId="77777777" w:rsidR="000C465B" w:rsidRPr="000C465B" w:rsidRDefault="000C465B" w:rsidP="000C465B">
      <w:pPr>
        <w:spacing w:after="200" w:line="276" w:lineRule="auto"/>
        <w:rPr>
          <w:szCs w:val="20"/>
        </w:rPr>
      </w:pPr>
      <w:r w:rsidRPr="000C465B">
        <w:rPr>
          <w:szCs w:val="20"/>
        </w:rPr>
        <w:t>Federal agencies, including the Federal Trade Commission (FTC), the Food and Drug Administration (FDA), State regulatory agencies, and the National Advertising Division of the Council of Better Business Bureaus, may implement laws, regulations, and standards relating to quantity-related information.</w:t>
      </w:r>
      <w:r w:rsidRPr="000C465B">
        <w:rPr>
          <w:szCs w:val="20"/>
          <w:vertAlign w:val="superscript"/>
        </w:rPr>
        <w:footnoteReference w:id="5"/>
      </w:r>
      <w:r w:rsidRPr="000C465B">
        <w:rPr>
          <w:szCs w:val="20"/>
        </w:rPr>
        <w:t xml:space="preserve">   This document is intended as a resource for both industry and regulators in evaluating voluntary quantity-related statements.  For example, industry may find the guidance useful in developing claims and product labeling, and regulators may refer companies to the guidance when questions arise about the usefulness, implementation, or legal status of claims under federal or state requirements.  </w:t>
      </w:r>
    </w:p>
    <w:p w14:paraId="318995F7" w14:textId="77777777" w:rsidR="000C465B" w:rsidRPr="000C465B" w:rsidRDefault="000C465B" w:rsidP="000C465B">
      <w:pPr>
        <w:spacing w:after="200" w:line="276" w:lineRule="auto"/>
        <w:rPr>
          <w:szCs w:val="20"/>
        </w:rPr>
      </w:pPr>
      <w:r w:rsidRPr="000C465B">
        <w:rPr>
          <w:szCs w:val="20"/>
        </w:rPr>
        <w:t>The purpose of this document is not to redefine or re-interpret existing provisions for the required Declaration of Net Quantity required by the U.S. Fair Packaging and Labeling Act (FPLA) and the regulations promulgated to implement FPLA.  This document also does not establish or address methods of sale.  Existing Declaration of Net Quantity</w:t>
      </w:r>
      <w:r w:rsidRPr="000C465B">
        <w:rPr>
          <w:rFonts w:ascii="Calibri" w:hAnsi="Calibri"/>
          <w:szCs w:val="20"/>
        </w:rPr>
        <w:t xml:space="preserve"> </w:t>
      </w:r>
      <w:r w:rsidRPr="000C465B">
        <w:rPr>
          <w:szCs w:val="20"/>
        </w:rPr>
        <w:t xml:space="preserve">requirements are the baseline for regulatory compliance, and every recommendation in this document presumes the package already has a compliant Declaration of Net Quantity.       </w:t>
      </w:r>
    </w:p>
    <w:p w14:paraId="064AF655" w14:textId="77777777" w:rsidR="000C465B" w:rsidRPr="000C465B" w:rsidRDefault="000C465B" w:rsidP="000C465B">
      <w:pPr>
        <w:spacing w:after="200" w:line="276" w:lineRule="auto"/>
        <w:rPr>
          <w:szCs w:val="20"/>
        </w:rPr>
      </w:pPr>
      <w:r w:rsidRPr="000C465B">
        <w:rPr>
          <w:szCs w:val="20"/>
        </w:rPr>
        <w:t xml:space="preserve">This recommended practice represents the current thinking of the National Council on Weights and Measures (NCWM).  As guidance, this document does not establish legally enforceable rights or responsibilities.  It does not legally bind either the public, federal or state regulators, and adherence to these </w:t>
      </w:r>
      <w:proofErr w:type="gramStart"/>
      <w:r w:rsidRPr="000C465B">
        <w:rPr>
          <w:szCs w:val="20"/>
        </w:rPr>
        <w:t>guidelines  do</w:t>
      </w:r>
      <w:proofErr w:type="gramEnd"/>
      <w:r w:rsidRPr="000C465B">
        <w:rPr>
          <w:szCs w:val="20"/>
        </w:rPr>
        <w:t xml:space="preserve"> not ensure legal compliance.  Additionally, companies may choose an approach other than the one set forth in this guidance document if it complies with the relevant statutes and regulations.  </w:t>
      </w:r>
    </w:p>
    <w:p w14:paraId="04D8C6F1" w14:textId="77777777" w:rsidR="000C465B" w:rsidRPr="000C465B" w:rsidRDefault="000C465B" w:rsidP="000C465B">
      <w:pPr>
        <w:spacing w:after="200" w:line="276" w:lineRule="auto"/>
        <w:jc w:val="left"/>
        <w:rPr>
          <w:rFonts w:ascii="Calibri" w:hAnsi="Calibri"/>
          <w:b/>
          <w:sz w:val="40"/>
          <w:szCs w:val="40"/>
        </w:rPr>
      </w:pPr>
    </w:p>
    <w:p w14:paraId="0B54B78A" w14:textId="77777777" w:rsidR="000C465B" w:rsidRPr="000C465B" w:rsidRDefault="000C465B" w:rsidP="000C465B">
      <w:pPr>
        <w:spacing w:after="200" w:line="276" w:lineRule="auto"/>
        <w:jc w:val="left"/>
        <w:rPr>
          <w:rFonts w:ascii="Calibri" w:hAnsi="Calibri"/>
          <w:b/>
          <w:sz w:val="40"/>
          <w:szCs w:val="40"/>
        </w:rPr>
      </w:pPr>
    </w:p>
    <w:p w14:paraId="6EEBF383" w14:textId="77777777" w:rsidR="000C465B" w:rsidRPr="000C465B" w:rsidRDefault="000C465B" w:rsidP="00F42F14">
      <w:pPr>
        <w:pageBreakBefore/>
        <w:spacing w:after="120" w:line="276" w:lineRule="auto"/>
        <w:jc w:val="center"/>
        <w:rPr>
          <w:b/>
          <w:sz w:val="36"/>
          <w:szCs w:val="36"/>
        </w:rPr>
      </w:pPr>
      <w:bookmarkStart w:id="887" w:name="Expression_Categories"/>
      <w:bookmarkEnd w:id="887"/>
      <w:r w:rsidRPr="000C465B">
        <w:rPr>
          <w:b/>
          <w:sz w:val="36"/>
          <w:szCs w:val="36"/>
        </w:rPr>
        <w:lastRenderedPageBreak/>
        <w:t>Expression Categories</w:t>
      </w:r>
    </w:p>
    <w:p w14:paraId="6CE9CFD7" w14:textId="77777777" w:rsidR="000C465B" w:rsidRPr="000C465B" w:rsidRDefault="000C465B" w:rsidP="000C465B">
      <w:pPr>
        <w:spacing w:after="200" w:line="276" w:lineRule="auto"/>
        <w:rPr>
          <w:szCs w:val="20"/>
        </w:rPr>
      </w:pPr>
      <w:r w:rsidRPr="000C465B">
        <w:rPr>
          <w:szCs w:val="20"/>
        </w:rPr>
        <w:t>In developing this best practice document, the National Council on Weights and Measures evaluated products in the marketplace to better understand the different kinds of expressions currently appearing on the Principal Display Panel (PDP) in addition to the Declaration of Net Quantity (</w:t>
      </w:r>
      <w:proofErr w:type="spellStart"/>
      <w:r w:rsidRPr="000C465B">
        <w:rPr>
          <w:szCs w:val="20"/>
        </w:rPr>
        <w:t>DoNQ</w:t>
      </w:r>
      <w:proofErr w:type="spellEnd"/>
      <w:r w:rsidRPr="000C465B">
        <w:rPr>
          <w:szCs w:val="20"/>
        </w:rPr>
        <w:t xml:space="preserve">) required by the U.S. Fair Packaging and Labeling Act (FPLA).  Some of the expressions employ units of legal metrology (such as pound, ounce, fluid ounce, quart, liter, gram, kilogram, or count) while others appear in non-metrological units which relate to how a consumer might use the product (such as dose, use, load, application, pump, or scoop).  Some provide information regarding how much product is produced once the contents have been reconstituted.  Some statements are exact, others are inexact. Finally, some statements compare product usage or quantity to other products.   </w:t>
      </w:r>
    </w:p>
    <w:p w14:paraId="60D750A2" w14:textId="77777777" w:rsidR="000C465B" w:rsidRPr="000C465B" w:rsidRDefault="000C465B" w:rsidP="000C465B">
      <w:pPr>
        <w:spacing w:after="200" w:line="276" w:lineRule="auto"/>
        <w:rPr>
          <w:szCs w:val="20"/>
        </w:rPr>
      </w:pPr>
      <w:r w:rsidRPr="000C465B">
        <w:rPr>
          <w:rFonts w:eastAsia="Times New Roman"/>
          <w:noProof/>
          <w:szCs w:val="20"/>
        </w:rPr>
        <mc:AlternateContent>
          <mc:Choice Requires="wps">
            <w:drawing>
              <wp:anchor distT="0" distB="0" distL="114300" distR="114300" simplePos="0" relativeHeight="251658294" behindDoc="0" locked="0" layoutInCell="1" allowOverlap="1" wp14:anchorId="7333D79E" wp14:editId="5E0C4C7B">
                <wp:simplePos x="0" y="0"/>
                <wp:positionH relativeFrom="column">
                  <wp:posOffset>2830749</wp:posOffset>
                </wp:positionH>
                <wp:positionV relativeFrom="paragraph">
                  <wp:posOffset>446608</wp:posOffset>
                </wp:positionV>
                <wp:extent cx="3286125" cy="486383"/>
                <wp:effectExtent l="0" t="0" r="9525" b="9525"/>
                <wp:wrapNone/>
                <wp:docPr id="1113822095" name="Text Box 58"/>
                <wp:cNvGraphicFramePr/>
                <a:graphic xmlns:a="http://schemas.openxmlformats.org/drawingml/2006/main">
                  <a:graphicData uri="http://schemas.microsoft.com/office/word/2010/wordprocessingShape">
                    <wps:wsp>
                      <wps:cNvSpPr txBox="1"/>
                      <wps:spPr>
                        <a:xfrm>
                          <a:off x="0" y="0"/>
                          <a:ext cx="3286125" cy="486383"/>
                        </a:xfrm>
                        <a:prstGeom prst="rect">
                          <a:avLst/>
                        </a:prstGeom>
                        <a:solidFill>
                          <a:sysClr val="window" lastClr="FFFFFF"/>
                        </a:solidFill>
                        <a:ln w="6350">
                          <a:noFill/>
                        </a:ln>
                      </wps:spPr>
                      <wps:txbx>
                        <w:txbxContent>
                          <w:p w14:paraId="42B436F1" w14:textId="77777777" w:rsidR="000C465B" w:rsidRPr="00CF1727" w:rsidRDefault="000C465B" w:rsidP="007169B6">
                            <w:pPr>
                              <w:pStyle w:val="ListParagraph"/>
                              <w:numPr>
                                <w:ilvl w:val="0"/>
                                <w:numId w:val="81"/>
                              </w:numPr>
                              <w:spacing w:after="0"/>
                              <w:contextualSpacing/>
                              <w:jc w:val="left"/>
                            </w:pPr>
                            <w:r w:rsidRPr="00CF1727">
                              <w:t>Comparative Quantity Representation</w:t>
                            </w:r>
                          </w:p>
                          <w:p w14:paraId="16AC9C70" w14:textId="77777777" w:rsidR="000C465B" w:rsidRPr="003258DF" w:rsidRDefault="000C465B" w:rsidP="007169B6">
                            <w:pPr>
                              <w:numPr>
                                <w:ilvl w:val="0"/>
                                <w:numId w:val="81"/>
                              </w:numPr>
                              <w:spacing w:after="0"/>
                              <w:contextualSpacing/>
                              <w:jc w:val="left"/>
                              <w:rPr>
                                <w:rFonts w:eastAsia="Times New Roman"/>
                                <w:szCs w:val="20"/>
                              </w:rPr>
                            </w:pPr>
                            <w:r w:rsidRPr="003258DF">
                              <w:rPr>
                                <w:rFonts w:eastAsia="Times New Roman"/>
                                <w:szCs w:val="20"/>
                              </w:rPr>
                              <w:t xml:space="preserve">Comparative Performance Representation </w:t>
                            </w:r>
                          </w:p>
                          <w:p w14:paraId="76FA22D7" w14:textId="77777777" w:rsidR="000C465B" w:rsidRDefault="000C465B" w:rsidP="000C4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3D79E" id="Text Box 58" o:spid="_x0000_s1028" type="#_x0000_t202" style="position:absolute;left:0;text-align:left;margin-left:222.9pt;margin-top:35.15pt;width:258.75pt;height:38.3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" fillcolor="window" stroked="f" strokeweight=".5pt">
                <v:textbox>
                  <w:txbxContent>
                    <w:p w14:paraId="42B436F1" w14:textId="77777777" w:rsidR="000C465B" w:rsidRPr="00CF1727" w:rsidRDefault="000C465B" w:rsidP="007169B6">
                      <w:pPr>
                        <w:pStyle w:val="ListParagraph"/>
                        <w:numPr>
                          <w:ilvl w:val="0"/>
                          <w:numId w:val="81"/>
                        </w:numPr>
                        <w:spacing w:after="0"/>
                        <w:contextualSpacing/>
                        <w:jc w:val="left"/>
                      </w:pPr>
                      <w:r w:rsidRPr="00CF1727">
                        <w:t>Comparative Quantity Representation</w:t>
                      </w:r>
                    </w:p>
                    <w:p w14:paraId="16AC9C70" w14:textId="77777777" w:rsidR="000C465B" w:rsidRPr="003258DF" w:rsidRDefault="000C465B" w:rsidP="007169B6">
                      <w:pPr>
                        <w:numPr>
                          <w:ilvl w:val="0"/>
                          <w:numId w:val="81"/>
                        </w:numPr>
                        <w:spacing w:after="0"/>
                        <w:contextualSpacing/>
                        <w:jc w:val="left"/>
                        <w:rPr>
                          <w:rFonts w:eastAsia="Times New Roman"/>
                          <w:szCs w:val="20"/>
                        </w:rPr>
                      </w:pPr>
                      <w:r w:rsidRPr="003258DF">
                        <w:rPr>
                          <w:rFonts w:eastAsia="Times New Roman"/>
                          <w:szCs w:val="20"/>
                        </w:rPr>
                        <w:t xml:space="preserve">Comparative Performance Representation </w:t>
                      </w:r>
                    </w:p>
                    <w:p w14:paraId="76FA22D7" w14:textId="77777777" w:rsidR="000C465B" w:rsidRDefault="000C465B" w:rsidP="000C465B"/>
                  </w:txbxContent>
                </v:textbox>
              </v:shape>
            </w:pict>
          </mc:Fallback>
        </mc:AlternateContent>
      </w:r>
      <w:r w:rsidRPr="000C465B">
        <w:rPr>
          <w:szCs w:val="20"/>
        </w:rPr>
        <w:t>After evaluation of the various expressions currently appearing on the PDP in addition to the Declaration of Net Quantity, the NCWM has created the following five general categories for these statements.</w:t>
      </w:r>
    </w:p>
    <w:p w14:paraId="3F3D357D" w14:textId="77777777" w:rsidR="000C465B" w:rsidRPr="000C465B" w:rsidRDefault="000C465B" w:rsidP="007169B6">
      <w:pPr>
        <w:numPr>
          <w:ilvl w:val="0"/>
          <w:numId w:val="73"/>
        </w:numPr>
        <w:spacing w:after="0" w:line="276" w:lineRule="auto"/>
        <w:contextualSpacing/>
        <w:jc w:val="left"/>
        <w:rPr>
          <w:rFonts w:eastAsia="Times New Roman"/>
          <w:szCs w:val="20"/>
        </w:rPr>
      </w:pPr>
      <w:r w:rsidRPr="000C465B">
        <w:rPr>
          <w:rFonts w:eastAsia="Times New Roman"/>
          <w:szCs w:val="20"/>
        </w:rPr>
        <w:t xml:space="preserve">Additional Expression of Quantity </w:t>
      </w:r>
    </w:p>
    <w:p w14:paraId="2A39BFB3" w14:textId="77777777" w:rsidR="000C465B" w:rsidRPr="000C465B" w:rsidRDefault="000C465B" w:rsidP="007169B6">
      <w:pPr>
        <w:numPr>
          <w:ilvl w:val="0"/>
          <w:numId w:val="73"/>
        </w:numPr>
        <w:spacing w:after="0" w:line="276" w:lineRule="auto"/>
        <w:contextualSpacing/>
        <w:jc w:val="left"/>
        <w:rPr>
          <w:rFonts w:eastAsia="Times New Roman"/>
          <w:szCs w:val="20"/>
        </w:rPr>
      </w:pPr>
      <w:r w:rsidRPr="000C465B">
        <w:rPr>
          <w:rFonts w:eastAsia="Times New Roman"/>
          <w:szCs w:val="20"/>
        </w:rPr>
        <w:t xml:space="preserve">Reconstituted Expression of Quantity </w:t>
      </w:r>
    </w:p>
    <w:p w14:paraId="047BEDDA" w14:textId="77777777" w:rsidR="000C465B" w:rsidRPr="000C465B" w:rsidRDefault="000C465B" w:rsidP="007169B6">
      <w:pPr>
        <w:numPr>
          <w:ilvl w:val="0"/>
          <w:numId w:val="73"/>
        </w:numPr>
        <w:spacing w:after="0" w:line="276" w:lineRule="auto"/>
        <w:contextualSpacing/>
        <w:jc w:val="left"/>
        <w:rPr>
          <w:rFonts w:eastAsia="Times New Roman"/>
          <w:szCs w:val="20"/>
        </w:rPr>
      </w:pPr>
      <w:r w:rsidRPr="000C465B">
        <w:rPr>
          <w:rFonts w:eastAsia="Times New Roman"/>
          <w:szCs w:val="20"/>
        </w:rPr>
        <w:t>Derived Unit Expression</w:t>
      </w:r>
    </w:p>
    <w:p w14:paraId="21608409" w14:textId="77777777" w:rsidR="000C465B" w:rsidRPr="000C465B" w:rsidRDefault="000C465B" w:rsidP="000C465B">
      <w:pPr>
        <w:spacing w:after="0"/>
        <w:ind w:left="720"/>
        <w:contextualSpacing/>
        <w:jc w:val="left"/>
        <w:rPr>
          <w:rFonts w:eastAsia="Times New Roman"/>
          <w:szCs w:val="20"/>
        </w:rPr>
      </w:pPr>
    </w:p>
    <w:p w14:paraId="0EB61DD2" w14:textId="77777777" w:rsidR="000C465B" w:rsidRPr="000C465B" w:rsidRDefault="000C465B" w:rsidP="000C465B">
      <w:pPr>
        <w:spacing w:after="200" w:line="276" w:lineRule="auto"/>
        <w:rPr>
          <w:szCs w:val="20"/>
        </w:rPr>
      </w:pPr>
      <w:r w:rsidRPr="000C465B">
        <w:rPr>
          <w:szCs w:val="20"/>
        </w:rPr>
        <w:t xml:space="preserve">This document provides recommended practices for each of these categories with the overall purpose of promoting the communication of useful information to consumers at the point of purchase.   </w:t>
      </w:r>
    </w:p>
    <w:p w14:paraId="7BA2BEE0" w14:textId="77777777" w:rsidR="000C465B" w:rsidRPr="000C465B" w:rsidRDefault="000C465B" w:rsidP="000C465B">
      <w:pPr>
        <w:spacing w:after="200" w:line="276" w:lineRule="auto"/>
        <w:rPr>
          <w:szCs w:val="20"/>
        </w:rPr>
      </w:pPr>
      <w:r w:rsidRPr="000C465B">
        <w:rPr>
          <w:b/>
          <w:szCs w:val="20"/>
        </w:rPr>
        <w:t xml:space="preserve">1. </w:t>
      </w:r>
      <w:r w:rsidRPr="000C465B">
        <w:rPr>
          <w:b/>
          <w:szCs w:val="20"/>
          <w:u w:val="single"/>
        </w:rPr>
        <w:t>Additional Expression of Quantity (AEQ)</w:t>
      </w:r>
      <w:r w:rsidRPr="000C465B">
        <w:rPr>
          <w:b/>
          <w:bCs/>
          <w:szCs w:val="20"/>
        </w:rPr>
        <w:t xml:space="preserve"> </w:t>
      </w:r>
      <w:r w:rsidRPr="000C465B">
        <w:rPr>
          <w:szCs w:val="20"/>
        </w:rPr>
        <w:t>– an exact expression of a quantity appearing on the Principal Display Panel (PDP) in terms of legal metrology weight or measure, count or a defined unit of measure which is neither part of nor intended to be part of the required Declaration of Net Quantity (</w:t>
      </w:r>
      <w:proofErr w:type="spellStart"/>
      <w:r w:rsidRPr="000C465B">
        <w:rPr>
          <w:szCs w:val="20"/>
        </w:rPr>
        <w:t>DoNQ</w:t>
      </w:r>
      <w:proofErr w:type="spellEnd"/>
      <w:r w:rsidRPr="000C465B">
        <w:rPr>
          <w:szCs w:val="20"/>
        </w:rPr>
        <w:t xml:space="preserve">). This expression may be identical to a declaration which is part of the </w:t>
      </w:r>
      <w:proofErr w:type="spellStart"/>
      <w:r w:rsidRPr="000C465B">
        <w:rPr>
          <w:szCs w:val="20"/>
        </w:rPr>
        <w:t>DoNQ</w:t>
      </w:r>
      <w:proofErr w:type="spellEnd"/>
      <w:r w:rsidRPr="000C465B">
        <w:rPr>
          <w:szCs w:val="20"/>
        </w:rPr>
        <w:t xml:space="preserve">, may be a declaration equivalent to a declaration contained in the </w:t>
      </w:r>
      <w:proofErr w:type="spellStart"/>
      <w:r w:rsidRPr="000C465B">
        <w:rPr>
          <w:szCs w:val="20"/>
        </w:rPr>
        <w:t>DoNQ</w:t>
      </w:r>
      <w:proofErr w:type="spellEnd"/>
      <w:r w:rsidRPr="000C465B">
        <w:rPr>
          <w:szCs w:val="20"/>
        </w:rPr>
        <w:t xml:space="preserve">, or be another accurate declaration expressing quantity in units or count not present in the </w:t>
      </w:r>
      <w:proofErr w:type="spellStart"/>
      <w:r w:rsidRPr="000C465B">
        <w:rPr>
          <w:szCs w:val="20"/>
        </w:rPr>
        <w:t>DoNQ</w:t>
      </w:r>
      <w:proofErr w:type="spellEnd"/>
      <w:r w:rsidRPr="000C465B">
        <w:rPr>
          <w:szCs w:val="20"/>
        </w:rPr>
        <w:t>.</w:t>
      </w:r>
    </w:p>
    <w:p w14:paraId="2D81A36B" w14:textId="77777777" w:rsidR="000C465B" w:rsidRPr="000C465B" w:rsidRDefault="000C465B" w:rsidP="000C465B">
      <w:pPr>
        <w:spacing w:after="200" w:line="276" w:lineRule="auto"/>
        <w:rPr>
          <w:szCs w:val="20"/>
        </w:rPr>
      </w:pPr>
      <w:r w:rsidRPr="000C465B">
        <w:rPr>
          <w:szCs w:val="20"/>
        </w:rPr>
        <w:t xml:space="preserve">In the package below, the Additional Expression of Quantity (AEQ) would be the “6 Doughnuts” expression which is present on the PDP in addition to the required Declaration of Net Quantity.  </w:t>
      </w:r>
    </w:p>
    <w:p w14:paraId="61670614" w14:textId="77777777" w:rsidR="000C465B" w:rsidRPr="000C465B" w:rsidRDefault="000C465B" w:rsidP="00F42F14">
      <w:pPr>
        <w:widowControl w:val="0"/>
        <w:spacing w:after="0"/>
        <w:contextualSpacing/>
        <w:jc w:val="left"/>
        <w:rPr>
          <w:rFonts w:eastAsia="Times New Roman"/>
          <w:sz w:val="24"/>
          <w:szCs w:val="24"/>
        </w:rPr>
      </w:pPr>
      <w:r w:rsidRPr="000C465B">
        <w:rPr>
          <w:rFonts w:ascii="Calibri" w:hAnsi="Calibri"/>
          <w:noProof/>
          <w:sz w:val="22"/>
        </w:rPr>
        <mc:AlternateContent>
          <mc:Choice Requires="wps">
            <w:drawing>
              <wp:anchor distT="0" distB="0" distL="114300" distR="114300" simplePos="0" relativeHeight="251658252" behindDoc="0" locked="0" layoutInCell="1" allowOverlap="1" wp14:anchorId="0BC46B6C" wp14:editId="0959C7EF">
                <wp:simplePos x="0" y="0"/>
                <wp:positionH relativeFrom="column">
                  <wp:posOffset>3819525</wp:posOffset>
                </wp:positionH>
                <wp:positionV relativeFrom="paragraph">
                  <wp:posOffset>2760345</wp:posOffset>
                </wp:positionV>
                <wp:extent cx="2047875" cy="276225"/>
                <wp:effectExtent l="0" t="0" r="9525" b="9525"/>
                <wp:wrapNone/>
                <wp:docPr id="540348882" name="Text Box 540348882"/>
                <wp:cNvGraphicFramePr/>
                <a:graphic xmlns:a="http://schemas.openxmlformats.org/drawingml/2006/main">
                  <a:graphicData uri="http://schemas.microsoft.com/office/word/2010/wordprocessingShape">
                    <wps:wsp>
                      <wps:cNvSpPr txBox="1"/>
                      <wps:spPr>
                        <a:xfrm>
                          <a:off x="0" y="0"/>
                          <a:ext cx="2047875" cy="276225"/>
                        </a:xfrm>
                        <a:prstGeom prst="rect">
                          <a:avLst/>
                        </a:prstGeom>
                        <a:solidFill>
                          <a:srgbClr val="C0504D"/>
                        </a:solidFill>
                        <a:ln w="6350">
                          <a:noFill/>
                        </a:ln>
                      </wps:spPr>
                      <wps:txbx>
                        <w:txbxContent>
                          <w:p w14:paraId="23B3B9B1"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46B6C" id="Text Box 540348882" o:spid="_x0000_s1029" type="#_x0000_t202" style="position:absolute;margin-left:300.75pt;margin-top:217.35pt;width:161.25pt;height:21.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" fillcolor="#c0504d" stroked="f" strokeweight=".5pt">
                <v:textbox>
                  <w:txbxContent>
                    <w:p w14:paraId="23B3B9B1"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rFonts w:ascii="Calibri" w:hAnsi="Calibri"/>
          <w:noProof/>
          <w:sz w:val="22"/>
        </w:rPr>
        <mc:AlternateContent>
          <mc:Choice Requires="wps">
            <w:drawing>
              <wp:anchor distT="0" distB="0" distL="114300" distR="114300" simplePos="0" relativeHeight="251658244" behindDoc="0" locked="0" layoutInCell="1" allowOverlap="1" wp14:anchorId="5457CA0E" wp14:editId="46EF57B2">
                <wp:simplePos x="0" y="0"/>
                <wp:positionH relativeFrom="column">
                  <wp:posOffset>2724785</wp:posOffset>
                </wp:positionH>
                <wp:positionV relativeFrom="paragraph">
                  <wp:posOffset>2901315</wp:posOffset>
                </wp:positionV>
                <wp:extent cx="1097280" cy="0"/>
                <wp:effectExtent l="0" t="95250" r="0" b="95250"/>
                <wp:wrapNone/>
                <wp:docPr id="1645747466" name="Straight Arrow Connector 1645747466"/>
                <wp:cNvGraphicFramePr/>
                <a:graphic xmlns:a="http://schemas.openxmlformats.org/drawingml/2006/main">
                  <a:graphicData uri="http://schemas.microsoft.com/office/word/2010/wordprocessingShape">
                    <wps:wsp>
                      <wps:cNvCnPr/>
                      <wps:spPr>
                        <a:xfrm flipH="1">
                          <a:off x="0" y="0"/>
                          <a:ext cx="1097280" cy="0"/>
                        </a:xfrm>
                        <a:prstGeom prst="straightConnector1">
                          <a:avLst/>
                        </a:prstGeom>
                        <a:noFill/>
                        <a:ln w="38100" cap="flat" cmpd="sng" algn="ctr">
                          <a:solidFill>
                            <a:srgbClr val="C0504D"/>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1732CF5" id="_x0000_t32" coordsize="21600,21600" o:spt="32" o:oned="t" path="m,l21600,21600e" filled="f">
                <v:path arrowok="t" fillok="f" o:connecttype="none"/>
                <o:lock v:ext="edit" shapetype="t"/>
              </v:shapetype>
              <v:shape id="Straight Arrow Connector 1645747466" o:spid="_x0000_s1026" type="#_x0000_t32" style="position:absolute;margin-left:214.55pt;margin-top:228.45pt;width:86.4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" strokecolor="#c0504d" strokeweight="3pt">
                <v:stroke endarrow="block"/>
              </v:shape>
            </w:pict>
          </mc:Fallback>
        </mc:AlternateContent>
      </w:r>
      <w:r w:rsidRPr="000C465B">
        <w:rPr>
          <w:rFonts w:ascii="Calibri" w:hAnsi="Calibri"/>
          <w:noProof/>
          <w:sz w:val="22"/>
        </w:rPr>
        <mc:AlternateContent>
          <mc:Choice Requires="wps">
            <w:drawing>
              <wp:anchor distT="0" distB="0" distL="114300" distR="114300" simplePos="0" relativeHeight="251658251" behindDoc="0" locked="0" layoutInCell="1" allowOverlap="1" wp14:anchorId="670434FB" wp14:editId="277181EA">
                <wp:simplePos x="0" y="0"/>
                <wp:positionH relativeFrom="column">
                  <wp:posOffset>1219199</wp:posOffset>
                </wp:positionH>
                <wp:positionV relativeFrom="paragraph">
                  <wp:posOffset>417195</wp:posOffset>
                </wp:positionV>
                <wp:extent cx="2441575" cy="1143000"/>
                <wp:effectExtent l="38100" t="19050" r="15875" b="57150"/>
                <wp:wrapNone/>
                <wp:docPr id="836968507" name="Straight Arrow Connector 836968507"/>
                <wp:cNvGraphicFramePr/>
                <a:graphic xmlns:a="http://schemas.openxmlformats.org/drawingml/2006/main">
                  <a:graphicData uri="http://schemas.microsoft.com/office/word/2010/wordprocessingShape">
                    <wps:wsp>
                      <wps:cNvCnPr/>
                      <wps:spPr>
                        <a:xfrm flipH="1">
                          <a:off x="0" y="0"/>
                          <a:ext cx="2441575" cy="1143000"/>
                        </a:xfrm>
                        <a:prstGeom prst="straightConnector1">
                          <a:avLst/>
                        </a:prstGeom>
                        <a:noFill/>
                        <a:ln w="38100" cap="flat" cmpd="sng" algn="ctr">
                          <a:solidFill>
                            <a:srgbClr val="003E7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0FA641" id="Straight Arrow Connector 836968507" o:spid="_x0000_s1026" type="#_x0000_t32" style="position:absolute;margin-left:96pt;margin-top:32.85pt;width:192.25pt;height:90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" strokecolor="#003e7e" strokeweight="3pt">
                <v:stroke endarrow="block"/>
              </v:shape>
            </w:pict>
          </mc:Fallback>
        </mc:AlternateContent>
      </w:r>
      <w:r w:rsidRPr="000C465B">
        <w:rPr>
          <w:rFonts w:ascii="Calibri" w:hAnsi="Calibri"/>
          <w:noProof/>
          <w:sz w:val="22"/>
        </w:rPr>
        <w:drawing>
          <wp:inline distT="0" distB="0" distL="0" distR="0" wp14:anchorId="4891A3BB" wp14:editId="2D7917CE">
            <wp:extent cx="2968144" cy="3091815"/>
            <wp:effectExtent l="0" t="0" r="0" b="0"/>
            <wp:docPr id="1650203432" name="Picture 1650203432" descr="D:\NCWM\PALS Diagrams\Set 4\1-AEQ\AEQ-S1a-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CWM\PALS Diagrams\Set 4\1-AEQ\AEQ-S1a-v6.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68144" cy="3091815"/>
                    </a:xfrm>
                    <a:prstGeom prst="rect">
                      <a:avLst/>
                    </a:prstGeom>
                    <a:noFill/>
                    <a:ln>
                      <a:noFill/>
                    </a:ln>
                  </pic:spPr>
                </pic:pic>
              </a:graphicData>
            </a:graphic>
          </wp:inline>
        </w:drawing>
      </w:r>
      <w:r w:rsidRPr="000C465B">
        <w:rPr>
          <w:rFonts w:ascii="Calibri" w:hAnsi="Calibri"/>
          <w:noProof/>
          <w:sz w:val="22"/>
        </w:rPr>
        <mc:AlternateContent>
          <mc:Choice Requires="wps">
            <w:drawing>
              <wp:anchor distT="0" distB="0" distL="114300" distR="114300" simplePos="0" relativeHeight="251658250" behindDoc="0" locked="0" layoutInCell="1" allowOverlap="1" wp14:anchorId="28294BF4" wp14:editId="5353A91B">
                <wp:simplePos x="0" y="0"/>
                <wp:positionH relativeFrom="column">
                  <wp:posOffset>3600450</wp:posOffset>
                </wp:positionH>
                <wp:positionV relativeFrom="paragraph">
                  <wp:posOffset>169545</wp:posOffset>
                </wp:positionV>
                <wp:extent cx="2362200" cy="276225"/>
                <wp:effectExtent l="0" t="0" r="0" b="9525"/>
                <wp:wrapNone/>
                <wp:docPr id="1023876265" name="Rectangle 1023876265"/>
                <wp:cNvGraphicFramePr/>
                <a:graphic xmlns:a="http://schemas.openxmlformats.org/drawingml/2006/main">
                  <a:graphicData uri="http://schemas.microsoft.com/office/word/2010/wordprocessingShape">
                    <wps:wsp>
                      <wps:cNvSpPr/>
                      <wps:spPr>
                        <a:xfrm>
                          <a:off x="0" y="0"/>
                          <a:ext cx="2362200" cy="276225"/>
                        </a:xfrm>
                        <a:prstGeom prst="rect">
                          <a:avLst/>
                        </a:prstGeom>
                        <a:solidFill>
                          <a:srgbClr val="003E7E"/>
                        </a:solidFill>
                        <a:ln w="12700" cap="flat" cmpd="sng" algn="ctr">
                          <a:noFill/>
                          <a:prstDash val="solid"/>
                        </a:ln>
                        <a:effectLst/>
                      </wps:spPr>
                      <wps:txbx>
                        <w:txbxContent>
                          <w:p w14:paraId="0AA58D8E" w14:textId="77777777" w:rsidR="000C465B" w:rsidRDefault="000C465B" w:rsidP="000C465B">
                            <w:pPr>
                              <w:jc w:val="center"/>
                            </w:pPr>
                            <w:r w:rsidRPr="0078570A">
                              <w:rPr>
                                <w:b/>
                                <w:color w:val="FFFFFF"/>
                              </w:rPr>
                              <w:t>Additional Expression of Quantity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94BF4" id="Rectangle 1023876265" o:spid="_x0000_s1030" style="position:absolute;margin-left:283.5pt;margin-top:13.35pt;width:186pt;height:2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" fillcolor="#003e7e" stroked="f" strokeweight="1pt">
                <v:textbox>
                  <w:txbxContent>
                    <w:p w14:paraId="0AA58D8E" w14:textId="77777777" w:rsidR="000C465B" w:rsidRDefault="000C465B" w:rsidP="000C465B">
                      <w:pPr>
                        <w:jc w:val="center"/>
                      </w:pPr>
                      <w:r w:rsidRPr="0078570A">
                        <w:rPr>
                          <w:b/>
                          <w:color w:val="FFFFFF"/>
                        </w:rPr>
                        <w:t>Additional Expression of Quantity</w:t>
                      </w:r>
                    </w:p>
                  </w:txbxContent>
                </v:textbox>
              </v:rect>
            </w:pict>
          </mc:Fallback>
        </mc:AlternateConten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465B" w:rsidRPr="000C465B" w14:paraId="222ED708" w14:textId="77777777" w:rsidTr="005F0F3E">
        <w:tc>
          <w:tcPr>
            <w:tcW w:w="9350" w:type="dxa"/>
          </w:tcPr>
          <w:p w14:paraId="48610EAC" w14:textId="77777777" w:rsidR="000C465B" w:rsidRPr="000C465B" w:rsidRDefault="000C465B" w:rsidP="000C465B">
            <w:pPr>
              <w:spacing w:after="0"/>
              <w:rPr>
                <w:sz w:val="20"/>
                <w:szCs w:val="20"/>
              </w:rPr>
            </w:pPr>
            <w:r w:rsidRPr="000C465B">
              <w:rPr>
                <w:sz w:val="20"/>
                <w:szCs w:val="20"/>
              </w:rPr>
              <w:lastRenderedPageBreak/>
              <w:t xml:space="preserve">Similarly, the AEQ in the package below would be the “1/2 Liter” expression present in addition to the </w:t>
            </w:r>
            <w:proofErr w:type="spellStart"/>
            <w:r w:rsidRPr="000C465B">
              <w:rPr>
                <w:sz w:val="20"/>
                <w:szCs w:val="20"/>
              </w:rPr>
              <w:t>requiredDoNQ</w:t>
            </w:r>
            <w:proofErr w:type="spellEnd"/>
            <w:r w:rsidRPr="000C465B">
              <w:rPr>
                <w:sz w:val="20"/>
                <w:szCs w:val="20"/>
              </w:rPr>
              <w:t xml:space="preserve">.  </w:t>
            </w:r>
          </w:p>
          <w:p w14:paraId="4E7CBB6B" w14:textId="77777777" w:rsidR="000C465B" w:rsidRPr="000C465B" w:rsidRDefault="000C465B" w:rsidP="000C465B">
            <w:pPr>
              <w:spacing w:after="0"/>
              <w:jc w:val="left"/>
              <w:rPr>
                <w:rFonts w:ascii="Calibri" w:hAnsi="Calibri"/>
              </w:rPr>
            </w:pPr>
          </w:p>
        </w:tc>
      </w:tr>
      <w:tr w:rsidR="000C465B" w:rsidRPr="000C465B" w14:paraId="57BBF102" w14:textId="77777777" w:rsidTr="005F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0" w:type="dxa"/>
            <w:tcBorders>
              <w:top w:val="nil"/>
              <w:left w:val="nil"/>
              <w:bottom w:val="nil"/>
              <w:right w:val="nil"/>
            </w:tcBorders>
          </w:tcPr>
          <w:p w14:paraId="79FC1B9B" w14:textId="77777777" w:rsidR="000C465B" w:rsidRPr="000C465B" w:rsidRDefault="000C465B" w:rsidP="000C465B">
            <w:pPr>
              <w:spacing w:after="0"/>
              <w:jc w:val="left"/>
              <w:rPr>
                <w:rFonts w:ascii="Calibri" w:hAnsi="Calibri"/>
              </w:rPr>
            </w:pPr>
            <w:r w:rsidRPr="000C465B">
              <w:rPr>
                <w:rFonts w:ascii="Calibri" w:hAnsi="Calibri"/>
                <w:noProof/>
              </w:rPr>
              <mc:AlternateContent>
                <mc:Choice Requires="wps">
                  <w:drawing>
                    <wp:anchor distT="0" distB="0" distL="114300" distR="114300" simplePos="0" relativeHeight="251658277" behindDoc="0" locked="0" layoutInCell="1" allowOverlap="1" wp14:anchorId="4B8B4600" wp14:editId="39095BFF">
                      <wp:simplePos x="0" y="0"/>
                      <wp:positionH relativeFrom="column">
                        <wp:posOffset>1139825</wp:posOffset>
                      </wp:positionH>
                      <wp:positionV relativeFrom="paragraph">
                        <wp:posOffset>3934460</wp:posOffset>
                      </wp:positionV>
                      <wp:extent cx="1820545" cy="0"/>
                      <wp:effectExtent l="0" t="95250" r="0" b="95250"/>
                      <wp:wrapNone/>
                      <wp:docPr id="1714467738" name="Straight Arrow Connector 1714467738"/>
                      <wp:cNvGraphicFramePr/>
                      <a:graphic xmlns:a="http://schemas.openxmlformats.org/drawingml/2006/main">
                        <a:graphicData uri="http://schemas.microsoft.com/office/word/2010/wordprocessingShape">
                          <wps:wsp>
                            <wps:cNvCnPr/>
                            <wps:spPr>
                              <a:xfrm flipH="1">
                                <a:off x="0" y="0"/>
                                <a:ext cx="1820545" cy="0"/>
                              </a:xfrm>
                              <a:prstGeom prst="straightConnector1">
                                <a:avLst/>
                              </a:prstGeom>
                              <a:noFill/>
                              <a:ln w="38100" cap="flat" cmpd="sng" algn="ctr">
                                <a:solidFill>
                                  <a:srgbClr val="C0504D"/>
                                </a:solidFill>
                                <a:prstDash val="solid"/>
                                <a:tailEnd type="triangle"/>
                              </a:ln>
                              <a:effectLst/>
                            </wps:spPr>
                            <wps:bodyPr/>
                          </wps:wsp>
                        </a:graphicData>
                      </a:graphic>
                    </wp:anchor>
                  </w:drawing>
                </mc:Choice>
                <mc:Fallback>
                  <w:pict>
                    <v:shape w14:anchorId="195C5FEE" id="Straight Arrow Connector 1714467738" o:spid="_x0000_s1026" type="#_x0000_t32" style="position:absolute;margin-left:89.75pt;margin-top:309.8pt;width:143.3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" strokecolor="#c0504d"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54" behindDoc="0" locked="0" layoutInCell="1" allowOverlap="1" wp14:anchorId="371B11FD" wp14:editId="248DF446">
                      <wp:simplePos x="0" y="0"/>
                      <wp:positionH relativeFrom="column">
                        <wp:posOffset>3072130</wp:posOffset>
                      </wp:positionH>
                      <wp:positionV relativeFrom="paragraph">
                        <wp:posOffset>3807460</wp:posOffset>
                      </wp:positionV>
                      <wp:extent cx="1819910" cy="261620"/>
                      <wp:effectExtent l="0" t="0" r="8890" b="5080"/>
                      <wp:wrapNone/>
                      <wp:docPr id="1887220903" name="Text Box 1887220903"/>
                      <wp:cNvGraphicFramePr/>
                      <a:graphic xmlns:a="http://schemas.openxmlformats.org/drawingml/2006/main">
                        <a:graphicData uri="http://schemas.microsoft.com/office/word/2010/wordprocessingShape">
                          <wps:wsp>
                            <wps:cNvSpPr txBox="1"/>
                            <wps:spPr>
                              <a:xfrm>
                                <a:off x="0" y="0"/>
                                <a:ext cx="1819910" cy="261620"/>
                              </a:xfrm>
                              <a:prstGeom prst="rect">
                                <a:avLst/>
                              </a:prstGeom>
                              <a:solidFill>
                                <a:srgbClr val="C0504D"/>
                              </a:solidFill>
                              <a:ln w="6350">
                                <a:noFill/>
                              </a:ln>
                            </wps:spPr>
                            <wps:txbx>
                              <w:txbxContent>
                                <w:p w14:paraId="47E0F0F4"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1B11FD" id="Text Box 1887220903" o:spid="_x0000_s1031" type="#_x0000_t202" style="position:absolute;margin-left:241.9pt;margin-top:299.8pt;width:143.3pt;height:20.6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" fillcolor="#c0504d" stroked="f" strokeweight=".5pt">
                      <v:textbox>
                        <w:txbxContent>
                          <w:p w14:paraId="47E0F0F4"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53" behindDoc="0" locked="0" layoutInCell="1" allowOverlap="1" wp14:anchorId="74E0E157" wp14:editId="7231C47B">
                      <wp:simplePos x="0" y="0"/>
                      <wp:positionH relativeFrom="column">
                        <wp:posOffset>2960370</wp:posOffset>
                      </wp:positionH>
                      <wp:positionV relativeFrom="paragraph">
                        <wp:posOffset>3783330</wp:posOffset>
                      </wp:positionV>
                      <wp:extent cx="2051050" cy="309880"/>
                      <wp:effectExtent l="0" t="0" r="6350" b="0"/>
                      <wp:wrapNone/>
                      <wp:docPr id="1293115969" name="Rectangle 1293115969"/>
                      <wp:cNvGraphicFramePr/>
                      <a:graphic xmlns:a="http://schemas.openxmlformats.org/drawingml/2006/main">
                        <a:graphicData uri="http://schemas.microsoft.com/office/word/2010/wordprocessingShape">
                          <wps:wsp>
                            <wps:cNvSpPr/>
                            <wps:spPr>
                              <a:xfrm>
                                <a:off x="0" y="0"/>
                                <a:ext cx="2051050" cy="309880"/>
                              </a:xfrm>
                              <a:prstGeom prst="rect">
                                <a:avLst/>
                              </a:prstGeom>
                              <a:solidFill>
                                <a:srgbClr val="C0504D"/>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B8B53" id="Rectangle 1293115969" o:spid="_x0000_s1026" style="position:absolute;margin-left:233.1pt;margin-top:297.9pt;width:161.5pt;height:24.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" fillcolor="#c0504d" stroked="f" strokeweight="1pt"/>
                  </w:pict>
                </mc:Fallback>
              </mc:AlternateContent>
            </w:r>
            <w:r w:rsidRPr="000C465B">
              <w:rPr>
                <w:rFonts w:ascii="Calibri" w:hAnsi="Calibri"/>
                <w:noProof/>
              </w:rPr>
              <mc:AlternateContent>
                <mc:Choice Requires="wps">
                  <w:drawing>
                    <wp:anchor distT="0" distB="0" distL="114300" distR="114300" simplePos="0" relativeHeight="251658265" behindDoc="0" locked="0" layoutInCell="1" allowOverlap="1" wp14:anchorId="7A4BA8E0" wp14:editId="439AA5DE">
                      <wp:simplePos x="0" y="0"/>
                      <wp:positionH relativeFrom="column">
                        <wp:posOffset>2834005</wp:posOffset>
                      </wp:positionH>
                      <wp:positionV relativeFrom="paragraph">
                        <wp:posOffset>1072515</wp:posOffset>
                      </wp:positionV>
                      <wp:extent cx="2305685" cy="261620"/>
                      <wp:effectExtent l="0" t="0" r="0" b="5080"/>
                      <wp:wrapNone/>
                      <wp:docPr id="688343178" name="Text Box 688343178"/>
                      <wp:cNvGraphicFramePr/>
                      <a:graphic xmlns:a="http://schemas.openxmlformats.org/drawingml/2006/main">
                        <a:graphicData uri="http://schemas.microsoft.com/office/word/2010/wordprocessingShape">
                          <wps:wsp>
                            <wps:cNvSpPr txBox="1"/>
                            <wps:spPr>
                              <a:xfrm>
                                <a:off x="0" y="0"/>
                                <a:ext cx="2305685" cy="261620"/>
                              </a:xfrm>
                              <a:prstGeom prst="rect">
                                <a:avLst/>
                              </a:prstGeom>
                              <a:noFill/>
                              <a:ln w="6350">
                                <a:noFill/>
                              </a:ln>
                            </wps:spPr>
                            <wps:txbx>
                              <w:txbxContent>
                                <w:p w14:paraId="6192BE40" w14:textId="77777777" w:rsidR="000C465B" w:rsidRPr="0078570A" w:rsidRDefault="000C465B" w:rsidP="000C465B">
                                  <w:pPr>
                                    <w:pStyle w:val="NoSpacing"/>
                                    <w:jc w:val="center"/>
                                    <w:rPr>
                                      <w:b/>
                                      <w:color w:val="FFFFFF"/>
                                    </w:rPr>
                                  </w:pPr>
                                  <w:r w:rsidRPr="0078570A">
                                    <w:rPr>
                                      <w:b/>
                                      <w:color w:val="FFFFFF"/>
                                    </w:rPr>
                                    <w:t>Additional Expression of Quantity (AEQ)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BA8E0" id="Text Box 688343178" o:spid="_x0000_s1032" type="#_x0000_t202" style="position:absolute;margin-left:223.15pt;margin-top:84.45pt;width:181.55pt;height:20.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" filled="f" stroked="f" strokeweight=".5pt">
                      <v:textbox>
                        <w:txbxContent>
                          <w:p w14:paraId="6192BE40" w14:textId="77777777" w:rsidR="000C465B" w:rsidRPr="0078570A" w:rsidRDefault="000C465B" w:rsidP="000C465B">
                            <w:pPr>
                              <w:pStyle w:val="NoSpacing"/>
                              <w:jc w:val="center"/>
                              <w:rPr>
                                <w:b/>
                                <w:color w:val="FFFFFF"/>
                              </w:rPr>
                            </w:pPr>
                            <w:r w:rsidRPr="0078570A">
                              <w:rPr>
                                <w:b/>
                                <w:color w:val="FFFFFF"/>
                              </w:rPr>
                              <w:t>Additional Expression of Quantity (AEQ)</w:t>
                            </w:r>
                          </w:p>
                        </w:txbxContent>
                      </v:textbox>
                    </v:shape>
                  </w:pict>
                </mc:Fallback>
              </mc:AlternateContent>
            </w:r>
            <w:r w:rsidRPr="000C465B">
              <w:rPr>
                <w:rFonts w:ascii="Calibri" w:hAnsi="Calibri"/>
                <w:noProof/>
                <w:color w:val="003E7E"/>
              </w:rPr>
              <mc:AlternateContent>
                <mc:Choice Requires="wps">
                  <w:drawing>
                    <wp:anchor distT="0" distB="0" distL="114300" distR="114300" simplePos="0" relativeHeight="251658264" behindDoc="0" locked="0" layoutInCell="1" allowOverlap="1" wp14:anchorId="1ED9FF4E" wp14:editId="2C241C05">
                      <wp:simplePos x="0" y="0"/>
                      <wp:positionH relativeFrom="column">
                        <wp:posOffset>2728595</wp:posOffset>
                      </wp:positionH>
                      <wp:positionV relativeFrom="paragraph">
                        <wp:posOffset>1049020</wp:posOffset>
                      </wp:positionV>
                      <wp:extent cx="2519680" cy="309880"/>
                      <wp:effectExtent l="0" t="0" r="0" b="0"/>
                      <wp:wrapNone/>
                      <wp:docPr id="644436337" name="Rectangle 644436337"/>
                      <wp:cNvGraphicFramePr/>
                      <a:graphic xmlns:a="http://schemas.openxmlformats.org/drawingml/2006/main">
                        <a:graphicData uri="http://schemas.microsoft.com/office/word/2010/wordprocessingShape">
                          <wps:wsp>
                            <wps:cNvSpPr/>
                            <wps:spPr>
                              <a:xfrm>
                                <a:off x="0" y="0"/>
                                <a:ext cx="2519680" cy="309880"/>
                              </a:xfrm>
                              <a:prstGeom prst="rect">
                                <a:avLst/>
                              </a:prstGeom>
                              <a:solidFill>
                                <a:srgbClr val="003E7E"/>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E2D80A" id="Rectangle 644436337" o:spid="_x0000_s1026" style="position:absolute;margin-left:214.85pt;margin-top:82.6pt;width:198.4pt;height:24.4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" fillcolor="#003e7e" stroked="f" strokeweight="1pt"/>
                  </w:pict>
                </mc:Fallback>
              </mc:AlternateContent>
            </w:r>
            <w:r w:rsidRPr="000C465B">
              <w:rPr>
                <w:rFonts w:ascii="Calibri" w:hAnsi="Calibri"/>
                <w:noProof/>
              </w:rPr>
              <mc:AlternateContent>
                <mc:Choice Requires="wps">
                  <w:drawing>
                    <wp:anchor distT="0" distB="0" distL="114300" distR="114300" simplePos="0" relativeHeight="251658276" behindDoc="0" locked="0" layoutInCell="1" allowOverlap="1" wp14:anchorId="0053A6A4" wp14:editId="242C853F">
                      <wp:simplePos x="0" y="0"/>
                      <wp:positionH relativeFrom="column">
                        <wp:posOffset>1607820</wp:posOffset>
                      </wp:positionH>
                      <wp:positionV relativeFrom="paragraph">
                        <wp:posOffset>1200785</wp:posOffset>
                      </wp:positionV>
                      <wp:extent cx="1120775" cy="0"/>
                      <wp:effectExtent l="0" t="95250" r="0" b="95250"/>
                      <wp:wrapNone/>
                      <wp:docPr id="1031312352" name="Straight Arrow Connector 1031312352"/>
                      <wp:cNvGraphicFramePr/>
                      <a:graphic xmlns:a="http://schemas.openxmlformats.org/drawingml/2006/main">
                        <a:graphicData uri="http://schemas.microsoft.com/office/word/2010/wordprocessingShape">
                          <wps:wsp>
                            <wps:cNvCnPr/>
                            <wps:spPr>
                              <a:xfrm flipH="1">
                                <a:off x="0" y="0"/>
                                <a:ext cx="1120775" cy="0"/>
                              </a:xfrm>
                              <a:prstGeom prst="straightConnector1">
                                <a:avLst/>
                              </a:prstGeom>
                              <a:noFill/>
                              <a:ln w="38100" cap="flat" cmpd="sng" algn="ctr">
                                <a:solidFill>
                                  <a:srgbClr val="003E7E"/>
                                </a:solidFill>
                                <a:prstDash val="solid"/>
                                <a:tailEnd type="triangle"/>
                              </a:ln>
                              <a:effectLst/>
                            </wps:spPr>
                            <wps:bodyPr/>
                          </wps:wsp>
                        </a:graphicData>
                      </a:graphic>
                    </wp:anchor>
                  </w:drawing>
                </mc:Choice>
                <mc:Fallback>
                  <w:pict>
                    <v:shape w14:anchorId="0CBBC797" id="Straight Arrow Connector 1031312352" o:spid="_x0000_s1026" type="#_x0000_t32" style="position:absolute;margin-left:126.6pt;margin-top:94.55pt;width:88.25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" strokecolor="#003e7e" strokeweight="3pt">
                      <v:stroke endarrow="block"/>
                    </v:shape>
                  </w:pict>
                </mc:Fallback>
              </mc:AlternateContent>
            </w:r>
            <w:r w:rsidRPr="000C465B">
              <w:rPr>
                <w:rFonts w:ascii="Calibri" w:hAnsi="Calibri"/>
                <w:noProof/>
              </w:rPr>
              <w:drawing>
                <wp:inline distT="0" distB="0" distL="0" distR="0" wp14:anchorId="5B00870C" wp14:editId="3E49B253">
                  <wp:extent cx="1743162" cy="4676775"/>
                  <wp:effectExtent l="0" t="0" r="9525" b="0"/>
                  <wp:docPr id="1005807525" name="Picture 1005807525" descr="D:\NCWM\PALS Diagrams\Set 4\1-AEQ\AEQ-S1a-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CWM\PALS Diagrams\Set 4\1-AEQ\AEQ-S1a-v3.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52849" cy="4702766"/>
                          </a:xfrm>
                          <a:prstGeom prst="rect">
                            <a:avLst/>
                          </a:prstGeom>
                          <a:noFill/>
                          <a:ln>
                            <a:noFill/>
                          </a:ln>
                        </pic:spPr>
                      </pic:pic>
                    </a:graphicData>
                  </a:graphic>
                </wp:inline>
              </w:drawing>
            </w:r>
          </w:p>
        </w:tc>
      </w:tr>
    </w:tbl>
    <w:p w14:paraId="6019C28D" w14:textId="77777777" w:rsidR="000C465B" w:rsidRPr="000C465B" w:rsidRDefault="000C465B" w:rsidP="000C465B">
      <w:pPr>
        <w:spacing w:after="0"/>
        <w:jc w:val="left"/>
        <w:rPr>
          <w:rFonts w:ascii="Calibri" w:hAnsi="Calibri"/>
          <w:sz w:val="22"/>
        </w:rPr>
      </w:pPr>
    </w:p>
    <w:p w14:paraId="5749797B" w14:textId="77777777" w:rsidR="000C465B" w:rsidRPr="000C465B" w:rsidRDefault="000C465B" w:rsidP="000C465B">
      <w:pPr>
        <w:spacing w:after="200" w:line="276" w:lineRule="auto"/>
        <w:jc w:val="left"/>
        <w:rPr>
          <w:szCs w:val="20"/>
        </w:rPr>
      </w:pPr>
      <w:r w:rsidRPr="000C465B">
        <w:rPr>
          <w:szCs w:val="20"/>
        </w:rPr>
        <w:t>Additional examples of an Additional Expression of Quantity would be:</w:t>
      </w:r>
    </w:p>
    <w:p w14:paraId="38C650DB"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“1 Quart” separately appearing on the PDP from the Declaration of Net Quantity reading “1 Quart (0.946 Liters)”</w:t>
      </w:r>
    </w:p>
    <w:p w14:paraId="2B18ADFD" w14:textId="77777777" w:rsidR="000C465B" w:rsidRPr="000C465B" w:rsidRDefault="000C465B" w:rsidP="000C465B">
      <w:pPr>
        <w:spacing w:after="0"/>
        <w:ind w:left="720"/>
        <w:contextualSpacing/>
        <w:jc w:val="left"/>
        <w:rPr>
          <w:rFonts w:eastAsia="Times New Roman"/>
          <w:szCs w:val="20"/>
        </w:rPr>
      </w:pPr>
    </w:p>
    <w:p w14:paraId="6CD780E0"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“32 Fluid Ounces” separately appearing on the PDP from the Declaration of Net Quantity reading “1 Quart (0.946 Liters)”</w:t>
      </w:r>
    </w:p>
    <w:p w14:paraId="2277F389" w14:textId="77777777" w:rsidR="000C465B" w:rsidRPr="000C465B" w:rsidRDefault="000C465B" w:rsidP="000C465B">
      <w:pPr>
        <w:spacing w:after="0"/>
        <w:contextualSpacing/>
        <w:jc w:val="left"/>
        <w:rPr>
          <w:rFonts w:eastAsia="Times New Roman"/>
          <w:szCs w:val="20"/>
        </w:rPr>
      </w:pPr>
    </w:p>
    <w:p w14:paraId="6EC68072"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Statement “1.5 Liters” separately appearing on the PDP from the Declaration of Net Quantity reading “1.5 Liters (1.58 Quarts)”.  </w:t>
      </w:r>
    </w:p>
    <w:p w14:paraId="503A7FA9" w14:textId="77777777" w:rsidR="000C465B" w:rsidRPr="000C465B" w:rsidRDefault="000C465B" w:rsidP="000C465B">
      <w:pPr>
        <w:spacing w:after="0"/>
        <w:contextualSpacing/>
        <w:jc w:val="left"/>
        <w:rPr>
          <w:rFonts w:eastAsia="Times New Roman"/>
          <w:szCs w:val="20"/>
        </w:rPr>
      </w:pPr>
    </w:p>
    <w:p w14:paraId="6F40661C"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“3 Pounds” separately appearing on the PDP from the Declaration of Net Quantity reading “3 Pounds (1.36 Kilograms)”</w:t>
      </w:r>
    </w:p>
    <w:p w14:paraId="149A39B5" w14:textId="77777777" w:rsidR="000C465B" w:rsidRPr="000C465B" w:rsidRDefault="000C465B" w:rsidP="000C465B">
      <w:pPr>
        <w:spacing w:after="0"/>
        <w:contextualSpacing/>
        <w:jc w:val="left"/>
        <w:rPr>
          <w:rFonts w:eastAsia="Times New Roman"/>
          <w:szCs w:val="20"/>
        </w:rPr>
      </w:pPr>
    </w:p>
    <w:p w14:paraId="7BA4A034"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of “24 Count” separately appearing on the PDP from the Declaration of Net Quantity reading “3 Pounds (1.36 Kilograms)”</w:t>
      </w:r>
    </w:p>
    <w:p w14:paraId="75A2E7B8" w14:textId="77777777" w:rsidR="000C465B" w:rsidRPr="000C465B" w:rsidRDefault="000C465B" w:rsidP="000C465B">
      <w:pPr>
        <w:spacing w:after="0"/>
        <w:contextualSpacing/>
        <w:jc w:val="left"/>
        <w:rPr>
          <w:rFonts w:eastAsia="Times New Roman"/>
          <w:szCs w:val="20"/>
        </w:rPr>
      </w:pPr>
    </w:p>
    <w:p w14:paraId="05A06F5D"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lastRenderedPageBreak/>
        <w:t>Statement “1/2 Kilogram” separately appearing on the PDP from the Declaration of Net Quantity reading “500 Grams (1.1 Pounds)”</w:t>
      </w:r>
    </w:p>
    <w:p w14:paraId="76DCFD73" w14:textId="77777777" w:rsidR="000C465B" w:rsidRPr="000C465B" w:rsidRDefault="000C465B" w:rsidP="000C465B">
      <w:pPr>
        <w:spacing w:after="0"/>
        <w:contextualSpacing/>
        <w:jc w:val="left"/>
        <w:rPr>
          <w:rFonts w:eastAsia="Times New Roman"/>
          <w:szCs w:val="20"/>
        </w:rPr>
      </w:pPr>
    </w:p>
    <w:p w14:paraId="16F42D99"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Statement “2 </w:t>
      </w:r>
      <w:proofErr w:type="gramStart"/>
      <w:r w:rsidRPr="000C465B">
        <w:rPr>
          <w:rFonts w:eastAsia="Times New Roman"/>
          <w:szCs w:val="20"/>
        </w:rPr>
        <w:t>Dozen</w:t>
      </w:r>
      <w:proofErr w:type="gramEnd"/>
      <w:r w:rsidRPr="000C465B">
        <w:rPr>
          <w:rFonts w:eastAsia="Times New Roman"/>
          <w:szCs w:val="20"/>
        </w:rPr>
        <w:t xml:space="preserve"> Cookies” separately appearing on the PDP from the Declaration of Net Quantity reading “2 Pounds (907 Grams)</w:t>
      </w:r>
    </w:p>
    <w:p w14:paraId="30861422" w14:textId="77777777" w:rsidR="000C465B" w:rsidRPr="000C465B" w:rsidRDefault="000C465B" w:rsidP="000C465B">
      <w:pPr>
        <w:spacing w:after="0"/>
        <w:contextualSpacing/>
        <w:jc w:val="left"/>
        <w:rPr>
          <w:rFonts w:eastAsia="Times New Roman"/>
          <w:szCs w:val="20"/>
        </w:rPr>
      </w:pPr>
    </w:p>
    <w:p w14:paraId="22BF361E"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A Declaration of Identity “8 Ounce Steaks” appearing in addition to a PDP Declaration of Net Quantity </w:t>
      </w:r>
    </w:p>
    <w:p w14:paraId="1C8BE79B" w14:textId="77777777" w:rsidR="000C465B" w:rsidRPr="000C465B" w:rsidRDefault="000C465B" w:rsidP="000C465B">
      <w:pPr>
        <w:spacing w:after="0"/>
        <w:contextualSpacing/>
        <w:jc w:val="left"/>
        <w:rPr>
          <w:rFonts w:eastAsia="Times New Roman"/>
          <w:szCs w:val="20"/>
        </w:rPr>
      </w:pPr>
    </w:p>
    <w:p w14:paraId="3E40DC75" w14:textId="77777777" w:rsidR="000C465B" w:rsidRPr="000C465B" w:rsidRDefault="000C465B" w:rsidP="000C465B">
      <w:pPr>
        <w:spacing w:after="200" w:line="276" w:lineRule="auto"/>
        <w:rPr>
          <w:szCs w:val="20"/>
        </w:rPr>
      </w:pPr>
      <w:r w:rsidRPr="000C465B">
        <w:rPr>
          <w:b/>
          <w:szCs w:val="20"/>
        </w:rPr>
        <w:t xml:space="preserve">2.  </w:t>
      </w:r>
      <w:r w:rsidRPr="000C465B">
        <w:rPr>
          <w:b/>
          <w:szCs w:val="20"/>
          <w:u w:val="single"/>
        </w:rPr>
        <w:t>Reconstituted Expression of Quantity (REQ)</w:t>
      </w:r>
      <w:r w:rsidRPr="000C465B">
        <w:rPr>
          <w:b/>
          <w:bCs/>
          <w:szCs w:val="20"/>
        </w:rPr>
        <w:t xml:space="preserve"> </w:t>
      </w:r>
      <w:r w:rsidRPr="000C465B">
        <w:rPr>
          <w:szCs w:val="20"/>
        </w:rPr>
        <w:t>– an exact expression appearing on the Principal Display Panel (PDP) in addition to the Declaration of Net Quantity (</w:t>
      </w:r>
      <w:proofErr w:type="spellStart"/>
      <w:r w:rsidRPr="000C465B">
        <w:rPr>
          <w:szCs w:val="20"/>
        </w:rPr>
        <w:t>DoNQ</w:t>
      </w:r>
      <w:proofErr w:type="spellEnd"/>
      <w:r w:rsidRPr="000C465B">
        <w:rPr>
          <w:szCs w:val="20"/>
        </w:rPr>
        <w:t xml:space="preserve">), which details how much product the package contents provide when the product is prepared in accordance with label directions. This expression is most common for products requiring the addition of water but may be appropriate for other products.  This expression is generally most useful to consumers when the prescribed directions for product preparation are very straightforward, such as the addition of just water. These statements are less useful when multiple steps or added ingredients are involved.   </w:t>
      </w:r>
    </w:p>
    <w:p w14:paraId="5956425A" w14:textId="77777777" w:rsidR="000C465B" w:rsidRPr="000C465B" w:rsidRDefault="000C465B" w:rsidP="000C465B">
      <w:pPr>
        <w:spacing w:after="200" w:line="276" w:lineRule="auto"/>
        <w:rPr>
          <w:szCs w:val="20"/>
        </w:rPr>
      </w:pPr>
      <w:r w:rsidRPr="000C465B">
        <w:rPr>
          <w:szCs w:val="20"/>
        </w:rPr>
        <w:t>In the package diagram below, the Reconstituted Expression of Quantity (REQ) would be the “Makes 56 Quarts” expression which is present on the PDP in addition to the required Declaration of Net Quantity (</w:t>
      </w:r>
      <w:proofErr w:type="spellStart"/>
      <w:r w:rsidRPr="000C465B">
        <w:rPr>
          <w:szCs w:val="20"/>
        </w:rPr>
        <w:t>DoNQ</w:t>
      </w:r>
      <w:proofErr w:type="spellEnd"/>
      <w:r w:rsidRPr="000C465B">
        <w:rPr>
          <w:szCs w:val="20"/>
        </w:rPr>
        <w:t>).</w:t>
      </w:r>
    </w:p>
    <w:p w14:paraId="5D3C6C55" w14:textId="77777777" w:rsidR="000C465B" w:rsidRPr="000C465B" w:rsidRDefault="000C465B" w:rsidP="000C465B">
      <w:pPr>
        <w:spacing w:after="200" w:line="276" w:lineRule="auto"/>
        <w:rPr>
          <w:sz w:val="22"/>
        </w:rPr>
      </w:pPr>
    </w:p>
    <w:tbl>
      <w:tblPr>
        <w:tblStyle w:val="TableGrid22"/>
        <w:tblW w:w="0" w:type="auto"/>
        <w:tblLook w:val="04A0" w:firstRow="1" w:lastRow="0" w:firstColumn="1" w:lastColumn="0" w:noHBand="0" w:noVBand="1"/>
      </w:tblPr>
      <w:tblGrid>
        <w:gridCol w:w="9350"/>
      </w:tblGrid>
      <w:tr w:rsidR="000C465B" w:rsidRPr="000C465B" w14:paraId="24E762E1" w14:textId="77777777" w:rsidTr="005F0F3E">
        <w:tc>
          <w:tcPr>
            <w:tcW w:w="9350" w:type="dxa"/>
            <w:tcBorders>
              <w:top w:val="nil"/>
              <w:left w:val="nil"/>
              <w:bottom w:val="nil"/>
              <w:right w:val="nil"/>
            </w:tcBorders>
          </w:tcPr>
          <w:p w14:paraId="7214D975" w14:textId="77777777" w:rsidR="000C465B" w:rsidRPr="000C465B" w:rsidRDefault="000C465B" w:rsidP="000C465B">
            <w:pPr>
              <w:spacing w:after="0"/>
              <w:jc w:val="left"/>
              <w:rPr>
                <w:rFonts w:ascii="Calibri" w:hAnsi="Calibri"/>
              </w:rPr>
            </w:pPr>
            <w:r w:rsidRPr="000C465B">
              <w:rPr>
                <w:rFonts w:ascii="Calibri" w:hAnsi="Calibri"/>
                <w:noProof/>
              </w:rPr>
              <mc:AlternateContent>
                <mc:Choice Requires="wps">
                  <w:drawing>
                    <wp:anchor distT="0" distB="0" distL="114300" distR="114300" simplePos="0" relativeHeight="251658279" behindDoc="0" locked="0" layoutInCell="1" allowOverlap="1" wp14:anchorId="2C4AE143" wp14:editId="4FB08947">
                      <wp:simplePos x="0" y="0"/>
                      <wp:positionH relativeFrom="column">
                        <wp:posOffset>2929062</wp:posOffset>
                      </wp:positionH>
                      <wp:positionV relativeFrom="paragraph">
                        <wp:posOffset>3613509</wp:posOffset>
                      </wp:positionV>
                      <wp:extent cx="882595" cy="0"/>
                      <wp:effectExtent l="0" t="95250" r="0" b="95250"/>
                      <wp:wrapNone/>
                      <wp:docPr id="689066946" name="Straight Arrow Connector 689066946"/>
                      <wp:cNvGraphicFramePr/>
                      <a:graphic xmlns:a="http://schemas.openxmlformats.org/drawingml/2006/main">
                        <a:graphicData uri="http://schemas.microsoft.com/office/word/2010/wordprocessingShape">
                          <wps:wsp>
                            <wps:cNvCnPr/>
                            <wps:spPr>
                              <a:xfrm flipH="1">
                                <a:off x="0" y="0"/>
                                <a:ext cx="882595" cy="0"/>
                              </a:xfrm>
                              <a:prstGeom prst="straightConnector1">
                                <a:avLst/>
                              </a:prstGeom>
                              <a:noFill/>
                              <a:ln w="38100" cap="flat" cmpd="sng" algn="ctr">
                                <a:solidFill>
                                  <a:srgbClr val="C0504D"/>
                                </a:solidFill>
                                <a:prstDash val="solid"/>
                                <a:tailEnd type="triangle"/>
                              </a:ln>
                              <a:effectLst/>
                            </wps:spPr>
                            <wps:bodyPr/>
                          </wps:wsp>
                        </a:graphicData>
                      </a:graphic>
                    </wp:anchor>
                  </w:drawing>
                </mc:Choice>
                <mc:Fallback>
                  <w:pict>
                    <v:shape w14:anchorId="16758E38" id="Straight Arrow Connector 689066946" o:spid="_x0000_s1026" type="#_x0000_t32" style="position:absolute;margin-left:230.65pt;margin-top:284.55pt;width:69.5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" strokecolor="#c0504d"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56" behindDoc="0" locked="0" layoutInCell="1" allowOverlap="1" wp14:anchorId="428F3CA3" wp14:editId="0C161CDF">
                      <wp:simplePos x="0" y="0"/>
                      <wp:positionH relativeFrom="column">
                        <wp:posOffset>3930512</wp:posOffset>
                      </wp:positionH>
                      <wp:positionV relativeFrom="paragraph">
                        <wp:posOffset>3485377</wp:posOffset>
                      </wp:positionV>
                      <wp:extent cx="1820020" cy="261620"/>
                      <wp:effectExtent l="0" t="0" r="8890" b="5080"/>
                      <wp:wrapNone/>
                      <wp:docPr id="593243275" name="Text Box 593243275"/>
                      <wp:cNvGraphicFramePr/>
                      <a:graphic xmlns:a="http://schemas.openxmlformats.org/drawingml/2006/main">
                        <a:graphicData uri="http://schemas.microsoft.com/office/word/2010/wordprocessingShape">
                          <wps:wsp>
                            <wps:cNvSpPr txBox="1"/>
                            <wps:spPr>
                              <a:xfrm>
                                <a:off x="0" y="0"/>
                                <a:ext cx="1820020" cy="261620"/>
                              </a:xfrm>
                              <a:prstGeom prst="rect">
                                <a:avLst/>
                              </a:prstGeom>
                              <a:solidFill>
                                <a:srgbClr val="C0504D"/>
                              </a:solidFill>
                              <a:ln w="6350">
                                <a:noFill/>
                              </a:ln>
                            </wps:spPr>
                            <wps:txbx>
                              <w:txbxContent>
                                <w:p w14:paraId="007C855A"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8F3CA3" id="Text Box 593243275" o:spid="_x0000_s1033" type="#_x0000_t202" style="position:absolute;margin-left:309.5pt;margin-top:274.45pt;width:143.3pt;height:20.6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" fillcolor="#c0504d" stroked="f" strokeweight=".5pt">
                      <v:textbox>
                        <w:txbxContent>
                          <w:p w14:paraId="007C855A"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55" behindDoc="0" locked="0" layoutInCell="1" allowOverlap="1" wp14:anchorId="475E60D1" wp14:editId="0AB5088C">
                      <wp:simplePos x="0" y="0"/>
                      <wp:positionH relativeFrom="column">
                        <wp:posOffset>3809061</wp:posOffset>
                      </wp:positionH>
                      <wp:positionV relativeFrom="paragraph">
                        <wp:posOffset>3462020</wp:posOffset>
                      </wp:positionV>
                      <wp:extent cx="2051050" cy="309880"/>
                      <wp:effectExtent l="0" t="0" r="6350" b="0"/>
                      <wp:wrapNone/>
                      <wp:docPr id="686339255" name="Rectangle 686339255"/>
                      <wp:cNvGraphicFramePr/>
                      <a:graphic xmlns:a="http://schemas.openxmlformats.org/drawingml/2006/main">
                        <a:graphicData uri="http://schemas.microsoft.com/office/word/2010/wordprocessingShape">
                          <wps:wsp>
                            <wps:cNvSpPr/>
                            <wps:spPr>
                              <a:xfrm>
                                <a:off x="0" y="0"/>
                                <a:ext cx="2051050" cy="309880"/>
                              </a:xfrm>
                              <a:prstGeom prst="rect">
                                <a:avLst/>
                              </a:prstGeom>
                              <a:solidFill>
                                <a:srgbClr val="C0504D"/>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B8C89C" id="Rectangle 686339255" o:spid="_x0000_s1026" style="position:absolute;margin-left:299.95pt;margin-top:272.6pt;width:161.5pt;height:24.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" fillcolor="#c0504d" stroked="f" strokeweight="1pt"/>
                  </w:pict>
                </mc:Fallback>
              </mc:AlternateContent>
            </w:r>
            <w:r w:rsidRPr="000C465B">
              <w:rPr>
                <w:rFonts w:ascii="Calibri" w:hAnsi="Calibri"/>
                <w:noProof/>
                <w:color w:val="003E7E"/>
              </w:rPr>
              <mc:AlternateContent>
                <mc:Choice Requires="wps">
                  <w:drawing>
                    <wp:anchor distT="0" distB="0" distL="114300" distR="114300" simplePos="0" relativeHeight="251658266" behindDoc="0" locked="0" layoutInCell="1" allowOverlap="1" wp14:anchorId="5E15956F" wp14:editId="7D12B476">
                      <wp:simplePos x="0" y="0"/>
                      <wp:positionH relativeFrom="column">
                        <wp:posOffset>3382286</wp:posOffset>
                      </wp:positionH>
                      <wp:positionV relativeFrom="paragraph">
                        <wp:posOffset>2961502</wp:posOffset>
                      </wp:positionV>
                      <wp:extent cx="2488758" cy="309880"/>
                      <wp:effectExtent l="0" t="0" r="6985" b="0"/>
                      <wp:wrapNone/>
                      <wp:docPr id="1648358838" name="Rectangle 1648358838"/>
                      <wp:cNvGraphicFramePr/>
                      <a:graphic xmlns:a="http://schemas.openxmlformats.org/drawingml/2006/main">
                        <a:graphicData uri="http://schemas.microsoft.com/office/word/2010/wordprocessingShape">
                          <wps:wsp>
                            <wps:cNvSpPr/>
                            <wps:spPr>
                              <a:xfrm>
                                <a:off x="0" y="0"/>
                                <a:ext cx="2488758" cy="309880"/>
                              </a:xfrm>
                              <a:prstGeom prst="rect">
                                <a:avLst/>
                              </a:prstGeom>
                              <a:solidFill>
                                <a:srgbClr val="002060"/>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C4ECAB" id="Rectangle 1648358838" o:spid="_x0000_s1026" style="position:absolute;margin-left:266.3pt;margin-top:233.2pt;width:195.95pt;height:24.4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" fillcolor="#002060" stroked="f" strokeweight="1pt"/>
                  </w:pict>
                </mc:Fallback>
              </mc:AlternateContent>
            </w:r>
            <w:r w:rsidRPr="000C465B">
              <w:rPr>
                <w:rFonts w:ascii="Calibri" w:hAnsi="Calibri"/>
                <w:noProof/>
              </w:rPr>
              <mc:AlternateContent>
                <mc:Choice Requires="wps">
                  <w:drawing>
                    <wp:anchor distT="0" distB="0" distL="114300" distR="114300" simplePos="0" relativeHeight="251658267" behindDoc="0" locked="0" layoutInCell="1" allowOverlap="1" wp14:anchorId="51A21DB5" wp14:editId="535A98EC">
                      <wp:simplePos x="0" y="0"/>
                      <wp:positionH relativeFrom="column">
                        <wp:posOffset>3453848</wp:posOffset>
                      </wp:positionH>
                      <wp:positionV relativeFrom="paragraph">
                        <wp:posOffset>2977405</wp:posOffset>
                      </wp:positionV>
                      <wp:extent cx="2361537" cy="261620"/>
                      <wp:effectExtent l="0" t="0" r="0" b="5080"/>
                      <wp:wrapNone/>
                      <wp:docPr id="390163268" name="Text Box 390163268"/>
                      <wp:cNvGraphicFramePr/>
                      <a:graphic xmlns:a="http://schemas.openxmlformats.org/drawingml/2006/main">
                        <a:graphicData uri="http://schemas.microsoft.com/office/word/2010/wordprocessingShape">
                          <wps:wsp>
                            <wps:cNvSpPr txBox="1"/>
                            <wps:spPr>
                              <a:xfrm>
                                <a:off x="0" y="0"/>
                                <a:ext cx="2361537" cy="261620"/>
                              </a:xfrm>
                              <a:prstGeom prst="rect">
                                <a:avLst/>
                              </a:prstGeom>
                              <a:noFill/>
                              <a:ln w="6350">
                                <a:noFill/>
                              </a:ln>
                            </wps:spPr>
                            <wps:txbx>
                              <w:txbxContent>
                                <w:p w14:paraId="621F417C" w14:textId="77777777" w:rsidR="000C465B" w:rsidRPr="0078570A" w:rsidRDefault="000C465B" w:rsidP="000C465B">
                                  <w:pPr>
                                    <w:pStyle w:val="NoSpacing"/>
                                    <w:jc w:val="center"/>
                                    <w:rPr>
                                      <w:b/>
                                      <w:color w:val="FFFFFF"/>
                                    </w:rPr>
                                  </w:pPr>
                                  <w:r w:rsidRPr="0078570A">
                                    <w:rPr>
                                      <w:b/>
                                      <w:color w:val="FFFFFF"/>
                                    </w:rPr>
                                    <w:t>Reconstituted Expression of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21DB5" id="Text Box 390163268" o:spid="_x0000_s1034" type="#_x0000_t202" style="position:absolute;margin-left:271.95pt;margin-top:234.45pt;width:185.95pt;height:20.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PxHAIAADM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" filled="f" stroked="f" strokeweight=".5pt">
                      <v:textbox>
                        <w:txbxContent>
                          <w:p w14:paraId="621F417C" w14:textId="77777777" w:rsidR="000C465B" w:rsidRPr="0078570A" w:rsidRDefault="000C465B" w:rsidP="000C465B">
                            <w:pPr>
                              <w:pStyle w:val="NoSpacing"/>
                              <w:jc w:val="center"/>
                              <w:rPr>
                                <w:b/>
                                <w:color w:val="FFFFFF"/>
                              </w:rPr>
                            </w:pPr>
                            <w:r w:rsidRPr="0078570A">
                              <w:rPr>
                                <w:b/>
                                <w:color w:val="FFFFFF"/>
                              </w:rPr>
                              <w:t>Reconstituted Expression of Quantity</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78" behindDoc="0" locked="0" layoutInCell="1" allowOverlap="1" wp14:anchorId="55A96C5A" wp14:editId="5FAE91A2">
                      <wp:simplePos x="0" y="0"/>
                      <wp:positionH relativeFrom="column">
                        <wp:posOffset>941236</wp:posOffset>
                      </wp:positionH>
                      <wp:positionV relativeFrom="paragraph">
                        <wp:posOffset>3120528</wp:posOffset>
                      </wp:positionV>
                      <wp:extent cx="2441050" cy="0"/>
                      <wp:effectExtent l="0" t="95250" r="0" b="95250"/>
                      <wp:wrapNone/>
                      <wp:docPr id="1993635707" name="Straight Arrow Connector 1993635707"/>
                      <wp:cNvGraphicFramePr/>
                      <a:graphic xmlns:a="http://schemas.openxmlformats.org/drawingml/2006/main">
                        <a:graphicData uri="http://schemas.microsoft.com/office/word/2010/wordprocessingShape">
                          <wps:wsp>
                            <wps:cNvCnPr/>
                            <wps:spPr>
                              <a:xfrm flipH="1">
                                <a:off x="0" y="0"/>
                                <a:ext cx="2441050" cy="0"/>
                              </a:xfrm>
                              <a:prstGeom prst="straightConnector1">
                                <a:avLst/>
                              </a:prstGeom>
                              <a:noFill/>
                              <a:ln w="38100" cap="flat" cmpd="sng" algn="ctr">
                                <a:solidFill>
                                  <a:srgbClr val="003E7E"/>
                                </a:solidFill>
                                <a:prstDash val="solid"/>
                                <a:tailEnd type="triangle"/>
                              </a:ln>
                              <a:effectLst/>
                            </wps:spPr>
                            <wps:bodyPr/>
                          </wps:wsp>
                        </a:graphicData>
                      </a:graphic>
                    </wp:anchor>
                  </w:drawing>
                </mc:Choice>
                <mc:Fallback>
                  <w:pict>
                    <v:shape w14:anchorId="07DD4866" id="Straight Arrow Connector 1993635707" o:spid="_x0000_s1026" type="#_x0000_t32" style="position:absolute;margin-left:74.1pt;margin-top:245.7pt;width:192.2pt;height:0;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" strokecolor="#003e7e" strokeweight="3pt">
                      <v:stroke endarrow="block"/>
                    </v:shape>
                  </w:pict>
                </mc:Fallback>
              </mc:AlternateContent>
            </w:r>
            <w:r w:rsidRPr="000C465B">
              <w:rPr>
                <w:rFonts w:ascii="Calibri" w:hAnsi="Calibri"/>
                <w:noProof/>
              </w:rPr>
              <w:drawing>
                <wp:inline distT="0" distB="0" distL="0" distR="0" wp14:anchorId="4715E4FE" wp14:editId="2DFEC8C1">
                  <wp:extent cx="3200400" cy="4114800"/>
                  <wp:effectExtent l="0" t="0" r="0" b="0"/>
                  <wp:docPr id="1837675192" name="Picture 183767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REQ-S3b-v1.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200400" cy="4114800"/>
                          </a:xfrm>
                          <a:prstGeom prst="rect">
                            <a:avLst/>
                          </a:prstGeom>
                        </pic:spPr>
                      </pic:pic>
                    </a:graphicData>
                  </a:graphic>
                </wp:inline>
              </w:drawing>
            </w:r>
          </w:p>
        </w:tc>
      </w:tr>
    </w:tbl>
    <w:p w14:paraId="5BC91180" w14:textId="77777777" w:rsidR="000C465B" w:rsidRPr="000C465B" w:rsidRDefault="000C465B" w:rsidP="000C465B">
      <w:pPr>
        <w:spacing w:after="200" w:line="276" w:lineRule="auto"/>
        <w:jc w:val="left"/>
        <w:rPr>
          <w:rFonts w:ascii="Calibri" w:hAnsi="Calibri"/>
          <w:sz w:val="22"/>
        </w:rPr>
      </w:pPr>
    </w:p>
    <w:p w14:paraId="74EC779A" w14:textId="77777777" w:rsidR="00810BDD" w:rsidRDefault="00810BDD" w:rsidP="000C465B">
      <w:pPr>
        <w:spacing w:after="200" w:line="276" w:lineRule="auto"/>
        <w:jc w:val="left"/>
        <w:rPr>
          <w:szCs w:val="20"/>
        </w:rPr>
      </w:pPr>
    </w:p>
    <w:p w14:paraId="7C53FA6E" w14:textId="77777777" w:rsidR="00810BDD" w:rsidRDefault="00810BDD" w:rsidP="000C465B">
      <w:pPr>
        <w:spacing w:after="200" w:line="276" w:lineRule="auto"/>
        <w:jc w:val="left"/>
        <w:rPr>
          <w:szCs w:val="20"/>
        </w:rPr>
      </w:pPr>
    </w:p>
    <w:p w14:paraId="4BB14B71" w14:textId="2EB54CE7" w:rsidR="000C465B" w:rsidRPr="000C465B" w:rsidRDefault="000C465B" w:rsidP="000C465B">
      <w:pPr>
        <w:spacing w:after="200" w:line="276" w:lineRule="auto"/>
        <w:jc w:val="left"/>
        <w:rPr>
          <w:szCs w:val="20"/>
        </w:rPr>
      </w:pPr>
      <w:r w:rsidRPr="000C465B">
        <w:rPr>
          <w:szCs w:val="20"/>
        </w:rPr>
        <w:lastRenderedPageBreak/>
        <w:t>Additional examples of a Reconstituted Expression of Quantity (REQ) would be:</w:t>
      </w:r>
    </w:p>
    <w:p w14:paraId="6BA81620" w14:textId="77777777" w:rsidR="000C465B" w:rsidRPr="000C465B" w:rsidRDefault="000C465B" w:rsidP="007169B6">
      <w:pPr>
        <w:numPr>
          <w:ilvl w:val="0"/>
          <w:numId w:val="72"/>
        </w:numPr>
        <w:spacing w:after="120" w:line="276" w:lineRule="auto"/>
        <w:contextualSpacing/>
        <w:jc w:val="left"/>
        <w:rPr>
          <w:rFonts w:eastAsia="Times New Roman"/>
          <w:szCs w:val="20"/>
        </w:rPr>
      </w:pPr>
      <w:r w:rsidRPr="000C465B">
        <w:rPr>
          <w:rFonts w:eastAsia="Times New Roman"/>
          <w:szCs w:val="20"/>
        </w:rPr>
        <w:t>Statement “Makes 12 Gallons” separately appearing on the PDP from the Declaration of Net Quantity reading “8 Ounces (226 Grams)”</w:t>
      </w:r>
    </w:p>
    <w:p w14:paraId="2A65AEEE" w14:textId="77777777" w:rsidR="000C465B" w:rsidRPr="000C465B" w:rsidRDefault="000C465B" w:rsidP="000C465B">
      <w:pPr>
        <w:spacing w:after="120"/>
        <w:ind w:left="720"/>
        <w:contextualSpacing/>
        <w:jc w:val="left"/>
        <w:rPr>
          <w:rFonts w:eastAsia="Times New Roman"/>
          <w:szCs w:val="20"/>
        </w:rPr>
      </w:pPr>
    </w:p>
    <w:p w14:paraId="19F4AA1E" w14:textId="77777777" w:rsidR="000C465B" w:rsidRPr="000C465B" w:rsidRDefault="000C465B" w:rsidP="007169B6">
      <w:pPr>
        <w:numPr>
          <w:ilvl w:val="0"/>
          <w:numId w:val="72"/>
        </w:numPr>
        <w:spacing w:after="120" w:line="276" w:lineRule="auto"/>
        <w:contextualSpacing/>
        <w:jc w:val="left"/>
        <w:rPr>
          <w:rFonts w:eastAsia="Times New Roman"/>
          <w:szCs w:val="20"/>
        </w:rPr>
      </w:pPr>
      <w:r w:rsidRPr="000C465B">
        <w:rPr>
          <w:rFonts w:eastAsia="Times New Roman"/>
          <w:szCs w:val="20"/>
        </w:rPr>
        <w:t>Statement “Makes 2 Liters” separately appearing on the PDP from the Declaration of Net Quantity reading “4 Ounces (113 Grams)”</w:t>
      </w:r>
    </w:p>
    <w:p w14:paraId="5A2F0994" w14:textId="77777777" w:rsidR="000C465B" w:rsidRPr="000C465B" w:rsidRDefault="000C465B" w:rsidP="000C465B">
      <w:pPr>
        <w:spacing w:after="120"/>
        <w:contextualSpacing/>
        <w:jc w:val="left"/>
        <w:rPr>
          <w:rFonts w:eastAsia="Times New Roman"/>
          <w:szCs w:val="20"/>
        </w:rPr>
      </w:pPr>
    </w:p>
    <w:p w14:paraId="598F53F2" w14:textId="77777777" w:rsidR="000C465B" w:rsidRPr="000C465B" w:rsidRDefault="000C465B" w:rsidP="007169B6">
      <w:pPr>
        <w:numPr>
          <w:ilvl w:val="0"/>
          <w:numId w:val="72"/>
        </w:numPr>
        <w:spacing w:after="120" w:line="276" w:lineRule="auto"/>
        <w:contextualSpacing/>
        <w:jc w:val="left"/>
        <w:rPr>
          <w:rFonts w:eastAsia="Times New Roman"/>
          <w:szCs w:val="20"/>
        </w:rPr>
      </w:pPr>
      <w:r w:rsidRPr="000C465B">
        <w:rPr>
          <w:rFonts w:eastAsia="Times New Roman"/>
          <w:szCs w:val="20"/>
        </w:rPr>
        <w:t>Statement “Makes 50 Liters” separately appearing on the PDP from the Declaration of Net Quantity reading “1.5 Liters (1.58 Quarts)”</w:t>
      </w:r>
    </w:p>
    <w:p w14:paraId="6A945B4E" w14:textId="77777777" w:rsidR="000C465B" w:rsidRPr="000C465B" w:rsidRDefault="000C465B" w:rsidP="000C465B">
      <w:pPr>
        <w:spacing w:after="120"/>
        <w:contextualSpacing/>
        <w:jc w:val="left"/>
        <w:rPr>
          <w:rFonts w:eastAsia="Times New Roman"/>
          <w:szCs w:val="20"/>
        </w:rPr>
      </w:pPr>
    </w:p>
    <w:p w14:paraId="587FAADB" w14:textId="77777777" w:rsidR="000C465B" w:rsidRPr="000C465B" w:rsidRDefault="000C465B" w:rsidP="007169B6">
      <w:pPr>
        <w:numPr>
          <w:ilvl w:val="0"/>
          <w:numId w:val="72"/>
        </w:numPr>
        <w:spacing w:after="120" w:line="276" w:lineRule="auto"/>
        <w:contextualSpacing/>
        <w:jc w:val="left"/>
        <w:rPr>
          <w:rFonts w:eastAsia="Times New Roman"/>
          <w:szCs w:val="20"/>
        </w:rPr>
      </w:pPr>
      <w:r w:rsidRPr="000C465B">
        <w:rPr>
          <w:rFonts w:eastAsia="Times New Roman"/>
          <w:szCs w:val="20"/>
        </w:rPr>
        <w:t>Statement “Makes 20 Quarts” separately appearing on the PDP from the Declaration of Net Quantity reading “1 Liter (1.05 Quart)”</w:t>
      </w:r>
    </w:p>
    <w:p w14:paraId="34CA8680" w14:textId="77777777" w:rsidR="000C465B" w:rsidRPr="000C465B" w:rsidRDefault="000C465B" w:rsidP="000C465B">
      <w:pPr>
        <w:spacing w:after="200" w:line="276" w:lineRule="auto"/>
        <w:jc w:val="left"/>
        <w:rPr>
          <w:b/>
          <w:szCs w:val="20"/>
        </w:rPr>
      </w:pPr>
    </w:p>
    <w:p w14:paraId="5896A867" w14:textId="77777777" w:rsidR="000C465B" w:rsidRPr="000C465B" w:rsidRDefault="000C465B" w:rsidP="000C465B">
      <w:pPr>
        <w:spacing w:after="200" w:line="276" w:lineRule="auto"/>
        <w:rPr>
          <w:szCs w:val="20"/>
        </w:rPr>
      </w:pPr>
      <w:r w:rsidRPr="000C465B">
        <w:rPr>
          <w:b/>
          <w:szCs w:val="20"/>
        </w:rPr>
        <w:t xml:space="preserve">3. </w:t>
      </w:r>
      <w:r w:rsidRPr="000C465B">
        <w:rPr>
          <w:b/>
          <w:szCs w:val="20"/>
          <w:u w:val="single"/>
        </w:rPr>
        <w:t>Derived Unit Expression (DUE)</w:t>
      </w:r>
      <w:r w:rsidRPr="000C465B">
        <w:rPr>
          <w:b/>
          <w:bCs/>
          <w:szCs w:val="20"/>
        </w:rPr>
        <w:t xml:space="preserve"> </w:t>
      </w:r>
      <w:r w:rsidRPr="000C465B">
        <w:rPr>
          <w:szCs w:val="20"/>
        </w:rPr>
        <w:t>– an exact expression appearing on the Principal Display Panel (PDP) in addition to the Declaration of Net Quantity (</w:t>
      </w:r>
      <w:proofErr w:type="spellStart"/>
      <w:r w:rsidRPr="000C465B">
        <w:rPr>
          <w:szCs w:val="20"/>
        </w:rPr>
        <w:t>DoNQ</w:t>
      </w:r>
      <w:proofErr w:type="spellEnd"/>
      <w:r w:rsidRPr="000C465B">
        <w:rPr>
          <w:szCs w:val="20"/>
        </w:rPr>
        <w:t xml:space="preserve">) which expresses a quantity in terms of a unit that is not a recognized unit of weight or measure within Legal Metrology or prevailing systems of measurement (e.g., the U.S. Customary or metric systems).  The derived unit may be based upon a recognized unit of measure and/or be based on a measurable factor related to consumer usage.  </w:t>
      </w:r>
    </w:p>
    <w:p w14:paraId="26C75155" w14:textId="77777777" w:rsidR="000C465B" w:rsidRPr="000C465B" w:rsidRDefault="000C465B" w:rsidP="000C465B">
      <w:pPr>
        <w:spacing w:after="200" w:line="276" w:lineRule="auto"/>
        <w:rPr>
          <w:szCs w:val="20"/>
        </w:rPr>
      </w:pPr>
      <w:r w:rsidRPr="000C465B">
        <w:rPr>
          <w:szCs w:val="20"/>
        </w:rPr>
        <w:t>In the package diagram below, the Derived Unit Expression (DUE) would be the “28 Doses” expression which is present on the PDP in addition to the required Declaration of Net Quantity.</w:t>
      </w:r>
    </w:p>
    <w:p w14:paraId="47880285" w14:textId="77777777" w:rsidR="000C465B" w:rsidRPr="000C465B" w:rsidRDefault="000C465B" w:rsidP="000C465B">
      <w:pPr>
        <w:spacing w:after="200" w:line="276" w:lineRule="auto"/>
        <w:jc w:val="left"/>
        <w:rPr>
          <w:rFonts w:ascii="Calibri" w:hAnsi="Calibri"/>
          <w:sz w:val="22"/>
        </w:rPr>
      </w:pPr>
    </w:p>
    <w:tbl>
      <w:tblPr>
        <w:tblStyle w:val="TableGrid22"/>
        <w:tblW w:w="0" w:type="auto"/>
        <w:tblLook w:val="04A0" w:firstRow="1" w:lastRow="0" w:firstColumn="1" w:lastColumn="0" w:noHBand="0" w:noVBand="1"/>
      </w:tblPr>
      <w:tblGrid>
        <w:gridCol w:w="9350"/>
      </w:tblGrid>
      <w:tr w:rsidR="000C465B" w:rsidRPr="000C465B" w14:paraId="7BF127B3" w14:textId="77777777" w:rsidTr="005F0F3E">
        <w:tc>
          <w:tcPr>
            <w:tcW w:w="9350" w:type="dxa"/>
            <w:tcBorders>
              <w:top w:val="nil"/>
              <w:left w:val="nil"/>
              <w:bottom w:val="nil"/>
              <w:right w:val="nil"/>
            </w:tcBorders>
          </w:tcPr>
          <w:p w14:paraId="47D57D96" w14:textId="77777777" w:rsidR="000C465B" w:rsidRPr="000C465B" w:rsidRDefault="000C465B" w:rsidP="000C465B">
            <w:pPr>
              <w:spacing w:after="0"/>
              <w:jc w:val="left"/>
              <w:rPr>
                <w:rFonts w:ascii="Calibri" w:hAnsi="Calibri"/>
              </w:rPr>
            </w:pPr>
            <w:r w:rsidRPr="000C465B">
              <w:rPr>
                <w:rFonts w:ascii="Calibri" w:hAnsi="Calibri"/>
                <w:noProof/>
              </w:rPr>
              <w:lastRenderedPageBreak/>
              <mc:AlternateContent>
                <mc:Choice Requires="wps">
                  <w:drawing>
                    <wp:anchor distT="0" distB="0" distL="114300" distR="114300" simplePos="0" relativeHeight="251658292" behindDoc="0" locked="0" layoutInCell="1" allowOverlap="1" wp14:anchorId="22685DD8" wp14:editId="18E4F71F">
                      <wp:simplePos x="0" y="0"/>
                      <wp:positionH relativeFrom="column">
                        <wp:posOffset>614680</wp:posOffset>
                      </wp:positionH>
                      <wp:positionV relativeFrom="paragraph">
                        <wp:posOffset>2236139</wp:posOffset>
                      </wp:positionV>
                      <wp:extent cx="2202511" cy="0"/>
                      <wp:effectExtent l="0" t="95250" r="0" b="95250"/>
                      <wp:wrapNone/>
                      <wp:docPr id="1587759225" name="Straight Arrow Connector 1587759225"/>
                      <wp:cNvGraphicFramePr/>
                      <a:graphic xmlns:a="http://schemas.openxmlformats.org/drawingml/2006/main">
                        <a:graphicData uri="http://schemas.microsoft.com/office/word/2010/wordprocessingShape">
                          <wps:wsp>
                            <wps:cNvCnPr/>
                            <wps:spPr>
                              <a:xfrm flipH="1">
                                <a:off x="0" y="0"/>
                                <a:ext cx="2202511" cy="0"/>
                              </a:xfrm>
                              <a:prstGeom prst="straightConnector1">
                                <a:avLst/>
                              </a:prstGeom>
                              <a:noFill/>
                              <a:ln w="38100" cap="flat" cmpd="sng" algn="ctr">
                                <a:solidFill>
                                  <a:srgbClr val="003E7E"/>
                                </a:solidFill>
                                <a:prstDash val="solid"/>
                                <a:tailEnd type="triangle"/>
                              </a:ln>
                              <a:effectLst/>
                            </wps:spPr>
                            <wps:bodyPr/>
                          </wps:wsp>
                        </a:graphicData>
                      </a:graphic>
                    </wp:anchor>
                  </w:drawing>
                </mc:Choice>
                <mc:Fallback>
                  <w:pict>
                    <v:shape w14:anchorId="25429834" id="Straight Arrow Connector 1587759225" o:spid="_x0000_s1026" type="#_x0000_t32" style="position:absolute;margin-left:48.4pt;margin-top:176.05pt;width:173.45pt;height:0;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" strokecolor="#003e7e"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69" behindDoc="0" locked="0" layoutInCell="1" allowOverlap="1" wp14:anchorId="22E916F6" wp14:editId="6322A5C5">
                      <wp:simplePos x="0" y="0"/>
                      <wp:positionH relativeFrom="column">
                        <wp:posOffset>2817495</wp:posOffset>
                      </wp:positionH>
                      <wp:positionV relativeFrom="paragraph">
                        <wp:posOffset>3548049</wp:posOffset>
                      </wp:positionV>
                      <wp:extent cx="1819910" cy="261620"/>
                      <wp:effectExtent l="0" t="0" r="0" b="5080"/>
                      <wp:wrapNone/>
                      <wp:docPr id="1615736380" name="Text Box 1615736380"/>
                      <wp:cNvGraphicFramePr/>
                      <a:graphic xmlns:a="http://schemas.openxmlformats.org/drawingml/2006/main">
                        <a:graphicData uri="http://schemas.microsoft.com/office/word/2010/wordprocessingShape">
                          <wps:wsp>
                            <wps:cNvSpPr txBox="1"/>
                            <wps:spPr>
                              <a:xfrm>
                                <a:off x="0" y="0"/>
                                <a:ext cx="1819910" cy="261620"/>
                              </a:xfrm>
                              <a:prstGeom prst="rect">
                                <a:avLst/>
                              </a:prstGeom>
                              <a:noFill/>
                              <a:ln w="6350">
                                <a:noFill/>
                              </a:ln>
                            </wps:spPr>
                            <wps:txbx>
                              <w:txbxContent>
                                <w:p w14:paraId="3C6675C9"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E916F6" id="Text Box 1615736380" o:spid="_x0000_s1035" type="#_x0000_t202" style="position:absolute;margin-left:221.85pt;margin-top:279.35pt;width:143.3pt;height:20.6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" filled="f" stroked="f" strokeweight=".5pt">
                      <v:textbox>
                        <w:txbxContent>
                          <w:p w14:paraId="3C6675C9"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68" behindDoc="0" locked="0" layoutInCell="1" allowOverlap="1" wp14:anchorId="433E5E91" wp14:editId="4ABEBF03">
                      <wp:simplePos x="0" y="0"/>
                      <wp:positionH relativeFrom="column">
                        <wp:posOffset>2690495</wp:posOffset>
                      </wp:positionH>
                      <wp:positionV relativeFrom="paragraph">
                        <wp:posOffset>3532174</wp:posOffset>
                      </wp:positionV>
                      <wp:extent cx="2051050" cy="309880"/>
                      <wp:effectExtent l="0" t="0" r="6350" b="0"/>
                      <wp:wrapNone/>
                      <wp:docPr id="1076865049" name="Rectangle 1076865049"/>
                      <wp:cNvGraphicFramePr/>
                      <a:graphic xmlns:a="http://schemas.openxmlformats.org/drawingml/2006/main">
                        <a:graphicData uri="http://schemas.microsoft.com/office/word/2010/wordprocessingShape">
                          <wps:wsp>
                            <wps:cNvSpPr/>
                            <wps:spPr>
                              <a:xfrm>
                                <a:off x="0" y="0"/>
                                <a:ext cx="2051050" cy="309880"/>
                              </a:xfrm>
                              <a:prstGeom prst="rect">
                                <a:avLst/>
                              </a:prstGeom>
                              <a:solidFill>
                                <a:srgbClr val="C0504D"/>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305A24" id="Rectangle 1076865049" o:spid="_x0000_s1026" style="position:absolute;margin-left:211.85pt;margin-top:278.1pt;width:161.5pt;height:24.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" fillcolor="#c0504d" stroked="f" strokeweight="1pt"/>
                  </w:pict>
                </mc:Fallback>
              </mc:AlternateContent>
            </w:r>
            <w:r w:rsidRPr="000C465B">
              <w:rPr>
                <w:rFonts w:ascii="Calibri" w:hAnsi="Calibri"/>
                <w:noProof/>
              </w:rPr>
              <mc:AlternateContent>
                <mc:Choice Requires="wps">
                  <w:drawing>
                    <wp:anchor distT="0" distB="0" distL="114300" distR="114300" simplePos="0" relativeHeight="251658284" behindDoc="0" locked="0" layoutInCell="1" allowOverlap="1" wp14:anchorId="12B2A3DE" wp14:editId="6A4543F4">
                      <wp:simplePos x="0" y="0"/>
                      <wp:positionH relativeFrom="column">
                        <wp:posOffset>1982857</wp:posOffset>
                      </wp:positionH>
                      <wp:positionV relativeFrom="paragraph">
                        <wp:posOffset>3684160</wp:posOffset>
                      </wp:positionV>
                      <wp:extent cx="755373" cy="0"/>
                      <wp:effectExtent l="0" t="95250" r="0" b="95250"/>
                      <wp:wrapNone/>
                      <wp:docPr id="1238065504" name="Straight Arrow Connector 1238065504"/>
                      <wp:cNvGraphicFramePr/>
                      <a:graphic xmlns:a="http://schemas.openxmlformats.org/drawingml/2006/main">
                        <a:graphicData uri="http://schemas.microsoft.com/office/word/2010/wordprocessingShape">
                          <wps:wsp>
                            <wps:cNvCnPr/>
                            <wps:spPr>
                              <a:xfrm flipH="1">
                                <a:off x="0" y="0"/>
                                <a:ext cx="755373" cy="0"/>
                              </a:xfrm>
                              <a:prstGeom prst="straightConnector1">
                                <a:avLst/>
                              </a:prstGeom>
                              <a:noFill/>
                              <a:ln w="38100" cap="flat" cmpd="sng" algn="ctr">
                                <a:solidFill>
                                  <a:srgbClr val="C0504D"/>
                                </a:solidFill>
                                <a:prstDash val="solid"/>
                                <a:tailEnd type="triangle"/>
                              </a:ln>
                              <a:effectLst/>
                            </wps:spPr>
                            <wps:bodyPr/>
                          </wps:wsp>
                        </a:graphicData>
                      </a:graphic>
                    </wp:anchor>
                  </w:drawing>
                </mc:Choice>
                <mc:Fallback>
                  <w:pict>
                    <v:shape w14:anchorId="157814AB" id="Straight Arrow Connector 1238065504" o:spid="_x0000_s1026" type="#_x0000_t32" style="position:absolute;margin-left:156.15pt;margin-top:290.1pt;width:59.5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" strokecolor="#c0504d"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71" behindDoc="0" locked="0" layoutInCell="1" allowOverlap="1" wp14:anchorId="7E4CCC57" wp14:editId="63482A9A">
                      <wp:simplePos x="0" y="0"/>
                      <wp:positionH relativeFrom="column">
                        <wp:posOffset>2908300</wp:posOffset>
                      </wp:positionH>
                      <wp:positionV relativeFrom="paragraph">
                        <wp:posOffset>2101215</wp:posOffset>
                      </wp:positionV>
                      <wp:extent cx="1613535" cy="261620"/>
                      <wp:effectExtent l="0" t="0" r="0" b="5080"/>
                      <wp:wrapNone/>
                      <wp:docPr id="1046970441" name="Text Box 1046970441"/>
                      <wp:cNvGraphicFramePr/>
                      <a:graphic xmlns:a="http://schemas.openxmlformats.org/drawingml/2006/main">
                        <a:graphicData uri="http://schemas.microsoft.com/office/word/2010/wordprocessingShape">
                          <wps:wsp>
                            <wps:cNvSpPr txBox="1"/>
                            <wps:spPr>
                              <a:xfrm>
                                <a:off x="0" y="0"/>
                                <a:ext cx="1613535" cy="261620"/>
                              </a:xfrm>
                              <a:prstGeom prst="rect">
                                <a:avLst/>
                              </a:prstGeom>
                              <a:noFill/>
                              <a:ln w="6350">
                                <a:noFill/>
                              </a:ln>
                            </wps:spPr>
                            <wps:txbx>
                              <w:txbxContent>
                                <w:p w14:paraId="33B23E05" w14:textId="77777777" w:rsidR="000C465B" w:rsidRPr="0078570A" w:rsidRDefault="000C465B" w:rsidP="000C465B">
                                  <w:pPr>
                                    <w:pStyle w:val="NoSpacing"/>
                                    <w:jc w:val="center"/>
                                    <w:rPr>
                                      <w:b/>
                                      <w:color w:val="FFFFFF"/>
                                    </w:rPr>
                                  </w:pPr>
                                  <w:r w:rsidRPr="0078570A">
                                    <w:rPr>
                                      <w:b/>
                                      <w:color w:val="FFFFFF"/>
                                    </w:rPr>
                                    <w:t>Derived Unit Expression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CCC57" id="Text Box 1046970441" o:spid="_x0000_s1036" type="#_x0000_t202" style="position:absolute;margin-left:229pt;margin-top:165.45pt;width:127.05pt;height:20.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" filled="f" stroked="f" strokeweight=".5pt">
                      <v:textbox>
                        <w:txbxContent>
                          <w:p w14:paraId="33B23E05" w14:textId="77777777" w:rsidR="000C465B" w:rsidRPr="0078570A" w:rsidRDefault="000C465B" w:rsidP="000C465B">
                            <w:pPr>
                              <w:pStyle w:val="NoSpacing"/>
                              <w:jc w:val="center"/>
                              <w:rPr>
                                <w:b/>
                                <w:color w:val="FFFFFF"/>
                              </w:rPr>
                            </w:pPr>
                            <w:r w:rsidRPr="0078570A">
                              <w:rPr>
                                <w:b/>
                                <w:color w:val="FFFFFF"/>
                              </w:rPr>
                              <w:t>Derived Unit Expression</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70" behindDoc="0" locked="0" layoutInCell="1" allowOverlap="1" wp14:anchorId="62973FAB" wp14:editId="5F726846">
                      <wp:simplePos x="0" y="0"/>
                      <wp:positionH relativeFrom="column">
                        <wp:posOffset>2817495</wp:posOffset>
                      </wp:positionH>
                      <wp:positionV relativeFrom="paragraph">
                        <wp:posOffset>2085340</wp:posOffset>
                      </wp:positionV>
                      <wp:extent cx="1796388" cy="309880"/>
                      <wp:effectExtent l="0" t="0" r="0" b="0"/>
                      <wp:wrapNone/>
                      <wp:docPr id="826734751" name="Rectangle 826734751"/>
                      <wp:cNvGraphicFramePr/>
                      <a:graphic xmlns:a="http://schemas.openxmlformats.org/drawingml/2006/main">
                        <a:graphicData uri="http://schemas.microsoft.com/office/word/2010/wordprocessingShape">
                          <wps:wsp>
                            <wps:cNvSpPr/>
                            <wps:spPr>
                              <a:xfrm>
                                <a:off x="0" y="0"/>
                                <a:ext cx="1796388" cy="309880"/>
                              </a:xfrm>
                              <a:prstGeom prst="rect">
                                <a:avLst/>
                              </a:prstGeom>
                              <a:solidFill>
                                <a:srgbClr val="003E7E"/>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062ED4" id="Rectangle 826734751" o:spid="_x0000_s1026" style="position:absolute;margin-left:221.85pt;margin-top:164.2pt;width:141.45pt;height:24.4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" fillcolor="#003e7e" stroked="f" strokeweight="1pt"/>
                  </w:pict>
                </mc:Fallback>
              </mc:AlternateContent>
            </w:r>
            <w:r w:rsidRPr="000C465B">
              <w:rPr>
                <w:rFonts w:ascii="Calibri" w:hAnsi="Calibri"/>
                <w:noProof/>
              </w:rPr>
              <w:drawing>
                <wp:inline distT="0" distB="0" distL="0" distR="0" wp14:anchorId="43172783" wp14:editId="6A539D83">
                  <wp:extent cx="2194560" cy="4572000"/>
                  <wp:effectExtent l="0" t="0" r="0" b="0"/>
                  <wp:docPr id="882842173" name="Picture 882842173" descr="D:\NCWM\PALS Diagrams\Set 4\5-DUE\DUE-S5a-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CWM\PALS Diagrams\Set 4\5-DUE\DUE-S5a-v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94560" cy="4572000"/>
                          </a:xfrm>
                          <a:prstGeom prst="rect">
                            <a:avLst/>
                          </a:prstGeom>
                          <a:noFill/>
                          <a:ln>
                            <a:noFill/>
                          </a:ln>
                        </pic:spPr>
                      </pic:pic>
                    </a:graphicData>
                  </a:graphic>
                </wp:inline>
              </w:drawing>
            </w:r>
          </w:p>
          <w:p w14:paraId="643FB217" w14:textId="77777777" w:rsidR="000C465B" w:rsidRPr="000C465B" w:rsidRDefault="000C465B" w:rsidP="000C465B">
            <w:pPr>
              <w:spacing w:after="0"/>
              <w:jc w:val="left"/>
              <w:rPr>
                <w:rFonts w:ascii="Calibri" w:hAnsi="Calibri"/>
              </w:rPr>
            </w:pPr>
          </w:p>
          <w:p w14:paraId="7AA00AF2" w14:textId="77777777" w:rsidR="000C465B" w:rsidRPr="000C465B" w:rsidRDefault="000C465B" w:rsidP="000C465B">
            <w:pPr>
              <w:spacing w:after="0"/>
              <w:jc w:val="left"/>
              <w:rPr>
                <w:rFonts w:ascii="Calibri" w:hAnsi="Calibri"/>
              </w:rPr>
            </w:pPr>
          </w:p>
          <w:p w14:paraId="68D0EA03" w14:textId="77777777" w:rsidR="000C465B" w:rsidRPr="000C465B" w:rsidRDefault="000C465B" w:rsidP="000C465B">
            <w:pPr>
              <w:spacing w:after="0"/>
              <w:jc w:val="left"/>
              <w:rPr>
                <w:rFonts w:ascii="Calibri" w:hAnsi="Calibri"/>
              </w:rPr>
            </w:pPr>
          </w:p>
          <w:p w14:paraId="31AE57EC" w14:textId="77777777" w:rsidR="000C465B" w:rsidRPr="000C465B" w:rsidRDefault="000C465B" w:rsidP="000C465B">
            <w:pPr>
              <w:spacing w:after="0"/>
              <w:jc w:val="left"/>
              <w:rPr>
                <w:rFonts w:ascii="Calibri" w:hAnsi="Calibri"/>
              </w:rPr>
            </w:pPr>
          </w:p>
          <w:p w14:paraId="086FC29E" w14:textId="77777777" w:rsidR="000C465B" w:rsidRPr="000C465B" w:rsidRDefault="000C465B" w:rsidP="000C465B">
            <w:pPr>
              <w:spacing w:after="200" w:line="276" w:lineRule="auto"/>
              <w:jc w:val="left"/>
            </w:pPr>
          </w:p>
          <w:p w14:paraId="4289DE9F" w14:textId="77777777" w:rsidR="000C465B" w:rsidRPr="000C465B" w:rsidRDefault="000C465B" w:rsidP="000C465B">
            <w:pPr>
              <w:spacing w:after="200" w:line="276" w:lineRule="auto"/>
              <w:jc w:val="left"/>
            </w:pPr>
          </w:p>
          <w:p w14:paraId="3E2E4E95" w14:textId="77777777" w:rsidR="000C465B" w:rsidRPr="000C465B" w:rsidRDefault="000C465B" w:rsidP="000C465B">
            <w:pPr>
              <w:spacing w:after="200" w:line="276" w:lineRule="auto"/>
              <w:jc w:val="left"/>
            </w:pPr>
          </w:p>
          <w:p w14:paraId="11897549" w14:textId="77777777" w:rsidR="000C465B" w:rsidRPr="000C465B" w:rsidRDefault="000C465B" w:rsidP="000C465B">
            <w:pPr>
              <w:spacing w:after="200" w:line="276" w:lineRule="auto"/>
              <w:jc w:val="left"/>
            </w:pPr>
          </w:p>
          <w:p w14:paraId="61652C1D" w14:textId="77777777" w:rsidR="000C465B" w:rsidRPr="000C465B" w:rsidRDefault="000C465B" w:rsidP="000C465B">
            <w:pPr>
              <w:spacing w:after="200" w:line="276" w:lineRule="auto"/>
              <w:rPr>
                <w:sz w:val="20"/>
                <w:szCs w:val="20"/>
              </w:rPr>
            </w:pPr>
            <w:r w:rsidRPr="000C465B">
              <w:rPr>
                <w:sz w:val="20"/>
                <w:szCs w:val="20"/>
              </w:rPr>
              <w:t>In the following package diagram, the Derived Unit Expression (DUE) would be the “20 Loads” expression which is present on the PDP in addition to the required Declaration of Net Quantity.</w:t>
            </w:r>
          </w:p>
          <w:p w14:paraId="015A3007" w14:textId="77777777" w:rsidR="000C465B" w:rsidRPr="000C465B" w:rsidRDefault="000C465B" w:rsidP="000C465B">
            <w:pPr>
              <w:spacing w:after="0"/>
              <w:jc w:val="left"/>
              <w:rPr>
                <w:rFonts w:ascii="Calibri" w:hAnsi="Calibri"/>
              </w:rPr>
            </w:pPr>
          </w:p>
        </w:tc>
      </w:tr>
      <w:tr w:rsidR="000C465B" w:rsidRPr="000C465B" w14:paraId="52DA138D" w14:textId="77777777" w:rsidTr="005F0F3E">
        <w:tc>
          <w:tcPr>
            <w:tcW w:w="9350" w:type="dxa"/>
            <w:tcBorders>
              <w:top w:val="nil"/>
              <w:left w:val="nil"/>
              <w:bottom w:val="nil"/>
              <w:right w:val="nil"/>
            </w:tcBorders>
          </w:tcPr>
          <w:p w14:paraId="6D8CEFD8" w14:textId="77777777" w:rsidR="000C465B" w:rsidRPr="000C465B" w:rsidRDefault="000C465B" w:rsidP="000C465B">
            <w:pPr>
              <w:spacing w:after="0"/>
              <w:jc w:val="left"/>
              <w:rPr>
                <w:rFonts w:ascii="Calibri" w:hAnsi="Calibri"/>
              </w:rPr>
            </w:pPr>
            <w:r w:rsidRPr="000C465B">
              <w:rPr>
                <w:rFonts w:ascii="Calibri" w:hAnsi="Calibri"/>
                <w:noProof/>
              </w:rPr>
              <w:lastRenderedPageBreak/>
              <mc:AlternateContent>
                <mc:Choice Requires="wps">
                  <w:drawing>
                    <wp:anchor distT="0" distB="0" distL="114300" distR="114300" simplePos="0" relativeHeight="251658285" behindDoc="0" locked="0" layoutInCell="1" allowOverlap="1" wp14:anchorId="24CE8B06" wp14:editId="22B83641">
                      <wp:simplePos x="0" y="0"/>
                      <wp:positionH relativeFrom="column">
                        <wp:posOffset>2204085</wp:posOffset>
                      </wp:positionH>
                      <wp:positionV relativeFrom="paragraph">
                        <wp:posOffset>4100195</wp:posOffset>
                      </wp:positionV>
                      <wp:extent cx="1423035" cy="0"/>
                      <wp:effectExtent l="0" t="95250" r="0" b="95250"/>
                      <wp:wrapNone/>
                      <wp:docPr id="1676994836" name="Straight Arrow Connector 1676994836"/>
                      <wp:cNvGraphicFramePr/>
                      <a:graphic xmlns:a="http://schemas.openxmlformats.org/drawingml/2006/main">
                        <a:graphicData uri="http://schemas.microsoft.com/office/word/2010/wordprocessingShape">
                          <wps:wsp>
                            <wps:cNvCnPr/>
                            <wps:spPr>
                              <a:xfrm flipH="1">
                                <a:off x="0" y="0"/>
                                <a:ext cx="1423035" cy="0"/>
                              </a:xfrm>
                              <a:prstGeom prst="straightConnector1">
                                <a:avLst/>
                              </a:prstGeom>
                              <a:noFill/>
                              <a:ln w="38100" cap="flat" cmpd="sng" algn="ctr">
                                <a:solidFill>
                                  <a:srgbClr val="C0504D">
                                    <a:shade val="95000"/>
                                    <a:satMod val="105000"/>
                                  </a:srgbClr>
                                </a:solidFill>
                                <a:prstDash val="solid"/>
                                <a:tailEnd type="triangle"/>
                              </a:ln>
                              <a:effectLst/>
                            </wps:spPr>
                            <wps:bodyPr/>
                          </wps:wsp>
                        </a:graphicData>
                      </a:graphic>
                    </wp:anchor>
                  </w:drawing>
                </mc:Choice>
                <mc:Fallback>
                  <w:pict>
                    <v:shape w14:anchorId="17FCB5D4" id="Straight Arrow Connector 1676994836" o:spid="_x0000_s1026" type="#_x0000_t32" style="position:absolute;margin-left:173.55pt;margin-top:322.85pt;width:112.0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" strokecolor="#be4b48"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86" behindDoc="0" locked="0" layoutInCell="1" allowOverlap="1" wp14:anchorId="1006239F" wp14:editId="56915397">
                      <wp:simplePos x="0" y="0"/>
                      <wp:positionH relativeFrom="column">
                        <wp:posOffset>2205493</wp:posOffset>
                      </wp:positionH>
                      <wp:positionV relativeFrom="paragraph">
                        <wp:posOffset>3745064</wp:posOffset>
                      </wp:positionV>
                      <wp:extent cx="1423035" cy="0"/>
                      <wp:effectExtent l="0" t="95250" r="0" b="95250"/>
                      <wp:wrapNone/>
                      <wp:docPr id="517396872" name="Straight Arrow Connector 517396872"/>
                      <wp:cNvGraphicFramePr/>
                      <a:graphic xmlns:a="http://schemas.openxmlformats.org/drawingml/2006/main">
                        <a:graphicData uri="http://schemas.microsoft.com/office/word/2010/wordprocessingShape">
                          <wps:wsp>
                            <wps:cNvCnPr/>
                            <wps:spPr>
                              <a:xfrm flipH="1">
                                <a:off x="0" y="0"/>
                                <a:ext cx="1423035" cy="0"/>
                              </a:xfrm>
                              <a:prstGeom prst="straightConnector1">
                                <a:avLst/>
                              </a:prstGeom>
                              <a:noFill/>
                              <a:ln w="38100" cap="flat" cmpd="sng" algn="ctr">
                                <a:solidFill>
                                  <a:srgbClr val="003E7E"/>
                                </a:solidFill>
                                <a:prstDash val="solid"/>
                                <a:tailEnd type="triangle"/>
                              </a:ln>
                              <a:effectLst/>
                            </wps:spPr>
                            <wps:bodyPr/>
                          </wps:wsp>
                        </a:graphicData>
                      </a:graphic>
                    </wp:anchor>
                  </w:drawing>
                </mc:Choice>
                <mc:Fallback>
                  <w:pict>
                    <v:shape w14:anchorId="61E7EF9E" id="Straight Arrow Connector 517396872" o:spid="_x0000_s1026" type="#_x0000_t32" style="position:absolute;margin-left:173.65pt;margin-top:294.9pt;width:112.05pt;height:0;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" strokecolor="#003e7e"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58" behindDoc="0" locked="0" layoutInCell="1" allowOverlap="1" wp14:anchorId="2040B6FA" wp14:editId="6DB8569B">
                      <wp:simplePos x="0" y="0"/>
                      <wp:positionH relativeFrom="column">
                        <wp:posOffset>3589020</wp:posOffset>
                      </wp:positionH>
                      <wp:positionV relativeFrom="paragraph">
                        <wp:posOffset>3973195</wp:posOffset>
                      </wp:positionV>
                      <wp:extent cx="1819910" cy="261620"/>
                      <wp:effectExtent l="0" t="0" r="0" b="5080"/>
                      <wp:wrapNone/>
                      <wp:docPr id="1260685466" name="Text Box 1260685466"/>
                      <wp:cNvGraphicFramePr/>
                      <a:graphic xmlns:a="http://schemas.openxmlformats.org/drawingml/2006/main">
                        <a:graphicData uri="http://schemas.microsoft.com/office/word/2010/wordprocessingShape">
                          <wps:wsp>
                            <wps:cNvSpPr txBox="1"/>
                            <wps:spPr>
                              <a:xfrm>
                                <a:off x="0" y="0"/>
                                <a:ext cx="1819910" cy="261620"/>
                              </a:xfrm>
                              <a:prstGeom prst="rect">
                                <a:avLst/>
                              </a:prstGeom>
                              <a:noFill/>
                              <a:ln w="6350">
                                <a:noFill/>
                              </a:ln>
                            </wps:spPr>
                            <wps:txbx>
                              <w:txbxContent>
                                <w:p w14:paraId="650C5B9F"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40B6FA" id="Text Box 1260685466" o:spid="_x0000_s1037" type="#_x0000_t202" style="position:absolute;margin-left:282.6pt;margin-top:312.85pt;width:143.3pt;height:20.6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" filled="f" stroked="f" strokeweight=".5pt">
                      <v:textbox>
                        <w:txbxContent>
                          <w:p w14:paraId="650C5B9F"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57" behindDoc="0" locked="0" layoutInCell="1" allowOverlap="1" wp14:anchorId="53DF6494" wp14:editId="3C226DBD">
                      <wp:simplePos x="0" y="0"/>
                      <wp:positionH relativeFrom="column">
                        <wp:posOffset>3604895</wp:posOffset>
                      </wp:positionH>
                      <wp:positionV relativeFrom="paragraph">
                        <wp:posOffset>3949065</wp:posOffset>
                      </wp:positionV>
                      <wp:extent cx="1803400" cy="309880"/>
                      <wp:effectExtent l="0" t="0" r="6350" b="0"/>
                      <wp:wrapNone/>
                      <wp:docPr id="343601514" name="Rectangle 343601514"/>
                      <wp:cNvGraphicFramePr/>
                      <a:graphic xmlns:a="http://schemas.openxmlformats.org/drawingml/2006/main">
                        <a:graphicData uri="http://schemas.microsoft.com/office/word/2010/wordprocessingShape">
                          <wps:wsp>
                            <wps:cNvSpPr/>
                            <wps:spPr>
                              <a:xfrm>
                                <a:off x="0" y="0"/>
                                <a:ext cx="1803400" cy="309880"/>
                              </a:xfrm>
                              <a:prstGeom prst="rect">
                                <a:avLst/>
                              </a:prstGeom>
                              <a:solidFill>
                                <a:srgbClr val="C0504D"/>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E9B004" id="Rectangle 343601514" o:spid="_x0000_s1026" style="position:absolute;margin-left:283.85pt;margin-top:310.95pt;width:142pt;height:24.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" fillcolor="#c0504d" stroked="f" strokeweight="1pt"/>
                  </w:pict>
                </mc:Fallback>
              </mc:AlternateContent>
            </w:r>
            <w:r w:rsidRPr="000C465B">
              <w:rPr>
                <w:rFonts w:ascii="Calibri" w:hAnsi="Calibri"/>
                <w:noProof/>
              </w:rPr>
              <mc:AlternateContent>
                <mc:Choice Requires="wps">
                  <w:drawing>
                    <wp:anchor distT="0" distB="0" distL="114300" distR="114300" simplePos="0" relativeHeight="251658280" behindDoc="0" locked="0" layoutInCell="1" allowOverlap="1" wp14:anchorId="0FD8BBB0" wp14:editId="08A5021E">
                      <wp:simplePos x="0" y="0"/>
                      <wp:positionH relativeFrom="column">
                        <wp:posOffset>3601720</wp:posOffset>
                      </wp:positionH>
                      <wp:positionV relativeFrom="paragraph">
                        <wp:posOffset>3585845</wp:posOffset>
                      </wp:positionV>
                      <wp:extent cx="1795780" cy="309880"/>
                      <wp:effectExtent l="0" t="0" r="0" b="0"/>
                      <wp:wrapNone/>
                      <wp:docPr id="1374193665" name="Rectangle 1374193665"/>
                      <wp:cNvGraphicFramePr/>
                      <a:graphic xmlns:a="http://schemas.openxmlformats.org/drawingml/2006/main">
                        <a:graphicData uri="http://schemas.microsoft.com/office/word/2010/wordprocessingShape">
                          <wps:wsp>
                            <wps:cNvSpPr/>
                            <wps:spPr>
                              <a:xfrm>
                                <a:off x="0" y="0"/>
                                <a:ext cx="1795780" cy="309880"/>
                              </a:xfrm>
                              <a:prstGeom prst="rect">
                                <a:avLst/>
                              </a:prstGeom>
                              <a:solidFill>
                                <a:srgbClr val="003E7E"/>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2A6D3E" id="Rectangle 1374193665" o:spid="_x0000_s1026" style="position:absolute;margin-left:283.6pt;margin-top:282.35pt;width:141.4pt;height:24.4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" fillcolor="#003e7e" stroked="f" strokeweight="1pt"/>
                  </w:pict>
                </mc:Fallback>
              </mc:AlternateContent>
            </w:r>
            <w:r w:rsidRPr="000C465B">
              <w:rPr>
                <w:rFonts w:ascii="Calibri" w:hAnsi="Calibri"/>
                <w:noProof/>
              </w:rPr>
              <mc:AlternateContent>
                <mc:Choice Requires="wps">
                  <w:drawing>
                    <wp:anchor distT="0" distB="0" distL="114300" distR="114300" simplePos="0" relativeHeight="251658281" behindDoc="0" locked="0" layoutInCell="1" allowOverlap="1" wp14:anchorId="3D4EEEB3" wp14:editId="18280C8A">
                      <wp:simplePos x="0" y="0"/>
                      <wp:positionH relativeFrom="column">
                        <wp:posOffset>3696335</wp:posOffset>
                      </wp:positionH>
                      <wp:positionV relativeFrom="paragraph">
                        <wp:posOffset>3601720</wp:posOffset>
                      </wp:positionV>
                      <wp:extent cx="1613535" cy="261620"/>
                      <wp:effectExtent l="0" t="0" r="0" b="5080"/>
                      <wp:wrapNone/>
                      <wp:docPr id="372928994" name="Text Box 372928994"/>
                      <wp:cNvGraphicFramePr/>
                      <a:graphic xmlns:a="http://schemas.openxmlformats.org/drawingml/2006/main">
                        <a:graphicData uri="http://schemas.microsoft.com/office/word/2010/wordprocessingShape">
                          <wps:wsp>
                            <wps:cNvSpPr txBox="1"/>
                            <wps:spPr>
                              <a:xfrm>
                                <a:off x="0" y="0"/>
                                <a:ext cx="1613535" cy="261620"/>
                              </a:xfrm>
                              <a:prstGeom prst="rect">
                                <a:avLst/>
                              </a:prstGeom>
                              <a:noFill/>
                              <a:ln w="6350">
                                <a:noFill/>
                              </a:ln>
                            </wps:spPr>
                            <wps:txbx>
                              <w:txbxContent>
                                <w:p w14:paraId="496DD369" w14:textId="77777777" w:rsidR="000C465B" w:rsidRPr="0078570A" w:rsidRDefault="000C465B" w:rsidP="000C465B">
                                  <w:pPr>
                                    <w:pStyle w:val="NoSpacing"/>
                                    <w:jc w:val="center"/>
                                    <w:rPr>
                                      <w:b/>
                                      <w:color w:val="FFFFFF"/>
                                    </w:rPr>
                                  </w:pPr>
                                  <w:r w:rsidRPr="0078570A">
                                    <w:rPr>
                                      <w:b/>
                                      <w:color w:val="FFFFFF"/>
                                    </w:rPr>
                                    <w:t>Derived Unit Expression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EEEB3" id="Text Box 372928994" o:spid="_x0000_s1038" type="#_x0000_t202" style="position:absolute;margin-left:291.05pt;margin-top:283.6pt;width:127.05pt;height:20.6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" filled="f" stroked="f" strokeweight=".5pt">
                      <v:textbox>
                        <w:txbxContent>
                          <w:p w14:paraId="496DD369" w14:textId="77777777" w:rsidR="000C465B" w:rsidRPr="0078570A" w:rsidRDefault="000C465B" w:rsidP="000C465B">
                            <w:pPr>
                              <w:pStyle w:val="NoSpacing"/>
                              <w:jc w:val="center"/>
                              <w:rPr>
                                <w:b/>
                                <w:color w:val="FFFFFF"/>
                              </w:rPr>
                            </w:pPr>
                            <w:r w:rsidRPr="0078570A">
                              <w:rPr>
                                <w:b/>
                                <w:color w:val="FFFFFF"/>
                              </w:rPr>
                              <w:t>Derived Unit Expression</w:t>
                            </w:r>
                          </w:p>
                        </w:txbxContent>
                      </v:textbox>
                    </v:shape>
                  </w:pict>
                </mc:Fallback>
              </mc:AlternateContent>
            </w:r>
            <w:r w:rsidRPr="000C465B">
              <w:rPr>
                <w:rFonts w:ascii="Calibri" w:hAnsi="Calibri"/>
                <w:noProof/>
              </w:rPr>
              <w:drawing>
                <wp:inline distT="0" distB="0" distL="0" distR="0" wp14:anchorId="5375D6DC" wp14:editId="6AC08FC2">
                  <wp:extent cx="2924522" cy="5029200"/>
                  <wp:effectExtent l="0" t="0" r="9525" b="0"/>
                  <wp:docPr id="157046127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61278" name="Picture 1570461278"/>
                          <pic:cNvPicPr/>
                        </pic:nvPicPr>
                        <pic:blipFill>
                          <a:blip r:embed="rId54">
                            <a:extLst>
                              <a:ext uri="{28A0092B-C50C-407E-A947-70E740481C1C}">
                                <a14:useLocalDpi xmlns:a14="http://schemas.microsoft.com/office/drawing/2010/main" val="0"/>
                              </a:ext>
                            </a:extLst>
                          </a:blip>
                          <a:stretch>
                            <a:fillRect/>
                          </a:stretch>
                        </pic:blipFill>
                        <pic:spPr>
                          <a:xfrm>
                            <a:off x="0" y="0"/>
                            <a:ext cx="2932926" cy="5043652"/>
                          </a:xfrm>
                          <a:prstGeom prst="rect">
                            <a:avLst/>
                          </a:prstGeom>
                        </pic:spPr>
                      </pic:pic>
                    </a:graphicData>
                  </a:graphic>
                </wp:inline>
              </w:drawing>
            </w:r>
          </w:p>
        </w:tc>
      </w:tr>
    </w:tbl>
    <w:p w14:paraId="132CD939" w14:textId="77777777" w:rsidR="000C465B" w:rsidRPr="000C465B" w:rsidRDefault="000C465B" w:rsidP="000C465B">
      <w:pPr>
        <w:spacing w:after="200" w:line="276" w:lineRule="auto"/>
        <w:jc w:val="left"/>
        <w:rPr>
          <w:rFonts w:ascii="Calibri" w:hAnsi="Calibri"/>
          <w:sz w:val="22"/>
        </w:rPr>
      </w:pPr>
    </w:p>
    <w:p w14:paraId="3A9620BF" w14:textId="77777777" w:rsidR="000C465B" w:rsidRPr="000C465B" w:rsidRDefault="000C465B" w:rsidP="000C465B">
      <w:pPr>
        <w:spacing w:after="200" w:line="276" w:lineRule="auto"/>
        <w:rPr>
          <w:szCs w:val="20"/>
        </w:rPr>
      </w:pPr>
      <w:r w:rsidRPr="000C465B">
        <w:rPr>
          <w:szCs w:val="20"/>
        </w:rPr>
        <w:t>Additional examples of a Derived Unit Expression include the following:</w:t>
      </w:r>
    </w:p>
    <w:p w14:paraId="2C730C57"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“50 Uses” appearing on the PDP when Declaration of Net Quantity reads “8 Ounces (226 Grams)”</w:t>
      </w:r>
    </w:p>
    <w:p w14:paraId="54AD2DFC" w14:textId="77777777" w:rsidR="000C465B" w:rsidRPr="000C465B" w:rsidRDefault="000C465B" w:rsidP="000C465B">
      <w:pPr>
        <w:spacing w:after="0"/>
        <w:ind w:left="720"/>
        <w:contextualSpacing/>
        <w:jc w:val="left"/>
        <w:rPr>
          <w:rFonts w:eastAsia="Times New Roman"/>
          <w:szCs w:val="20"/>
        </w:rPr>
      </w:pPr>
    </w:p>
    <w:p w14:paraId="12CA0839"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“75 Applications” appearing on the PDP when Declaration of Net Quantity reads “1.5 Liters (1.58 Quarts)”</w:t>
      </w:r>
    </w:p>
    <w:p w14:paraId="6BAA26DB" w14:textId="77777777" w:rsidR="000C465B" w:rsidRPr="000C465B" w:rsidRDefault="000C465B" w:rsidP="000C465B">
      <w:pPr>
        <w:spacing w:after="0"/>
        <w:contextualSpacing/>
        <w:jc w:val="left"/>
        <w:rPr>
          <w:rFonts w:eastAsia="Times New Roman"/>
          <w:szCs w:val="20"/>
        </w:rPr>
      </w:pPr>
    </w:p>
    <w:p w14:paraId="79A18994"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“75 20-mL Applications” appearing on the PDP when Declaration of Net Quantity reads “1.5 Liters (1.58 Quarts)”</w:t>
      </w:r>
    </w:p>
    <w:p w14:paraId="4527F3DE" w14:textId="77777777" w:rsidR="000C465B" w:rsidRPr="000C465B" w:rsidRDefault="000C465B" w:rsidP="000C465B">
      <w:pPr>
        <w:spacing w:after="0"/>
        <w:contextualSpacing/>
        <w:jc w:val="left"/>
        <w:rPr>
          <w:rFonts w:eastAsia="Times New Roman"/>
          <w:szCs w:val="20"/>
        </w:rPr>
      </w:pPr>
    </w:p>
    <w:p w14:paraId="28C3644A"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“30 Loads” appearing on the PDP when Declaration of Net Quantity reads “2 Pounds (907 Grams)”</w:t>
      </w:r>
      <w:r w:rsidRPr="000C465B">
        <w:rPr>
          <w:rFonts w:eastAsia="Times New Roman"/>
          <w:noProof/>
          <w:szCs w:val="20"/>
        </w:rPr>
        <w:t xml:space="preserve"> </w:t>
      </w:r>
    </w:p>
    <w:p w14:paraId="6AEB4026" w14:textId="77777777" w:rsidR="000C465B" w:rsidRPr="000C465B" w:rsidRDefault="000C465B" w:rsidP="000C465B">
      <w:pPr>
        <w:spacing w:after="200" w:line="276" w:lineRule="auto"/>
        <w:jc w:val="left"/>
        <w:rPr>
          <w:rFonts w:ascii="Calibri" w:hAnsi="Calibri"/>
          <w:sz w:val="22"/>
        </w:rPr>
      </w:pPr>
    </w:p>
    <w:p w14:paraId="5E08E6C4" w14:textId="77777777" w:rsidR="000C465B" w:rsidRPr="000C465B" w:rsidRDefault="000C465B" w:rsidP="000C465B">
      <w:pPr>
        <w:spacing w:after="200" w:line="276" w:lineRule="auto"/>
        <w:jc w:val="left"/>
        <w:rPr>
          <w:rFonts w:ascii="Calibri" w:hAnsi="Calibri"/>
          <w:sz w:val="22"/>
        </w:rPr>
      </w:pPr>
    </w:p>
    <w:p w14:paraId="41C4DEB7" w14:textId="77777777" w:rsidR="000C465B" w:rsidRPr="000C465B" w:rsidRDefault="000C465B" w:rsidP="000C465B">
      <w:pPr>
        <w:spacing w:after="200" w:line="276" w:lineRule="auto"/>
        <w:rPr>
          <w:szCs w:val="20"/>
        </w:rPr>
      </w:pPr>
      <w:r w:rsidRPr="000C465B">
        <w:rPr>
          <w:b/>
          <w:szCs w:val="20"/>
        </w:rPr>
        <w:lastRenderedPageBreak/>
        <w:t>4.  </w:t>
      </w:r>
      <w:r w:rsidRPr="000C465B">
        <w:rPr>
          <w:b/>
          <w:szCs w:val="20"/>
          <w:u w:val="single"/>
        </w:rPr>
        <w:t>Comparative Quantity Representation (CQR)</w:t>
      </w:r>
      <w:r w:rsidRPr="000C465B">
        <w:rPr>
          <w:b/>
          <w:bCs/>
          <w:szCs w:val="20"/>
        </w:rPr>
        <w:t xml:space="preserve"> </w:t>
      </w:r>
      <w:r w:rsidRPr="000C465B">
        <w:rPr>
          <w:szCs w:val="20"/>
        </w:rPr>
        <w:t>– an expression appearing on the Principal Display Panel (PDP) in addition to the Declaration of Net Quantity (</w:t>
      </w:r>
      <w:proofErr w:type="spellStart"/>
      <w:r w:rsidRPr="000C465B">
        <w:rPr>
          <w:szCs w:val="20"/>
        </w:rPr>
        <w:t>DoNQ</w:t>
      </w:r>
      <w:proofErr w:type="spellEnd"/>
      <w:r w:rsidRPr="000C465B">
        <w:rPr>
          <w:szCs w:val="20"/>
        </w:rPr>
        <w:t xml:space="preserve">) which compares the contents of that package to the contents of a comparable product package produced by the same or a different manufacturer.  This comparative statement may be a statement of equivalence (e.g., “This Package Contains the same 24 FL OZ as our old Package”), a statement of differentiation (e.g., “This Box Contains 1 Pound more than Reed’s LARGE SIZE Box”) or another accurate and verifiable comparative statement. </w:t>
      </w:r>
    </w:p>
    <w:p w14:paraId="38A0F11E" w14:textId="77777777" w:rsidR="000C465B" w:rsidRPr="000C465B" w:rsidRDefault="000C465B" w:rsidP="000C465B">
      <w:pPr>
        <w:spacing w:after="200" w:line="276" w:lineRule="auto"/>
        <w:rPr>
          <w:szCs w:val="20"/>
        </w:rPr>
      </w:pPr>
      <w:r w:rsidRPr="000C465B">
        <w:rPr>
          <w:szCs w:val="20"/>
        </w:rPr>
        <w:t xml:space="preserve">In the package diagram below, the Comparative Quantity Representation (CQR) would be the “Makes 8 Quarts More than Other 2 LB Juice Mixes” expression which is present on the PDP in addition to the required Declaration of Net Quantity and the optionally added Reconstituted Expression of Quantity (REQ).   </w:t>
      </w:r>
    </w:p>
    <w:p w14:paraId="114ECF30" w14:textId="77777777" w:rsidR="000C465B" w:rsidRPr="000C465B" w:rsidRDefault="000C465B" w:rsidP="000C465B">
      <w:pPr>
        <w:spacing w:after="200" w:line="276" w:lineRule="auto"/>
        <w:jc w:val="left"/>
        <w:rPr>
          <w:rFonts w:ascii="Calibri" w:hAnsi="Calibri"/>
          <w:sz w:val="22"/>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465B" w:rsidRPr="000C465B" w14:paraId="3C831C9B" w14:textId="77777777" w:rsidTr="005F0F3E">
        <w:tc>
          <w:tcPr>
            <w:tcW w:w="9350" w:type="dxa"/>
          </w:tcPr>
          <w:p w14:paraId="176F1C43" w14:textId="77777777" w:rsidR="000C465B" w:rsidRPr="000C465B" w:rsidRDefault="000C465B" w:rsidP="000C465B">
            <w:pPr>
              <w:spacing w:after="0"/>
              <w:jc w:val="left"/>
              <w:rPr>
                <w:rFonts w:ascii="Calibri" w:hAnsi="Calibri"/>
              </w:rPr>
            </w:pPr>
            <w:r w:rsidRPr="000C465B">
              <w:rPr>
                <w:rFonts w:ascii="Calibri" w:hAnsi="Calibri"/>
                <w:noProof/>
              </w:rPr>
              <mc:AlternateContent>
                <mc:Choice Requires="wps">
                  <w:drawing>
                    <wp:anchor distT="0" distB="0" distL="114300" distR="114300" simplePos="0" relativeHeight="251658295" behindDoc="0" locked="0" layoutInCell="1" allowOverlap="1" wp14:anchorId="7857FD82" wp14:editId="62A563FA">
                      <wp:simplePos x="0" y="0"/>
                      <wp:positionH relativeFrom="column">
                        <wp:posOffset>436245</wp:posOffset>
                      </wp:positionH>
                      <wp:positionV relativeFrom="paragraph">
                        <wp:posOffset>787400</wp:posOffset>
                      </wp:positionV>
                      <wp:extent cx="266700" cy="128270"/>
                      <wp:effectExtent l="0" t="0" r="0" b="5080"/>
                      <wp:wrapNone/>
                      <wp:docPr id="1352094563" name="Rectangle 59"/>
                      <wp:cNvGraphicFramePr/>
                      <a:graphic xmlns:a="http://schemas.openxmlformats.org/drawingml/2006/main">
                        <a:graphicData uri="http://schemas.microsoft.com/office/word/2010/wordprocessingShape">
                          <wps:wsp>
                            <wps:cNvSpPr/>
                            <wps:spPr>
                              <a:xfrm>
                                <a:off x="0" y="0"/>
                                <a:ext cx="266700" cy="128270"/>
                              </a:xfrm>
                              <a:prstGeom prst="rect">
                                <a:avLst/>
                              </a:prstGeom>
                              <a:solidFill>
                                <a:srgbClr val="FFCE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275386" id="Rectangle 59" o:spid="_x0000_s1026" style="position:absolute;margin-left:34.35pt;margin-top:62pt;width:21pt;height:10.1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" fillcolor="#ffce33" stroked="f" strokeweight="2pt"/>
                  </w:pict>
                </mc:Fallback>
              </mc:AlternateContent>
            </w:r>
            <w:r w:rsidRPr="000C465B">
              <w:rPr>
                <w:rFonts w:ascii="Calibri" w:hAnsi="Calibri"/>
                <w:noProof/>
              </w:rPr>
              <mc:AlternateContent>
                <mc:Choice Requires="wps">
                  <w:drawing>
                    <wp:anchor distT="0" distB="0" distL="114300" distR="114300" simplePos="0" relativeHeight="251658288" behindDoc="0" locked="0" layoutInCell="1" allowOverlap="1" wp14:anchorId="7DF9627B" wp14:editId="634401C4">
                      <wp:simplePos x="0" y="0"/>
                      <wp:positionH relativeFrom="column">
                        <wp:posOffset>2976770</wp:posOffset>
                      </wp:positionH>
                      <wp:positionV relativeFrom="paragraph">
                        <wp:posOffset>3570136</wp:posOffset>
                      </wp:positionV>
                      <wp:extent cx="890546" cy="0"/>
                      <wp:effectExtent l="0" t="95250" r="0" b="95250"/>
                      <wp:wrapNone/>
                      <wp:docPr id="2119467019" name="Straight Arrow Connector 2119467019"/>
                      <wp:cNvGraphicFramePr/>
                      <a:graphic xmlns:a="http://schemas.openxmlformats.org/drawingml/2006/main">
                        <a:graphicData uri="http://schemas.microsoft.com/office/word/2010/wordprocessingShape">
                          <wps:wsp>
                            <wps:cNvCnPr/>
                            <wps:spPr>
                              <a:xfrm flipH="1">
                                <a:off x="0" y="0"/>
                                <a:ext cx="890546" cy="0"/>
                              </a:xfrm>
                              <a:prstGeom prst="straightConnector1">
                                <a:avLst/>
                              </a:prstGeom>
                              <a:noFill/>
                              <a:ln w="38100" cap="flat" cmpd="sng" algn="ctr">
                                <a:solidFill>
                                  <a:srgbClr val="C0504D"/>
                                </a:solidFill>
                                <a:prstDash val="solid"/>
                                <a:tailEnd type="triangle"/>
                              </a:ln>
                              <a:effectLst/>
                            </wps:spPr>
                            <wps:bodyPr/>
                          </wps:wsp>
                        </a:graphicData>
                      </a:graphic>
                    </wp:anchor>
                  </w:drawing>
                </mc:Choice>
                <mc:Fallback>
                  <w:pict>
                    <v:shape w14:anchorId="42712F6B" id="Straight Arrow Connector 2119467019" o:spid="_x0000_s1026" type="#_x0000_t32" style="position:absolute;margin-left:234.4pt;margin-top:281.1pt;width:70.1pt;height:0;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" strokecolor="#c0504d"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87" behindDoc="0" locked="0" layoutInCell="1" allowOverlap="1" wp14:anchorId="4304AA6C" wp14:editId="250AD27E">
                      <wp:simplePos x="0" y="0"/>
                      <wp:positionH relativeFrom="column">
                        <wp:posOffset>2976770</wp:posOffset>
                      </wp:positionH>
                      <wp:positionV relativeFrom="paragraph">
                        <wp:posOffset>628153</wp:posOffset>
                      </wp:positionV>
                      <wp:extent cx="707666" cy="0"/>
                      <wp:effectExtent l="0" t="95250" r="0" b="95250"/>
                      <wp:wrapNone/>
                      <wp:docPr id="1886742784" name="Straight Arrow Connector 1886742784"/>
                      <wp:cNvGraphicFramePr/>
                      <a:graphic xmlns:a="http://schemas.openxmlformats.org/drawingml/2006/main">
                        <a:graphicData uri="http://schemas.microsoft.com/office/word/2010/wordprocessingShape">
                          <wps:wsp>
                            <wps:cNvCnPr/>
                            <wps:spPr>
                              <a:xfrm flipH="1">
                                <a:off x="0" y="0"/>
                                <a:ext cx="707666" cy="0"/>
                              </a:xfrm>
                              <a:prstGeom prst="straightConnector1">
                                <a:avLst/>
                              </a:prstGeom>
                              <a:noFill/>
                              <a:ln w="38100" cap="flat" cmpd="sng" algn="ctr">
                                <a:solidFill>
                                  <a:srgbClr val="003E7E"/>
                                </a:solidFill>
                                <a:prstDash val="solid"/>
                                <a:tailEnd type="triangle"/>
                              </a:ln>
                              <a:effectLst/>
                            </wps:spPr>
                            <wps:bodyPr/>
                          </wps:wsp>
                        </a:graphicData>
                      </a:graphic>
                    </wp:anchor>
                  </w:drawing>
                </mc:Choice>
                <mc:Fallback>
                  <w:pict>
                    <v:shape w14:anchorId="66729AEB" id="Straight Arrow Connector 1886742784" o:spid="_x0000_s1026" type="#_x0000_t32" style="position:absolute;margin-left:234.4pt;margin-top:49.45pt;width:55.7pt;height:0;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" strokecolor="#003e7e"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73" behindDoc="0" locked="0" layoutInCell="1" allowOverlap="1" wp14:anchorId="2B39FCC6" wp14:editId="6AA2F8F7">
                      <wp:simplePos x="0" y="0"/>
                      <wp:positionH relativeFrom="column">
                        <wp:posOffset>3681730</wp:posOffset>
                      </wp:positionH>
                      <wp:positionV relativeFrom="paragraph">
                        <wp:posOffset>498806</wp:posOffset>
                      </wp:positionV>
                      <wp:extent cx="2153920" cy="261620"/>
                      <wp:effectExtent l="0" t="0" r="0" b="5080"/>
                      <wp:wrapNone/>
                      <wp:docPr id="1430050564" name="Text Box 1430050564"/>
                      <wp:cNvGraphicFramePr/>
                      <a:graphic xmlns:a="http://schemas.openxmlformats.org/drawingml/2006/main">
                        <a:graphicData uri="http://schemas.microsoft.com/office/word/2010/wordprocessingShape">
                          <wps:wsp>
                            <wps:cNvSpPr txBox="1"/>
                            <wps:spPr>
                              <a:xfrm>
                                <a:off x="0" y="0"/>
                                <a:ext cx="2153920" cy="261620"/>
                              </a:xfrm>
                              <a:prstGeom prst="rect">
                                <a:avLst/>
                              </a:prstGeom>
                              <a:noFill/>
                              <a:ln w="6350">
                                <a:noFill/>
                              </a:ln>
                            </wps:spPr>
                            <wps:txbx>
                              <w:txbxContent>
                                <w:p w14:paraId="5D88EC23" w14:textId="77777777" w:rsidR="000C465B" w:rsidRPr="0078570A" w:rsidRDefault="000C465B" w:rsidP="000C465B">
                                  <w:pPr>
                                    <w:pStyle w:val="NoSpacing"/>
                                    <w:jc w:val="center"/>
                                    <w:rPr>
                                      <w:b/>
                                      <w:color w:val="FFFFFF"/>
                                    </w:rPr>
                                  </w:pPr>
                                  <w:r w:rsidRPr="0078570A">
                                    <w:rPr>
                                      <w:b/>
                                      <w:color w:val="FFFFFF"/>
                                    </w:rPr>
                                    <w:t>Comparative Quantity Expression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9FCC6" id="Text Box 1430050564" o:spid="_x0000_s1039" type="#_x0000_t202" style="position:absolute;margin-left:289.9pt;margin-top:39.3pt;width:169.6pt;height:20.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" filled="f" stroked="f" strokeweight=".5pt">
                      <v:textbox>
                        <w:txbxContent>
                          <w:p w14:paraId="5D88EC23" w14:textId="77777777" w:rsidR="000C465B" w:rsidRPr="0078570A" w:rsidRDefault="000C465B" w:rsidP="000C465B">
                            <w:pPr>
                              <w:pStyle w:val="NoSpacing"/>
                              <w:jc w:val="center"/>
                              <w:rPr>
                                <w:b/>
                                <w:color w:val="FFFFFF"/>
                              </w:rPr>
                            </w:pPr>
                            <w:r w:rsidRPr="0078570A">
                              <w:rPr>
                                <w:b/>
                                <w:color w:val="FFFFFF"/>
                              </w:rPr>
                              <w:t>Comparative Quantity Expression</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59" behindDoc="0" locked="0" layoutInCell="1" allowOverlap="1" wp14:anchorId="09360F0C" wp14:editId="79EC07BD">
                      <wp:simplePos x="0" y="0"/>
                      <wp:positionH relativeFrom="column">
                        <wp:posOffset>3755997</wp:posOffset>
                      </wp:positionH>
                      <wp:positionV relativeFrom="paragraph">
                        <wp:posOffset>3419061</wp:posOffset>
                      </wp:positionV>
                      <wp:extent cx="2051437" cy="309880"/>
                      <wp:effectExtent l="0" t="0" r="6350" b="0"/>
                      <wp:wrapNone/>
                      <wp:docPr id="1592623412" name="Rectangle 1592623412"/>
                      <wp:cNvGraphicFramePr/>
                      <a:graphic xmlns:a="http://schemas.openxmlformats.org/drawingml/2006/main">
                        <a:graphicData uri="http://schemas.microsoft.com/office/word/2010/wordprocessingShape">
                          <wps:wsp>
                            <wps:cNvSpPr/>
                            <wps:spPr>
                              <a:xfrm>
                                <a:off x="0" y="0"/>
                                <a:ext cx="2051437" cy="309880"/>
                              </a:xfrm>
                              <a:prstGeom prst="rect">
                                <a:avLst/>
                              </a:prstGeom>
                              <a:solidFill>
                                <a:srgbClr val="C0504D"/>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BF2BB" id="Rectangle 1592623412" o:spid="_x0000_s1026" style="position:absolute;margin-left:295.75pt;margin-top:269.2pt;width:161.55pt;height:24.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" fillcolor="#c0504d" stroked="f" strokeweight="1pt"/>
                  </w:pict>
                </mc:Fallback>
              </mc:AlternateContent>
            </w:r>
            <w:r w:rsidRPr="000C465B">
              <w:rPr>
                <w:rFonts w:ascii="Calibri" w:hAnsi="Calibri"/>
                <w:noProof/>
              </w:rPr>
              <mc:AlternateContent>
                <mc:Choice Requires="wps">
                  <w:drawing>
                    <wp:anchor distT="0" distB="0" distL="114300" distR="114300" simplePos="0" relativeHeight="251658260" behindDoc="0" locked="0" layoutInCell="1" allowOverlap="1" wp14:anchorId="6EF1C954" wp14:editId="4CC59C77">
                      <wp:simplePos x="0" y="0"/>
                      <wp:positionH relativeFrom="column">
                        <wp:posOffset>3867315</wp:posOffset>
                      </wp:positionH>
                      <wp:positionV relativeFrom="paragraph">
                        <wp:posOffset>3442915</wp:posOffset>
                      </wp:positionV>
                      <wp:extent cx="1820020" cy="261620"/>
                      <wp:effectExtent l="0" t="0" r="0" b="5080"/>
                      <wp:wrapNone/>
                      <wp:docPr id="1930059249" name="Text Box 1930059249"/>
                      <wp:cNvGraphicFramePr/>
                      <a:graphic xmlns:a="http://schemas.openxmlformats.org/drawingml/2006/main">
                        <a:graphicData uri="http://schemas.microsoft.com/office/word/2010/wordprocessingShape">
                          <wps:wsp>
                            <wps:cNvSpPr txBox="1"/>
                            <wps:spPr>
                              <a:xfrm>
                                <a:off x="0" y="0"/>
                                <a:ext cx="1820020" cy="261620"/>
                              </a:xfrm>
                              <a:prstGeom prst="rect">
                                <a:avLst/>
                              </a:prstGeom>
                              <a:noFill/>
                              <a:ln w="6350">
                                <a:noFill/>
                              </a:ln>
                            </wps:spPr>
                            <wps:txbx>
                              <w:txbxContent>
                                <w:p w14:paraId="3DC25D93"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F1C954" id="Text Box 1930059249" o:spid="_x0000_s1040" type="#_x0000_t202" style="position:absolute;margin-left:304.5pt;margin-top:271.1pt;width:143.3pt;height:20.6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" filled="f" stroked="f" strokeweight=".5pt">
                      <v:textbox>
                        <w:txbxContent>
                          <w:p w14:paraId="3DC25D93"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72" behindDoc="0" locked="0" layoutInCell="1" allowOverlap="1" wp14:anchorId="5410724C" wp14:editId="15FDAB1F">
                      <wp:simplePos x="0" y="0"/>
                      <wp:positionH relativeFrom="column">
                        <wp:posOffset>3643934</wp:posOffset>
                      </wp:positionH>
                      <wp:positionV relativeFrom="paragraph">
                        <wp:posOffset>474980</wp:posOffset>
                      </wp:positionV>
                      <wp:extent cx="2225675" cy="309880"/>
                      <wp:effectExtent l="0" t="0" r="3175" b="0"/>
                      <wp:wrapNone/>
                      <wp:docPr id="1571206462" name="Rectangle 1571206462"/>
                      <wp:cNvGraphicFramePr/>
                      <a:graphic xmlns:a="http://schemas.openxmlformats.org/drawingml/2006/main">
                        <a:graphicData uri="http://schemas.microsoft.com/office/word/2010/wordprocessingShape">
                          <wps:wsp>
                            <wps:cNvSpPr/>
                            <wps:spPr>
                              <a:xfrm>
                                <a:off x="0" y="0"/>
                                <a:ext cx="2225675" cy="309880"/>
                              </a:xfrm>
                              <a:prstGeom prst="rect">
                                <a:avLst/>
                              </a:prstGeom>
                              <a:solidFill>
                                <a:srgbClr val="003E7E"/>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1A2F8C" id="Rectangle 1571206462" o:spid="_x0000_s1026" style="position:absolute;margin-left:286.9pt;margin-top:37.4pt;width:175.25pt;height:24.4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" fillcolor="#003e7e" stroked="f" strokeweight="1pt"/>
                  </w:pict>
                </mc:Fallback>
              </mc:AlternateContent>
            </w:r>
            <w:r w:rsidRPr="000C465B">
              <w:rPr>
                <w:rFonts w:ascii="Calibri" w:hAnsi="Calibri"/>
                <w:noProof/>
              </w:rPr>
              <w:drawing>
                <wp:inline distT="0" distB="0" distL="0" distR="0" wp14:anchorId="3F9A921D" wp14:editId="27E431D0">
                  <wp:extent cx="3200400" cy="4114800"/>
                  <wp:effectExtent l="0" t="0" r="0" b="0"/>
                  <wp:docPr id="1404767174" name="Picture 1404767174" descr="D:\NCWM\PALS Diagrams\Set 4\7-CQR\CQR-S7a-v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CWM\PALS Diagrams\Set 4\7-CQR\CQR-S7a-v7.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00400" cy="4114800"/>
                          </a:xfrm>
                          <a:prstGeom prst="rect">
                            <a:avLst/>
                          </a:prstGeom>
                          <a:noFill/>
                          <a:ln>
                            <a:noFill/>
                          </a:ln>
                        </pic:spPr>
                      </pic:pic>
                    </a:graphicData>
                  </a:graphic>
                </wp:inline>
              </w:drawing>
            </w:r>
          </w:p>
          <w:p w14:paraId="1C9BF62E" w14:textId="77777777" w:rsidR="000C465B" w:rsidRPr="000C465B" w:rsidRDefault="000C465B" w:rsidP="000C465B">
            <w:pPr>
              <w:spacing w:after="0"/>
              <w:jc w:val="left"/>
              <w:rPr>
                <w:rFonts w:ascii="Calibri" w:hAnsi="Calibri"/>
              </w:rPr>
            </w:pPr>
          </w:p>
          <w:p w14:paraId="26401343" w14:textId="77777777" w:rsidR="000C465B" w:rsidRPr="000C465B" w:rsidRDefault="000C465B" w:rsidP="000C465B">
            <w:pPr>
              <w:spacing w:after="200" w:line="276" w:lineRule="auto"/>
              <w:jc w:val="left"/>
              <w:rPr>
                <w:rFonts w:ascii="Calibri" w:hAnsi="Calibri"/>
              </w:rPr>
            </w:pPr>
          </w:p>
          <w:p w14:paraId="032FAEEF" w14:textId="77777777" w:rsidR="000C465B" w:rsidRPr="000C465B" w:rsidRDefault="000C465B" w:rsidP="000C465B">
            <w:pPr>
              <w:spacing w:after="200" w:line="276" w:lineRule="auto"/>
              <w:jc w:val="left"/>
              <w:rPr>
                <w:rFonts w:ascii="Calibri" w:hAnsi="Calibri"/>
              </w:rPr>
            </w:pPr>
          </w:p>
          <w:p w14:paraId="5756C623" w14:textId="77777777" w:rsidR="000C465B" w:rsidRPr="000C465B" w:rsidRDefault="000C465B" w:rsidP="000C465B">
            <w:pPr>
              <w:spacing w:after="200" w:line="276" w:lineRule="auto"/>
              <w:jc w:val="left"/>
              <w:rPr>
                <w:rFonts w:ascii="Calibri" w:hAnsi="Calibri"/>
              </w:rPr>
            </w:pPr>
          </w:p>
          <w:p w14:paraId="36FC1937" w14:textId="77777777" w:rsidR="000C465B" w:rsidRPr="000C465B" w:rsidRDefault="000C465B" w:rsidP="000C465B">
            <w:pPr>
              <w:spacing w:after="200" w:line="276" w:lineRule="auto"/>
              <w:jc w:val="left"/>
              <w:rPr>
                <w:rFonts w:ascii="Calibri" w:hAnsi="Calibri"/>
              </w:rPr>
            </w:pPr>
          </w:p>
          <w:p w14:paraId="00601E10" w14:textId="77777777" w:rsidR="000C465B" w:rsidRPr="000C465B" w:rsidRDefault="000C465B" w:rsidP="000C465B">
            <w:pPr>
              <w:spacing w:after="200" w:line="276" w:lineRule="auto"/>
              <w:jc w:val="left"/>
              <w:rPr>
                <w:rFonts w:ascii="Calibri" w:hAnsi="Calibri"/>
              </w:rPr>
            </w:pPr>
          </w:p>
          <w:p w14:paraId="3A6E8222" w14:textId="0D880169" w:rsidR="000C465B" w:rsidRPr="000C465B" w:rsidRDefault="000C465B" w:rsidP="00810BDD">
            <w:pPr>
              <w:spacing w:after="200" w:line="276" w:lineRule="auto"/>
              <w:rPr>
                <w:sz w:val="20"/>
                <w:szCs w:val="20"/>
              </w:rPr>
            </w:pPr>
            <w:r w:rsidRPr="000C465B">
              <w:rPr>
                <w:sz w:val="20"/>
                <w:szCs w:val="20"/>
              </w:rPr>
              <w:lastRenderedPageBreak/>
              <w:t>In the following package diagram, the Comparative Quantity Representation (CQR) would be, “This 8 Pound package contains the same Volume as our 15 Pound regular product” expression which is present on the PDP in addition to the required Declaration of Net Quantity.</w:t>
            </w:r>
          </w:p>
        </w:tc>
      </w:tr>
      <w:tr w:rsidR="000C465B" w:rsidRPr="000C465B" w14:paraId="09A53663" w14:textId="77777777" w:rsidTr="005F0F3E">
        <w:tc>
          <w:tcPr>
            <w:tcW w:w="9350" w:type="dxa"/>
          </w:tcPr>
          <w:p w14:paraId="0CED4060" w14:textId="77777777" w:rsidR="000C465B" w:rsidRPr="000C465B" w:rsidRDefault="000C465B" w:rsidP="000C465B">
            <w:pPr>
              <w:keepNext/>
              <w:spacing w:after="0"/>
              <w:jc w:val="left"/>
              <w:rPr>
                <w:rFonts w:ascii="Calibri" w:hAnsi="Calibri"/>
              </w:rPr>
            </w:pPr>
          </w:p>
          <w:p w14:paraId="04CB6318" w14:textId="77777777" w:rsidR="000C465B" w:rsidRPr="000C465B" w:rsidRDefault="000C465B" w:rsidP="000C465B">
            <w:pPr>
              <w:keepNext/>
              <w:spacing w:after="0"/>
              <w:jc w:val="left"/>
              <w:rPr>
                <w:rFonts w:ascii="Calibri" w:hAnsi="Calibri"/>
              </w:rPr>
            </w:pPr>
            <w:r w:rsidRPr="000C465B">
              <w:rPr>
                <w:rFonts w:ascii="Calibri" w:hAnsi="Calibri"/>
                <w:noProof/>
              </w:rPr>
              <mc:AlternateContent>
                <mc:Choice Requires="wps">
                  <w:drawing>
                    <wp:anchor distT="0" distB="0" distL="114300" distR="114300" simplePos="0" relativeHeight="251658282" behindDoc="0" locked="0" layoutInCell="1" allowOverlap="1" wp14:anchorId="7857B2C7" wp14:editId="577281AA">
                      <wp:simplePos x="0" y="0"/>
                      <wp:positionH relativeFrom="column">
                        <wp:posOffset>3636010</wp:posOffset>
                      </wp:positionH>
                      <wp:positionV relativeFrom="paragraph">
                        <wp:posOffset>1953098</wp:posOffset>
                      </wp:positionV>
                      <wp:extent cx="2225675" cy="309880"/>
                      <wp:effectExtent l="0" t="0" r="3175" b="0"/>
                      <wp:wrapNone/>
                      <wp:docPr id="240514312" name="Rectangle 240514312"/>
                      <wp:cNvGraphicFramePr/>
                      <a:graphic xmlns:a="http://schemas.openxmlformats.org/drawingml/2006/main">
                        <a:graphicData uri="http://schemas.microsoft.com/office/word/2010/wordprocessingShape">
                          <wps:wsp>
                            <wps:cNvSpPr/>
                            <wps:spPr>
                              <a:xfrm>
                                <a:off x="0" y="0"/>
                                <a:ext cx="2225675" cy="309880"/>
                              </a:xfrm>
                              <a:prstGeom prst="rect">
                                <a:avLst/>
                              </a:prstGeom>
                              <a:solidFill>
                                <a:srgbClr val="003E7E"/>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D79C64" id="Rectangle 240514312" o:spid="_x0000_s1026" style="position:absolute;margin-left:286.3pt;margin-top:153.8pt;width:175.25pt;height:24.4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" fillcolor="#003e7e" stroked="f" strokeweight="1pt"/>
                  </w:pict>
                </mc:Fallback>
              </mc:AlternateContent>
            </w:r>
            <w:r w:rsidRPr="000C465B">
              <w:rPr>
                <w:rFonts w:ascii="Calibri" w:hAnsi="Calibri"/>
                <w:noProof/>
              </w:rPr>
              <mc:AlternateContent>
                <mc:Choice Requires="wps">
                  <w:drawing>
                    <wp:anchor distT="0" distB="0" distL="114300" distR="114300" simplePos="0" relativeHeight="251658243" behindDoc="0" locked="0" layoutInCell="1" allowOverlap="1" wp14:anchorId="5EE53CE2" wp14:editId="1B5D9A0C">
                      <wp:simplePos x="0" y="0"/>
                      <wp:positionH relativeFrom="column">
                        <wp:posOffset>2856865</wp:posOffset>
                      </wp:positionH>
                      <wp:positionV relativeFrom="paragraph">
                        <wp:posOffset>2129628</wp:posOffset>
                      </wp:positionV>
                      <wp:extent cx="1206500" cy="0"/>
                      <wp:effectExtent l="0" t="95250" r="0" b="95250"/>
                      <wp:wrapNone/>
                      <wp:docPr id="1651532390" name="Straight Arrow Connector 1651532390"/>
                      <wp:cNvGraphicFramePr/>
                      <a:graphic xmlns:a="http://schemas.openxmlformats.org/drawingml/2006/main">
                        <a:graphicData uri="http://schemas.microsoft.com/office/word/2010/wordprocessingShape">
                          <wps:wsp>
                            <wps:cNvCnPr/>
                            <wps:spPr>
                              <a:xfrm flipH="1">
                                <a:off x="0" y="0"/>
                                <a:ext cx="1206500" cy="0"/>
                              </a:xfrm>
                              <a:prstGeom prst="straightConnector1">
                                <a:avLst/>
                              </a:prstGeom>
                              <a:noFill/>
                              <a:ln w="38100" cap="flat" cmpd="sng" algn="ctr">
                                <a:solidFill>
                                  <a:srgbClr val="003E7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60B2DF" id="Straight Arrow Connector 1651532390" o:spid="_x0000_s1026" type="#_x0000_t32" style="position:absolute;margin-left:224.95pt;margin-top:167.7pt;width:9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" strokecolor="#003e7e"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83" behindDoc="0" locked="0" layoutInCell="1" allowOverlap="1" wp14:anchorId="70EB8012" wp14:editId="159D17D8">
                      <wp:simplePos x="0" y="0"/>
                      <wp:positionH relativeFrom="column">
                        <wp:posOffset>3684270</wp:posOffset>
                      </wp:positionH>
                      <wp:positionV relativeFrom="paragraph">
                        <wp:posOffset>1964690</wp:posOffset>
                      </wp:positionV>
                      <wp:extent cx="2153920" cy="261620"/>
                      <wp:effectExtent l="0" t="0" r="0" b="5080"/>
                      <wp:wrapNone/>
                      <wp:docPr id="1185910631" name="Text Box 1185910631"/>
                      <wp:cNvGraphicFramePr/>
                      <a:graphic xmlns:a="http://schemas.openxmlformats.org/drawingml/2006/main">
                        <a:graphicData uri="http://schemas.microsoft.com/office/word/2010/wordprocessingShape">
                          <wps:wsp>
                            <wps:cNvSpPr txBox="1"/>
                            <wps:spPr>
                              <a:xfrm>
                                <a:off x="0" y="0"/>
                                <a:ext cx="2153920" cy="261620"/>
                              </a:xfrm>
                              <a:prstGeom prst="rect">
                                <a:avLst/>
                              </a:prstGeom>
                              <a:noFill/>
                              <a:ln w="6350">
                                <a:noFill/>
                              </a:ln>
                            </wps:spPr>
                            <wps:txbx>
                              <w:txbxContent>
                                <w:p w14:paraId="0186140E" w14:textId="77777777" w:rsidR="000C465B" w:rsidRPr="0078570A" w:rsidRDefault="000C465B" w:rsidP="000C465B">
                                  <w:pPr>
                                    <w:pStyle w:val="NoSpacing"/>
                                    <w:jc w:val="center"/>
                                    <w:rPr>
                                      <w:b/>
                                      <w:color w:val="FFFFFF"/>
                                    </w:rPr>
                                  </w:pPr>
                                  <w:r w:rsidRPr="0078570A">
                                    <w:rPr>
                                      <w:b/>
                                      <w:color w:val="FFFFFF"/>
                                    </w:rPr>
                                    <w:t>Comparative Quantity Expression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B8012" id="Text Box 1185910631" o:spid="_x0000_s1041" type="#_x0000_t202" style="position:absolute;margin-left:290.1pt;margin-top:154.7pt;width:169.6pt;height:20.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" filled="f" stroked="f" strokeweight=".5pt">
                      <v:textbox>
                        <w:txbxContent>
                          <w:p w14:paraId="0186140E" w14:textId="77777777" w:rsidR="000C465B" w:rsidRPr="0078570A" w:rsidRDefault="000C465B" w:rsidP="000C465B">
                            <w:pPr>
                              <w:pStyle w:val="NoSpacing"/>
                              <w:jc w:val="center"/>
                              <w:rPr>
                                <w:b/>
                                <w:color w:val="FFFFFF"/>
                              </w:rPr>
                            </w:pPr>
                            <w:r w:rsidRPr="0078570A">
                              <w:rPr>
                                <w:b/>
                                <w:color w:val="FFFFFF"/>
                              </w:rPr>
                              <w:t>Comparative Quantity Expression</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89" behindDoc="0" locked="0" layoutInCell="1" allowOverlap="1" wp14:anchorId="46A88320" wp14:editId="49BB2B4E">
                      <wp:simplePos x="0" y="0"/>
                      <wp:positionH relativeFrom="column">
                        <wp:posOffset>916143</wp:posOffset>
                      </wp:positionH>
                      <wp:positionV relativeFrom="paragraph">
                        <wp:posOffset>3656330</wp:posOffset>
                      </wp:positionV>
                      <wp:extent cx="3021330" cy="0"/>
                      <wp:effectExtent l="0" t="95250" r="0" b="95250"/>
                      <wp:wrapNone/>
                      <wp:docPr id="2114491231" name="Straight Arrow Connector 2114491231"/>
                      <wp:cNvGraphicFramePr/>
                      <a:graphic xmlns:a="http://schemas.openxmlformats.org/drawingml/2006/main">
                        <a:graphicData uri="http://schemas.microsoft.com/office/word/2010/wordprocessingShape">
                          <wps:wsp>
                            <wps:cNvCnPr/>
                            <wps:spPr>
                              <a:xfrm flipH="1">
                                <a:off x="0" y="0"/>
                                <a:ext cx="3021330" cy="0"/>
                              </a:xfrm>
                              <a:prstGeom prst="straightConnector1">
                                <a:avLst/>
                              </a:prstGeom>
                              <a:noFill/>
                              <a:ln w="38100" cap="flat" cmpd="sng" algn="ctr">
                                <a:solidFill>
                                  <a:srgbClr val="C0504D"/>
                                </a:solidFill>
                                <a:prstDash val="solid"/>
                                <a:tailEnd type="triangle"/>
                              </a:ln>
                              <a:effectLst/>
                            </wps:spPr>
                            <wps:bodyPr/>
                          </wps:wsp>
                        </a:graphicData>
                      </a:graphic>
                    </wp:anchor>
                  </w:drawing>
                </mc:Choice>
                <mc:Fallback>
                  <w:pict>
                    <v:shape w14:anchorId="65E122B3" id="Straight Arrow Connector 2114491231" o:spid="_x0000_s1026" type="#_x0000_t32" style="position:absolute;margin-left:72.15pt;margin-top:287.9pt;width:237.9pt;height:0;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" strokecolor="#c0504d" strokeweight="3pt">
                      <v:stroke endarrow="block"/>
                    </v:shape>
                  </w:pict>
                </mc:Fallback>
              </mc:AlternateContent>
            </w:r>
            <w:r w:rsidRPr="000C465B">
              <w:rPr>
                <w:rFonts w:ascii="Calibri" w:hAnsi="Calibri"/>
                <w:noProof/>
              </w:rPr>
              <mc:AlternateContent>
                <mc:Choice Requires="wps">
                  <w:drawing>
                    <wp:anchor distT="0" distB="0" distL="114300" distR="114300" simplePos="0" relativeHeight="251658262" behindDoc="0" locked="0" layoutInCell="1" allowOverlap="1" wp14:anchorId="2C793085" wp14:editId="40472859">
                      <wp:simplePos x="0" y="0"/>
                      <wp:positionH relativeFrom="column">
                        <wp:posOffset>3876675</wp:posOffset>
                      </wp:positionH>
                      <wp:positionV relativeFrom="paragraph">
                        <wp:posOffset>3531870</wp:posOffset>
                      </wp:positionV>
                      <wp:extent cx="1819910" cy="261620"/>
                      <wp:effectExtent l="0" t="0" r="8890" b="5080"/>
                      <wp:wrapNone/>
                      <wp:docPr id="1698255705" name="Text Box 1698255705"/>
                      <wp:cNvGraphicFramePr/>
                      <a:graphic xmlns:a="http://schemas.openxmlformats.org/drawingml/2006/main">
                        <a:graphicData uri="http://schemas.microsoft.com/office/word/2010/wordprocessingShape">
                          <wps:wsp>
                            <wps:cNvSpPr txBox="1"/>
                            <wps:spPr>
                              <a:xfrm>
                                <a:off x="0" y="0"/>
                                <a:ext cx="1819910" cy="261620"/>
                              </a:xfrm>
                              <a:prstGeom prst="rect">
                                <a:avLst/>
                              </a:prstGeom>
                              <a:solidFill>
                                <a:srgbClr val="C0504D"/>
                              </a:solidFill>
                              <a:ln w="6350">
                                <a:noFill/>
                              </a:ln>
                            </wps:spPr>
                            <wps:txbx>
                              <w:txbxContent>
                                <w:p w14:paraId="3DA60C8C"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793085" id="Text Box 1698255705" o:spid="_x0000_s1042" type="#_x0000_t202" style="position:absolute;margin-left:305.25pt;margin-top:278.1pt;width:143.3pt;height:20.6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" fillcolor="#c0504d" stroked="f" strokeweight=".5pt">
                      <v:textbox>
                        <w:txbxContent>
                          <w:p w14:paraId="3DA60C8C"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rFonts w:ascii="Calibri" w:hAnsi="Calibri"/>
                <w:noProof/>
              </w:rPr>
              <mc:AlternateContent>
                <mc:Choice Requires="wps">
                  <w:drawing>
                    <wp:anchor distT="0" distB="0" distL="114300" distR="114300" simplePos="0" relativeHeight="251658261" behindDoc="0" locked="0" layoutInCell="1" allowOverlap="1" wp14:anchorId="04E3A37F" wp14:editId="2C03E55A">
                      <wp:simplePos x="0" y="0"/>
                      <wp:positionH relativeFrom="column">
                        <wp:posOffset>3755390</wp:posOffset>
                      </wp:positionH>
                      <wp:positionV relativeFrom="paragraph">
                        <wp:posOffset>3507267</wp:posOffset>
                      </wp:positionV>
                      <wp:extent cx="2051050" cy="309880"/>
                      <wp:effectExtent l="0" t="0" r="6350" b="0"/>
                      <wp:wrapNone/>
                      <wp:docPr id="1822411075" name="Rectangle 1822411075"/>
                      <wp:cNvGraphicFramePr/>
                      <a:graphic xmlns:a="http://schemas.openxmlformats.org/drawingml/2006/main">
                        <a:graphicData uri="http://schemas.microsoft.com/office/word/2010/wordprocessingShape">
                          <wps:wsp>
                            <wps:cNvSpPr/>
                            <wps:spPr>
                              <a:xfrm>
                                <a:off x="0" y="0"/>
                                <a:ext cx="2051050" cy="309880"/>
                              </a:xfrm>
                              <a:prstGeom prst="rect">
                                <a:avLst/>
                              </a:prstGeom>
                              <a:solidFill>
                                <a:srgbClr val="C0504D"/>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E4EE8" id="Rectangle 1822411075" o:spid="_x0000_s1026" style="position:absolute;margin-left:295.7pt;margin-top:276.15pt;width:161.5pt;height:24.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" fillcolor="#c0504d" stroked="f" strokeweight="1pt"/>
                  </w:pict>
                </mc:Fallback>
              </mc:AlternateContent>
            </w:r>
            <w:r w:rsidRPr="000C465B">
              <w:rPr>
                <w:rFonts w:ascii="Calibri" w:hAnsi="Calibri"/>
                <w:noProof/>
              </w:rPr>
              <w:drawing>
                <wp:inline distT="0" distB="0" distL="0" distR="0" wp14:anchorId="2C827999" wp14:editId="247FBC7F">
                  <wp:extent cx="3402419" cy="4660848"/>
                  <wp:effectExtent l="0" t="0" r="7620" b="6985"/>
                  <wp:docPr id="465288351" name="Picture 465288351" descr="D:\NCWM\PALS Diagrams\Set 4\7-CQR\CQR-S7a-v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CWM\PALS Diagrams\Set 4\7-CQR\CQR-S7a-v10.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2598" cy="4702189"/>
                          </a:xfrm>
                          <a:prstGeom prst="rect">
                            <a:avLst/>
                          </a:prstGeom>
                          <a:noFill/>
                          <a:ln>
                            <a:noFill/>
                          </a:ln>
                        </pic:spPr>
                      </pic:pic>
                    </a:graphicData>
                  </a:graphic>
                </wp:inline>
              </w:drawing>
            </w:r>
          </w:p>
        </w:tc>
      </w:tr>
    </w:tbl>
    <w:p w14:paraId="5E777DD4" w14:textId="16479C03" w:rsidR="000C465B" w:rsidRPr="000C465B" w:rsidRDefault="00810BDD" w:rsidP="000C465B">
      <w:pPr>
        <w:spacing w:after="200" w:line="276" w:lineRule="auto"/>
        <w:jc w:val="left"/>
        <w:rPr>
          <w:szCs w:val="20"/>
        </w:rPr>
      </w:pPr>
      <w:r>
        <w:rPr>
          <w:szCs w:val="20"/>
        </w:rPr>
        <w:br/>
      </w:r>
      <w:r w:rsidR="000C465B" w:rsidRPr="000C465B">
        <w:rPr>
          <w:szCs w:val="20"/>
        </w:rPr>
        <w:t>Additional examples of a Comparative Quantity Representation include the following:</w:t>
      </w:r>
    </w:p>
    <w:p w14:paraId="292308E8"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Statement “Contains 1 Pound more than Brand X Largest Size” appearing on the PDP when </w:t>
      </w:r>
      <w:r w:rsidRPr="000C465B">
        <w:rPr>
          <w:szCs w:val="20"/>
        </w:rPr>
        <w:t>Declaration of Net Quantity</w:t>
      </w:r>
      <w:r w:rsidRPr="000C465B">
        <w:rPr>
          <w:rFonts w:eastAsia="Times New Roman"/>
          <w:szCs w:val="20"/>
        </w:rPr>
        <w:t xml:space="preserve"> reads “5 Pounds (2.26 Kilograms)”</w:t>
      </w:r>
    </w:p>
    <w:p w14:paraId="40196C6C" w14:textId="77777777" w:rsidR="000C465B" w:rsidRPr="000C465B" w:rsidRDefault="000C465B" w:rsidP="000C465B">
      <w:pPr>
        <w:spacing w:after="0"/>
        <w:ind w:left="720"/>
        <w:contextualSpacing/>
        <w:jc w:val="left"/>
        <w:rPr>
          <w:rFonts w:eastAsia="Times New Roman"/>
          <w:szCs w:val="20"/>
        </w:rPr>
      </w:pPr>
    </w:p>
    <w:p w14:paraId="2A61314B"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Statement “Contains 2 Ounces More than Brand Y 12 Ounce Box” appearing on the PDP when </w:t>
      </w:r>
      <w:r w:rsidRPr="000C465B">
        <w:rPr>
          <w:szCs w:val="20"/>
        </w:rPr>
        <w:t>Declaration of Net Quantity</w:t>
      </w:r>
      <w:r w:rsidRPr="000C465B">
        <w:rPr>
          <w:rFonts w:eastAsia="Times New Roman"/>
          <w:szCs w:val="20"/>
        </w:rPr>
        <w:t xml:space="preserve"> reads “14 Ounces (396 Grams</w:t>
      </w:r>
      <w:proofErr w:type="gramStart"/>
      <w:r w:rsidRPr="000C465B">
        <w:rPr>
          <w:rFonts w:eastAsia="Times New Roman"/>
          <w:szCs w:val="20"/>
        </w:rPr>
        <w:t>)</w:t>
      </w:r>
      <w:r w:rsidRPr="000C465B">
        <w:rPr>
          <w:rFonts w:eastAsia="Times New Roman"/>
          <w:noProof/>
          <w:szCs w:val="20"/>
        </w:rPr>
        <w:t xml:space="preserve"> </w:t>
      </w:r>
      <w:r w:rsidRPr="000C465B">
        <w:rPr>
          <w:rFonts w:eastAsia="Times New Roman"/>
          <w:szCs w:val="20"/>
        </w:rPr>
        <w:t>”</w:t>
      </w:r>
      <w:proofErr w:type="gramEnd"/>
    </w:p>
    <w:p w14:paraId="6DACDDB7" w14:textId="77777777" w:rsidR="000C465B" w:rsidRPr="000C465B" w:rsidRDefault="000C465B" w:rsidP="000C465B">
      <w:pPr>
        <w:spacing w:after="0"/>
        <w:contextualSpacing/>
        <w:jc w:val="left"/>
        <w:rPr>
          <w:rFonts w:eastAsia="Times New Roman"/>
          <w:szCs w:val="20"/>
        </w:rPr>
      </w:pPr>
    </w:p>
    <w:p w14:paraId="1BC29CA9"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Statement “Contains the Same 1.5 Liters as Our Old Package” appearing on the PDP when </w:t>
      </w:r>
      <w:r w:rsidRPr="000C465B">
        <w:rPr>
          <w:szCs w:val="20"/>
        </w:rPr>
        <w:t>Declaration of Net Quantity</w:t>
      </w:r>
      <w:r w:rsidRPr="000C465B">
        <w:rPr>
          <w:rFonts w:eastAsia="Times New Roman"/>
          <w:szCs w:val="20"/>
        </w:rPr>
        <w:t xml:space="preserve"> reads “1.5 Liters (1.58 Quarts)”</w:t>
      </w:r>
    </w:p>
    <w:p w14:paraId="1400B785" w14:textId="77777777" w:rsidR="000C465B" w:rsidRPr="000C465B" w:rsidRDefault="000C465B" w:rsidP="000C465B">
      <w:pPr>
        <w:spacing w:after="0"/>
        <w:contextualSpacing/>
        <w:jc w:val="left"/>
        <w:rPr>
          <w:rFonts w:eastAsia="Times New Roman"/>
          <w:szCs w:val="20"/>
        </w:rPr>
      </w:pPr>
    </w:p>
    <w:p w14:paraId="7A8D1EA9"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Statement “Contains 5 More Widgets than Brand Z 20 count Super Widget Assortment” appearing on the PDP when </w:t>
      </w:r>
      <w:r w:rsidRPr="000C465B">
        <w:rPr>
          <w:szCs w:val="20"/>
        </w:rPr>
        <w:t>Declaration of Net Quantity</w:t>
      </w:r>
      <w:r w:rsidRPr="000C465B">
        <w:rPr>
          <w:rFonts w:eastAsia="Times New Roman"/>
          <w:szCs w:val="20"/>
        </w:rPr>
        <w:t xml:space="preserve"> reads “2 Pounds (907 Grams)”</w:t>
      </w:r>
    </w:p>
    <w:p w14:paraId="12DE4630" w14:textId="77777777" w:rsidR="000C465B" w:rsidRPr="000C465B" w:rsidRDefault="000C465B" w:rsidP="000C465B">
      <w:pPr>
        <w:spacing w:after="0"/>
        <w:contextualSpacing/>
        <w:jc w:val="left"/>
        <w:rPr>
          <w:rFonts w:eastAsia="Times New Roman"/>
          <w:szCs w:val="20"/>
        </w:rPr>
      </w:pPr>
    </w:p>
    <w:p w14:paraId="74375E99"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 xml:space="preserve">Statement “8 Big Rolls = 12 Regular Rolls” appearing on PDP with correct </w:t>
      </w:r>
      <w:r w:rsidRPr="000C465B">
        <w:rPr>
          <w:szCs w:val="20"/>
        </w:rPr>
        <w:t>Declaration of Net Quantity</w:t>
      </w:r>
      <w:r w:rsidRPr="000C465B">
        <w:rPr>
          <w:rFonts w:eastAsia="Times New Roman"/>
          <w:szCs w:val="20"/>
        </w:rPr>
        <w:t xml:space="preserve"> for Paper Towel Product.  </w:t>
      </w:r>
    </w:p>
    <w:p w14:paraId="256D498C" w14:textId="789BB8CE" w:rsidR="000C465B" w:rsidRPr="000C465B" w:rsidRDefault="000C465B" w:rsidP="000C465B">
      <w:pPr>
        <w:spacing w:after="200" w:line="276" w:lineRule="auto"/>
        <w:rPr>
          <w:b/>
          <w:bCs/>
          <w:szCs w:val="20"/>
        </w:rPr>
      </w:pPr>
      <w:r w:rsidRPr="000C465B">
        <w:rPr>
          <w:b/>
          <w:szCs w:val="20"/>
        </w:rPr>
        <w:lastRenderedPageBreak/>
        <w:t xml:space="preserve">5.  </w:t>
      </w:r>
      <w:r w:rsidRPr="000C465B">
        <w:rPr>
          <w:b/>
          <w:szCs w:val="20"/>
          <w:u w:val="single"/>
        </w:rPr>
        <w:t>Comparative Performance Representation (CPR)</w:t>
      </w:r>
      <w:r w:rsidRPr="000C465B">
        <w:rPr>
          <w:b/>
          <w:bCs/>
          <w:szCs w:val="20"/>
        </w:rPr>
        <w:t xml:space="preserve"> </w:t>
      </w:r>
      <w:r w:rsidRPr="000C465B">
        <w:rPr>
          <w:szCs w:val="20"/>
        </w:rPr>
        <w:t>– an expression appearing on the Principal Display Panel (PDP) in addition to the Declaration of Net Quantity (</w:t>
      </w:r>
      <w:proofErr w:type="spellStart"/>
      <w:r w:rsidRPr="000C465B">
        <w:rPr>
          <w:szCs w:val="20"/>
        </w:rPr>
        <w:t>DoNQ</w:t>
      </w:r>
      <w:proofErr w:type="spellEnd"/>
      <w:r w:rsidRPr="000C465B">
        <w:rPr>
          <w:szCs w:val="20"/>
        </w:rPr>
        <w:t xml:space="preserve">) that compares the </w:t>
      </w:r>
      <w:r w:rsidRPr="000C465B">
        <w:rPr>
          <w:szCs w:val="20"/>
          <w:u w:val="single"/>
        </w:rPr>
        <w:t>performance</w:t>
      </w:r>
      <w:r w:rsidRPr="000C465B">
        <w:rPr>
          <w:szCs w:val="20"/>
        </w:rPr>
        <w:t xml:space="preserve"> of that package to the performance of a comparable product package produced by the same or a different manufacturer.  Examples of Comparative Performance Representations would include expressions such as “Same number of Uses as our Regular 18 Ounce Size”, “This Package Does 5 More Loads than Reed’s 4 Pound Powder Package”.  “Lasts as long as Reed’s 2 Pound Freshening Bar</w:t>
      </w:r>
      <w:r w:rsidRPr="000C465B">
        <w:rPr>
          <w:b/>
          <w:bCs/>
          <w:szCs w:val="20"/>
        </w:rPr>
        <w:t xml:space="preserve">”.  </w:t>
      </w:r>
    </w:p>
    <w:p w14:paraId="6CAB3714" w14:textId="77777777" w:rsidR="000C465B" w:rsidRPr="000C465B" w:rsidRDefault="000C465B" w:rsidP="000C465B">
      <w:pPr>
        <w:spacing w:after="0" w:line="276" w:lineRule="auto"/>
        <w:rPr>
          <w:szCs w:val="20"/>
        </w:rPr>
      </w:pPr>
      <w:r w:rsidRPr="000C465B">
        <w:rPr>
          <w:szCs w:val="20"/>
        </w:rPr>
        <w:t xml:space="preserve">In the package diagram below, the Comparative Performance Representation (CPR) would be the “Does twice as many loads for the same size!” expression which is present on the PDP in addition to the required Declaration of Net Quantity and the optionally added Derived Unit Expression (DUE).     </w:t>
      </w:r>
    </w:p>
    <w:tbl>
      <w:tblPr>
        <w:tblStyle w:val="TableGrid22"/>
        <w:tblW w:w="0" w:type="auto"/>
        <w:tblLook w:val="04A0" w:firstRow="1" w:lastRow="0" w:firstColumn="1" w:lastColumn="0" w:noHBand="0" w:noVBand="1"/>
      </w:tblPr>
      <w:tblGrid>
        <w:gridCol w:w="9350"/>
      </w:tblGrid>
      <w:tr w:rsidR="000C465B" w:rsidRPr="000C465B" w14:paraId="326A167F" w14:textId="77777777" w:rsidTr="005F0F3E">
        <w:tc>
          <w:tcPr>
            <w:tcW w:w="9350" w:type="dxa"/>
            <w:tcBorders>
              <w:top w:val="nil"/>
              <w:left w:val="nil"/>
              <w:bottom w:val="nil"/>
              <w:right w:val="nil"/>
            </w:tcBorders>
          </w:tcPr>
          <w:p w14:paraId="7F6CF572" w14:textId="77777777" w:rsidR="000C465B" w:rsidRPr="000C465B" w:rsidRDefault="000C465B" w:rsidP="000C465B">
            <w:pPr>
              <w:keepNext/>
              <w:spacing w:after="0"/>
              <w:rPr>
                <w:b/>
                <w:bCs/>
                <w:sz w:val="20"/>
                <w:szCs w:val="20"/>
              </w:rPr>
            </w:pPr>
          </w:p>
          <w:p w14:paraId="121107EF" w14:textId="77777777" w:rsidR="000C465B" w:rsidRPr="000C465B" w:rsidRDefault="000C465B" w:rsidP="000C465B">
            <w:pPr>
              <w:keepNext/>
              <w:spacing w:after="0"/>
              <w:rPr>
                <w:b/>
                <w:bCs/>
                <w:sz w:val="20"/>
                <w:szCs w:val="20"/>
              </w:rPr>
            </w:pPr>
            <w:r w:rsidRPr="000C465B">
              <w:rPr>
                <w:noProof/>
                <w:szCs w:val="20"/>
              </w:rPr>
              <mc:AlternateContent>
                <mc:Choice Requires="wps">
                  <w:drawing>
                    <wp:anchor distT="0" distB="0" distL="114300" distR="114300" simplePos="0" relativeHeight="251658263" behindDoc="0" locked="0" layoutInCell="1" allowOverlap="1" wp14:anchorId="536F2CC7" wp14:editId="6B15A38F">
                      <wp:simplePos x="0" y="0"/>
                      <wp:positionH relativeFrom="column">
                        <wp:posOffset>3531870</wp:posOffset>
                      </wp:positionH>
                      <wp:positionV relativeFrom="paragraph">
                        <wp:posOffset>3686810</wp:posOffset>
                      </wp:positionV>
                      <wp:extent cx="1819910" cy="261620"/>
                      <wp:effectExtent l="0" t="0" r="8890" b="5080"/>
                      <wp:wrapNone/>
                      <wp:docPr id="1428391066" name="Text Box 1428391066"/>
                      <wp:cNvGraphicFramePr/>
                      <a:graphic xmlns:a="http://schemas.openxmlformats.org/drawingml/2006/main">
                        <a:graphicData uri="http://schemas.microsoft.com/office/word/2010/wordprocessingShape">
                          <wps:wsp>
                            <wps:cNvSpPr txBox="1"/>
                            <wps:spPr>
                              <a:xfrm>
                                <a:off x="0" y="0"/>
                                <a:ext cx="1819910" cy="261620"/>
                              </a:xfrm>
                              <a:prstGeom prst="rect">
                                <a:avLst/>
                              </a:prstGeom>
                              <a:solidFill>
                                <a:srgbClr val="C0504D"/>
                              </a:solidFill>
                              <a:ln w="6350">
                                <a:noFill/>
                              </a:ln>
                            </wps:spPr>
                            <wps:txbx>
                              <w:txbxContent>
                                <w:p w14:paraId="6AF62953" w14:textId="77777777" w:rsidR="000C465B" w:rsidRPr="0078570A" w:rsidRDefault="000C465B" w:rsidP="000C465B">
                                  <w:pPr>
                                    <w:pStyle w:val="NoSpacing"/>
                                    <w:jc w:val="center"/>
                                    <w:rPr>
                                      <w:b/>
                                      <w:color w:val="FFFFFF"/>
                                    </w:rPr>
                                  </w:pPr>
                                  <w:r w:rsidRPr="0078570A">
                                    <w:rPr>
                                      <w:b/>
                                      <w:color w:val="FFFFFF"/>
                                    </w:rPr>
                                    <w:t>Declaration of Net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6F2CC7" id="Text Box 1428391066" o:spid="_x0000_s1043" type="#_x0000_t202" style="position:absolute;left:0;text-align:left;margin-left:278.1pt;margin-top:290.3pt;width:143.3pt;height:20.6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" fillcolor="#c0504d" stroked="f" strokeweight=".5pt">
                      <v:textbox>
                        <w:txbxContent>
                          <w:p w14:paraId="6AF62953" w14:textId="77777777" w:rsidR="000C465B" w:rsidRPr="0078570A" w:rsidRDefault="000C465B" w:rsidP="000C465B">
                            <w:pPr>
                              <w:pStyle w:val="NoSpacing"/>
                              <w:jc w:val="center"/>
                              <w:rPr>
                                <w:b/>
                                <w:color w:val="FFFFFF"/>
                              </w:rPr>
                            </w:pPr>
                            <w:r w:rsidRPr="0078570A">
                              <w:rPr>
                                <w:b/>
                                <w:color w:val="FFFFFF"/>
                              </w:rPr>
                              <w:t>Declaration of Net Quantity</w:t>
                            </w:r>
                          </w:p>
                        </w:txbxContent>
                      </v:textbox>
                    </v:shape>
                  </w:pict>
                </mc:Fallback>
              </mc:AlternateContent>
            </w:r>
            <w:r w:rsidRPr="000C465B">
              <w:rPr>
                <w:noProof/>
                <w:szCs w:val="20"/>
              </w:rPr>
              <mc:AlternateContent>
                <mc:Choice Requires="wps">
                  <w:drawing>
                    <wp:anchor distT="0" distB="0" distL="114300" distR="114300" simplePos="0" relativeHeight="251658274" behindDoc="0" locked="0" layoutInCell="1" allowOverlap="1" wp14:anchorId="383099EA" wp14:editId="3B8D6E50">
                      <wp:simplePos x="0" y="0"/>
                      <wp:positionH relativeFrom="column">
                        <wp:posOffset>3143250</wp:posOffset>
                      </wp:positionH>
                      <wp:positionV relativeFrom="paragraph">
                        <wp:posOffset>2123440</wp:posOffset>
                      </wp:positionV>
                      <wp:extent cx="2719070" cy="309880"/>
                      <wp:effectExtent l="0" t="0" r="5080" b="0"/>
                      <wp:wrapNone/>
                      <wp:docPr id="1547147638" name="Rectangle 1547147638"/>
                      <wp:cNvGraphicFramePr/>
                      <a:graphic xmlns:a="http://schemas.openxmlformats.org/drawingml/2006/main">
                        <a:graphicData uri="http://schemas.microsoft.com/office/word/2010/wordprocessingShape">
                          <wps:wsp>
                            <wps:cNvSpPr/>
                            <wps:spPr>
                              <a:xfrm>
                                <a:off x="0" y="0"/>
                                <a:ext cx="2719070" cy="309880"/>
                              </a:xfrm>
                              <a:prstGeom prst="rect">
                                <a:avLst/>
                              </a:prstGeom>
                              <a:solidFill>
                                <a:srgbClr val="003E7E"/>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044785" id="Rectangle 1547147638" o:spid="_x0000_s1026" style="position:absolute;margin-left:247.5pt;margin-top:167.2pt;width:214.1pt;height:24.4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" fillcolor="#003e7e" stroked="f" strokeweight="1pt"/>
                  </w:pict>
                </mc:Fallback>
              </mc:AlternateContent>
            </w:r>
            <w:r w:rsidRPr="000C465B">
              <w:rPr>
                <w:noProof/>
                <w:szCs w:val="20"/>
              </w:rPr>
              <mc:AlternateContent>
                <mc:Choice Requires="wps">
                  <w:drawing>
                    <wp:anchor distT="0" distB="0" distL="114300" distR="114300" simplePos="0" relativeHeight="251658290" behindDoc="0" locked="0" layoutInCell="1" allowOverlap="1" wp14:anchorId="3BCDD7C4" wp14:editId="62DB58D6">
                      <wp:simplePos x="0" y="0"/>
                      <wp:positionH relativeFrom="column">
                        <wp:posOffset>1489710</wp:posOffset>
                      </wp:positionH>
                      <wp:positionV relativeFrom="paragraph">
                        <wp:posOffset>2273300</wp:posOffset>
                      </wp:positionV>
                      <wp:extent cx="1669415" cy="0"/>
                      <wp:effectExtent l="0" t="95250" r="0" b="95250"/>
                      <wp:wrapNone/>
                      <wp:docPr id="2085601777" name="Straight Arrow Connector 2085601777"/>
                      <wp:cNvGraphicFramePr/>
                      <a:graphic xmlns:a="http://schemas.openxmlformats.org/drawingml/2006/main">
                        <a:graphicData uri="http://schemas.microsoft.com/office/word/2010/wordprocessingShape">
                          <wps:wsp>
                            <wps:cNvCnPr/>
                            <wps:spPr>
                              <a:xfrm flipH="1">
                                <a:off x="0" y="0"/>
                                <a:ext cx="1669415" cy="0"/>
                              </a:xfrm>
                              <a:prstGeom prst="straightConnector1">
                                <a:avLst/>
                              </a:prstGeom>
                              <a:noFill/>
                              <a:ln w="38100" cap="flat" cmpd="sng" algn="ctr">
                                <a:solidFill>
                                  <a:srgbClr val="003E7E"/>
                                </a:solidFill>
                                <a:prstDash val="solid"/>
                                <a:tailEnd type="triangle"/>
                              </a:ln>
                              <a:effectLst/>
                            </wps:spPr>
                            <wps:bodyPr/>
                          </wps:wsp>
                        </a:graphicData>
                      </a:graphic>
                    </wp:anchor>
                  </w:drawing>
                </mc:Choice>
                <mc:Fallback>
                  <w:pict>
                    <v:shape w14:anchorId="516814BE" id="Straight Arrow Connector 2085601777" o:spid="_x0000_s1026" type="#_x0000_t32" style="position:absolute;margin-left:117.3pt;margin-top:179pt;width:131.45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" strokecolor="#003e7e" strokeweight="3pt">
                      <v:stroke endarrow="block"/>
                    </v:shape>
                  </w:pict>
                </mc:Fallback>
              </mc:AlternateContent>
            </w:r>
            <w:r w:rsidRPr="000C465B">
              <w:rPr>
                <w:noProof/>
                <w:szCs w:val="20"/>
              </w:rPr>
              <mc:AlternateContent>
                <mc:Choice Requires="wps">
                  <w:drawing>
                    <wp:anchor distT="0" distB="0" distL="114300" distR="114300" simplePos="0" relativeHeight="251658275" behindDoc="0" locked="0" layoutInCell="1" allowOverlap="1" wp14:anchorId="13EBF365" wp14:editId="5DE52183">
                      <wp:simplePos x="0" y="0"/>
                      <wp:positionH relativeFrom="column">
                        <wp:posOffset>3143250</wp:posOffset>
                      </wp:positionH>
                      <wp:positionV relativeFrom="paragraph">
                        <wp:posOffset>2129790</wp:posOffset>
                      </wp:positionV>
                      <wp:extent cx="2774315" cy="261620"/>
                      <wp:effectExtent l="0" t="0" r="0" b="5080"/>
                      <wp:wrapNone/>
                      <wp:docPr id="1055651522" name="Text Box 1055651522"/>
                      <wp:cNvGraphicFramePr/>
                      <a:graphic xmlns:a="http://schemas.openxmlformats.org/drawingml/2006/main">
                        <a:graphicData uri="http://schemas.microsoft.com/office/word/2010/wordprocessingShape">
                          <wps:wsp>
                            <wps:cNvSpPr txBox="1"/>
                            <wps:spPr>
                              <a:xfrm>
                                <a:off x="0" y="0"/>
                                <a:ext cx="2774315" cy="261620"/>
                              </a:xfrm>
                              <a:prstGeom prst="rect">
                                <a:avLst/>
                              </a:prstGeom>
                              <a:noFill/>
                              <a:ln w="6350">
                                <a:noFill/>
                              </a:ln>
                            </wps:spPr>
                            <wps:txbx>
                              <w:txbxContent>
                                <w:p w14:paraId="04C900BF" w14:textId="77777777" w:rsidR="000C465B" w:rsidRPr="0078570A" w:rsidRDefault="000C465B" w:rsidP="000C465B">
                                  <w:pPr>
                                    <w:pStyle w:val="NoSpacing"/>
                                    <w:jc w:val="center"/>
                                    <w:rPr>
                                      <w:b/>
                                      <w:color w:val="FFFFFF"/>
                                    </w:rPr>
                                  </w:pPr>
                                  <w:r w:rsidRPr="0078570A">
                                    <w:rPr>
                                      <w:b/>
                                      <w:color w:val="FFFFFF"/>
                                    </w:rPr>
                                    <w:t>Comparative Performance Representation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BF365" id="Text Box 1055651522" o:spid="_x0000_s1044" type="#_x0000_t202" style="position:absolute;left:0;text-align:left;margin-left:247.5pt;margin-top:167.7pt;width:218.45pt;height:20.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" filled="f" stroked="f" strokeweight=".5pt">
                      <v:textbox>
                        <w:txbxContent>
                          <w:p w14:paraId="04C900BF" w14:textId="77777777" w:rsidR="000C465B" w:rsidRPr="0078570A" w:rsidRDefault="000C465B" w:rsidP="000C465B">
                            <w:pPr>
                              <w:pStyle w:val="NoSpacing"/>
                              <w:jc w:val="center"/>
                              <w:rPr>
                                <w:b/>
                                <w:color w:val="FFFFFF"/>
                              </w:rPr>
                            </w:pPr>
                            <w:r w:rsidRPr="0078570A">
                              <w:rPr>
                                <w:b/>
                                <w:color w:val="FFFFFF"/>
                              </w:rPr>
                              <w:t>Comparative Performance Representation</w:t>
                            </w:r>
                          </w:p>
                        </w:txbxContent>
                      </v:textbox>
                    </v:shape>
                  </w:pict>
                </mc:Fallback>
              </mc:AlternateContent>
            </w:r>
            <w:r w:rsidRPr="000C465B">
              <w:rPr>
                <w:noProof/>
                <w:szCs w:val="20"/>
              </w:rPr>
              <mc:AlternateContent>
                <mc:Choice Requires="wps">
                  <w:drawing>
                    <wp:anchor distT="0" distB="0" distL="114300" distR="114300" simplePos="0" relativeHeight="251658291" behindDoc="0" locked="0" layoutInCell="1" allowOverlap="1" wp14:anchorId="3A4384CB" wp14:editId="4B4A304B">
                      <wp:simplePos x="0" y="0"/>
                      <wp:positionH relativeFrom="column">
                        <wp:posOffset>2244725</wp:posOffset>
                      </wp:positionH>
                      <wp:positionV relativeFrom="paragraph">
                        <wp:posOffset>3810635</wp:posOffset>
                      </wp:positionV>
                      <wp:extent cx="1287780" cy="0"/>
                      <wp:effectExtent l="0" t="95250" r="0" b="95250"/>
                      <wp:wrapNone/>
                      <wp:docPr id="1644244310" name="Straight Arrow Connector 1644244310"/>
                      <wp:cNvGraphicFramePr/>
                      <a:graphic xmlns:a="http://schemas.openxmlformats.org/drawingml/2006/main">
                        <a:graphicData uri="http://schemas.microsoft.com/office/word/2010/wordprocessingShape">
                          <wps:wsp>
                            <wps:cNvCnPr/>
                            <wps:spPr>
                              <a:xfrm flipH="1">
                                <a:off x="0" y="0"/>
                                <a:ext cx="1287780" cy="0"/>
                              </a:xfrm>
                              <a:prstGeom prst="straightConnector1">
                                <a:avLst/>
                              </a:prstGeom>
                              <a:noFill/>
                              <a:ln w="38100" cap="flat" cmpd="sng" algn="ctr">
                                <a:solidFill>
                                  <a:srgbClr val="C0504D"/>
                                </a:solidFill>
                                <a:prstDash val="solid"/>
                                <a:tailEnd type="triangle"/>
                              </a:ln>
                              <a:effectLst/>
                            </wps:spPr>
                            <wps:bodyPr/>
                          </wps:wsp>
                        </a:graphicData>
                      </a:graphic>
                    </wp:anchor>
                  </w:drawing>
                </mc:Choice>
                <mc:Fallback>
                  <w:pict>
                    <v:shape w14:anchorId="4ACE8A39" id="Straight Arrow Connector 1644244310" o:spid="_x0000_s1026" type="#_x0000_t32" style="position:absolute;margin-left:176.75pt;margin-top:300.05pt;width:101.4pt;height:0;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" strokecolor="#c0504d" strokeweight="3pt">
                      <v:stroke endarrow="block"/>
                    </v:shape>
                  </w:pict>
                </mc:Fallback>
              </mc:AlternateContent>
            </w:r>
            <w:r w:rsidRPr="000C465B">
              <w:rPr>
                <w:b/>
                <w:bCs/>
                <w:noProof/>
                <w:szCs w:val="20"/>
              </w:rPr>
              <w:drawing>
                <wp:inline distT="0" distB="0" distL="0" distR="0" wp14:anchorId="782B9133" wp14:editId="2BCB7E0A">
                  <wp:extent cx="2790825" cy="4766938"/>
                  <wp:effectExtent l="0" t="0" r="0" b="0"/>
                  <wp:docPr id="689017911" name="Picture 689017911" descr="D:\NCWM\PALS Diagrams\Set 4\8-CPR\CPR-S8a-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CWM\PALS Diagrams\Set 4\8-CPR\CPR-S8a-v4.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90825" cy="4766938"/>
                          </a:xfrm>
                          <a:prstGeom prst="rect">
                            <a:avLst/>
                          </a:prstGeom>
                          <a:noFill/>
                          <a:ln>
                            <a:noFill/>
                          </a:ln>
                        </pic:spPr>
                      </pic:pic>
                    </a:graphicData>
                  </a:graphic>
                </wp:inline>
              </w:drawing>
            </w:r>
          </w:p>
        </w:tc>
      </w:tr>
    </w:tbl>
    <w:p w14:paraId="2AEDC23B" w14:textId="77777777" w:rsidR="000C465B" w:rsidRPr="000C465B" w:rsidRDefault="000C465B" w:rsidP="000C465B">
      <w:pPr>
        <w:spacing w:before="120" w:after="200" w:line="276" w:lineRule="auto"/>
        <w:jc w:val="left"/>
        <w:rPr>
          <w:szCs w:val="20"/>
        </w:rPr>
      </w:pPr>
      <w:r w:rsidRPr="000C465B">
        <w:rPr>
          <w:szCs w:val="20"/>
        </w:rPr>
        <w:t> Examples of a Comparative Performance Representation include the following:</w:t>
      </w:r>
    </w:p>
    <w:p w14:paraId="7E411ED5"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“Same Uses as our Regular 18 Ounce Size Product” appearing on the PDP when Declaration of Net Quantity reads “8 Ounces (226 Grams)”</w:t>
      </w:r>
    </w:p>
    <w:p w14:paraId="2348C392" w14:textId="77777777" w:rsidR="000C465B" w:rsidRPr="000C465B" w:rsidRDefault="000C465B" w:rsidP="000C465B">
      <w:pPr>
        <w:spacing w:after="0"/>
        <w:ind w:left="720"/>
        <w:contextualSpacing/>
        <w:jc w:val="left"/>
        <w:rPr>
          <w:rFonts w:eastAsia="Times New Roman"/>
          <w:szCs w:val="20"/>
        </w:rPr>
      </w:pPr>
    </w:p>
    <w:p w14:paraId="39838AFC"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“20 more Doses than our Regular Size” appearing on the PDP when Declaration of Net Quantity reads “4 Ounces (113 Grams)”</w:t>
      </w:r>
    </w:p>
    <w:p w14:paraId="0677C250" w14:textId="77777777" w:rsidR="000C465B" w:rsidRPr="000C465B" w:rsidRDefault="000C465B" w:rsidP="000C465B">
      <w:pPr>
        <w:spacing w:after="0"/>
        <w:contextualSpacing/>
        <w:jc w:val="left"/>
        <w:rPr>
          <w:rFonts w:eastAsia="Times New Roman"/>
          <w:szCs w:val="20"/>
        </w:rPr>
      </w:pPr>
    </w:p>
    <w:p w14:paraId="3B662598"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“Lasts 2 Months Longer than Brand M” appearing on the PDP when Declaration of Net Quantity reads “1.5 Liters (1.58 Quarts)”</w:t>
      </w:r>
    </w:p>
    <w:p w14:paraId="58BD0A57" w14:textId="77777777" w:rsidR="000C465B" w:rsidRPr="000C465B" w:rsidRDefault="000C465B" w:rsidP="000C465B">
      <w:pPr>
        <w:spacing w:after="0"/>
        <w:contextualSpacing/>
        <w:jc w:val="left"/>
        <w:rPr>
          <w:rFonts w:eastAsia="Times New Roman"/>
          <w:szCs w:val="20"/>
        </w:rPr>
      </w:pPr>
    </w:p>
    <w:p w14:paraId="67428871" w14:textId="77777777" w:rsidR="000C465B" w:rsidRPr="000C465B" w:rsidRDefault="000C465B" w:rsidP="007169B6">
      <w:pPr>
        <w:numPr>
          <w:ilvl w:val="0"/>
          <w:numId w:val="72"/>
        </w:numPr>
        <w:spacing w:after="0" w:line="276" w:lineRule="auto"/>
        <w:contextualSpacing/>
        <w:jc w:val="left"/>
        <w:rPr>
          <w:rFonts w:eastAsia="Times New Roman"/>
          <w:szCs w:val="20"/>
        </w:rPr>
      </w:pPr>
      <w:r w:rsidRPr="000C465B">
        <w:rPr>
          <w:rFonts w:eastAsia="Times New Roman"/>
          <w:szCs w:val="20"/>
        </w:rPr>
        <w:t>Statement “Double the Absorptive Ability as Regular 20 Pound Products” appearing on the PDP when Declaration of Net Quantity reads “12 Pounds (5.44 Kilograms)”</w:t>
      </w:r>
    </w:p>
    <w:p w14:paraId="7E7932E9" w14:textId="77777777" w:rsidR="000C465B" w:rsidRPr="000C465B" w:rsidRDefault="000C465B" w:rsidP="000C465B">
      <w:pPr>
        <w:spacing w:after="200" w:line="276" w:lineRule="auto"/>
        <w:jc w:val="left"/>
        <w:rPr>
          <w:rFonts w:ascii="Calibri" w:hAnsi="Calibri"/>
          <w:sz w:val="22"/>
        </w:rPr>
      </w:pPr>
    </w:p>
    <w:p w14:paraId="0AA30903" w14:textId="77777777" w:rsidR="000C465B" w:rsidRPr="000C465B" w:rsidRDefault="000C465B" w:rsidP="000C465B">
      <w:pPr>
        <w:keepNext/>
        <w:spacing w:after="200" w:line="276" w:lineRule="auto"/>
        <w:jc w:val="center"/>
        <w:rPr>
          <w:b/>
          <w:sz w:val="36"/>
          <w:szCs w:val="36"/>
        </w:rPr>
      </w:pPr>
      <w:bookmarkStart w:id="888" w:name="Principles_Recommendations"/>
      <w:bookmarkEnd w:id="888"/>
      <w:r w:rsidRPr="000C465B">
        <w:rPr>
          <w:b/>
          <w:sz w:val="36"/>
          <w:szCs w:val="36"/>
        </w:rPr>
        <w:t>Principles &amp; Recommendations by Expression Category</w:t>
      </w:r>
    </w:p>
    <w:p w14:paraId="2B9D6F04" w14:textId="77777777" w:rsidR="000C465B" w:rsidRPr="000C465B" w:rsidRDefault="000C465B" w:rsidP="000C465B">
      <w:pPr>
        <w:keepNext/>
        <w:spacing w:after="200" w:line="276" w:lineRule="auto"/>
        <w:rPr>
          <w:rFonts w:eastAsia="Times New Roman"/>
          <w:szCs w:val="20"/>
        </w:rPr>
      </w:pPr>
      <w:r w:rsidRPr="000C465B">
        <w:rPr>
          <w:rFonts w:eastAsia="Times New Roman"/>
          <w:szCs w:val="20"/>
        </w:rPr>
        <w:t>In developing category principles and recommendations, the NCWM recognized that some principles should apply broadly across all or most expression categories while others may apply narrowly to a single or limited number of expression categories. To develop principles and recommendations that do not contain category-by-category repetition, the NCWM is providing the information in a tabular fashion.</w:t>
      </w:r>
    </w:p>
    <w:p w14:paraId="51B8A566" w14:textId="77777777" w:rsidR="000C465B" w:rsidRPr="000C465B" w:rsidRDefault="000C465B" w:rsidP="000C465B">
      <w:pPr>
        <w:spacing w:after="200" w:line="276" w:lineRule="auto"/>
        <w:rPr>
          <w:rFonts w:eastAsia="Times New Roman"/>
          <w:szCs w:val="20"/>
        </w:rPr>
      </w:pPr>
      <w:r w:rsidRPr="000C465B">
        <w:rPr>
          <w:rFonts w:eastAsia="Times New Roman"/>
          <w:szCs w:val="20"/>
        </w:rPr>
        <w:t>This document has been drafted according to the schematic below with the presumption that a user would:</w:t>
      </w:r>
    </w:p>
    <w:p w14:paraId="33AE15B1" w14:textId="77777777" w:rsidR="000C465B" w:rsidRPr="000C465B" w:rsidRDefault="000C465B" w:rsidP="000C465B">
      <w:pPr>
        <w:spacing w:after="200" w:line="276" w:lineRule="auto"/>
        <w:rPr>
          <w:rFonts w:eastAsia="Times New Roman"/>
          <w:szCs w:val="20"/>
        </w:rPr>
      </w:pPr>
      <w:r w:rsidRPr="000C465B">
        <w:rPr>
          <w:rFonts w:eastAsia="Times New Roman"/>
          <w:szCs w:val="20"/>
        </w:rPr>
        <w:t xml:space="preserve">1) Determine the applicable expression category from the definitions above, </w:t>
      </w:r>
    </w:p>
    <w:p w14:paraId="388306C3" w14:textId="77777777" w:rsidR="000C465B" w:rsidRPr="000C465B" w:rsidRDefault="000C465B" w:rsidP="000C465B">
      <w:pPr>
        <w:spacing w:after="200" w:line="276" w:lineRule="auto"/>
        <w:rPr>
          <w:rFonts w:eastAsia="Times New Roman"/>
          <w:szCs w:val="20"/>
        </w:rPr>
      </w:pPr>
      <w:r w:rsidRPr="000C465B">
        <w:rPr>
          <w:rFonts w:eastAsia="Times New Roman"/>
          <w:szCs w:val="20"/>
        </w:rPr>
        <w:t xml:space="preserve">2) Determine which principles should be evaluated based on Table 1, and </w:t>
      </w:r>
    </w:p>
    <w:p w14:paraId="15A72A0E" w14:textId="77777777" w:rsidR="000C465B" w:rsidRPr="000C465B" w:rsidRDefault="000C465B" w:rsidP="000C465B">
      <w:pPr>
        <w:spacing w:after="200" w:line="276" w:lineRule="auto"/>
        <w:rPr>
          <w:rFonts w:eastAsia="Times New Roman"/>
          <w:szCs w:val="20"/>
        </w:rPr>
      </w:pPr>
      <w:r w:rsidRPr="000C465B">
        <w:rPr>
          <w:rFonts w:eastAsia="Times New Roman"/>
          <w:szCs w:val="20"/>
        </w:rPr>
        <w:t xml:space="preserve">3) Review the additional guidance available in Table 2 as needed.  Table 1 identifies the principles generally applicable to each expression category, and Table 2 provides further details and guidance on each principle.   </w:t>
      </w:r>
    </w:p>
    <w:p w14:paraId="49050BF0" w14:textId="77777777" w:rsidR="000C465B" w:rsidRPr="000C465B" w:rsidRDefault="000C465B" w:rsidP="000C465B">
      <w:pPr>
        <w:spacing w:after="200" w:line="276" w:lineRule="auto"/>
        <w:rPr>
          <w:rFonts w:eastAsia="Times New Roman"/>
          <w:sz w:val="22"/>
        </w:rPr>
      </w:pPr>
    </w:p>
    <w:p w14:paraId="61A7E082" w14:textId="77777777" w:rsidR="000C465B" w:rsidRPr="000C465B" w:rsidRDefault="000C465B" w:rsidP="000C465B">
      <w:pPr>
        <w:spacing w:after="200" w:line="276" w:lineRule="auto"/>
        <w:jc w:val="left"/>
        <w:rPr>
          <w:rFonts w:eastAsia="Times New Roman"/>
          <w:sz w:val="24"/>
          <w:szCs w:val="24"/>
        </w:rPr>
      </w:pPr>
      <w:r w:rsidRPr="000C465B">
        <w:rPr>
          <w:rFonts w:eastAsia="Times New Roman"/>
          <w:noProof/>
          <w:sz w:val="24"/>
          <w:szCs w:val="24"/>
        </w:rPr>
        <mc:AlternateContent>
          <mc:Choice Requires="wps">
            <w:drawing>
              <wp:anchor distT="0" distB="0" distL="114300" distR="114300" simplePos="0" relativeHeight="251658245" behindDoc="0" locked="0" layoutInCell="1" allowOverlap="1" wp14:anchorId="3148B277" wp14:editId="4CF33A46">
                <wp:simplePos x="0" y="0"/>
                <wp:positionH relativeFrom="column">
                  <wp:posOffset>2190750</wp:posOffset>
                </wp:positionH>
                <wp:positionV relativeFrom="paragraph">
                  <wp:posOffset>46517</wp:posOffset>
                </wp:positionV>
                <wp:extent cx="1905000" cy="914400"/>
                <wp:effectExtent l="0" t="0" r="19050" b="19050"/>
                <wp:wrapNone/>
                <wp:docPr id="1695941700" name="Text Box 1695941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41397072" w14:textId="77777777" w:rsidR="000C465B" w:rsidRPr="00D26685" w:rsidRDefault="000C465B" w:rsidP="000C465B">
                            <w:pPr>
                              <w:spacing w:after="0"/>
                              <w:jc w:val="center"/>
                              <w:rPr>
                                <w:sz w:val="10"/>
                                <w:szCs w:val="10"/>
                              </w:rPr>
                            </w:pPr>
                          </w:p>
                          <w:p w14:paraId="539BAAD4" w14:textId="77777777" w:rsidR="000C465B" w:rsidRPr="0095677B" w:rsidRDefault="000C465B" w:rsidP="000C465B">
                            <w:pPr>
                              <w:spacing w:after="0"/>
                              <w:jc w:val="center"/>
                              <w:rPr>
                                <w:b/>
                                <w:bCs/>
                              </w:rPr>
                            </w:pPr>
                            <w:r w:rsidRPr="0095677B">
                              <w:rPr>
                                <w:b/>
                                <w:bCs/>
                              </w:rPr>
                              <w:t>Identify</w:t>
                            </w:r>
                          </w:p>
                          <w:p w14:paraId="15F56E45" w14:textId="77777777" w:rsidR="000C465B" w:rsidRPr="0095677B" w:rsidRDefault="000C465B" w:rsidP="000C465B">
                            <w:pPr>
                              <w:spacing w:after="0"/>
                              <w:jc w:val="center"/>
                              <w:rPr>
                                <w:b/>
                                <w:bCs/>
                              </w:rPr>
                            </w:pPr>
                            <w:r w:rsidRPr="0095677B">
                              <w:rPr>
                                <w:b/>
                                <w:bCs/>
                              </w:rPr>
                              <w:t>Expression</w:t>
                            </w:r>
                          </w:p>
                          <w:p w14:paraId="03940C16" w14:textId="77777777" w:rsidR="000C465B" w:rsidRPr="0095677B" w:rsidRDefault="000C465B" w:rsidP="000C465B">
                            <w:pPr>
                              <w:jc w:val="center"/>
                              <w:rPr>
                                <w:b/>
                                <w:bCs/>
                              </w:rPr>
                            </w:pPr>
                            <w:r w:rsidRPr="0095677B">
                              <w:rPr>
                                <w:b/>
                                <w:bCs/>
                              </w:rPr>
                              <w:t>Category(ies)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8B277" id="Text Box 1695941700" o:spid="_x0000_s1045" type="#_x0000_t202" style="position:absolute;margin-left:172.5pt;margin-top:3.65pt;width:150pt;height:1in;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">
                <v:textbox>
                  <w:txbxContent>
                    <w:p w14:paraId="41397072" w14:textId="77777777" w:rsidR="000C465B" w:rsidRPr="00D26685" w:rsidRDefault="000C465B" w:rsidP="000C465B">
                      <w:pPr>
                        <w:spacing w:after="0"/>
                        <w:jc w:val="center"/>
                        <w:rPr>
                          <w:sz w:val="10"/>
                          <w:szCs w:val="10"/>
                        </w:rPr>
                      </w:pPr>
                    </w:p>
                    <w:p w14:paraId="539BAAD4" w14:textId="77777777" w:rsidR="000C465B" w:rsidRPr="0095677B" w:rsidRDefault="000C465B" w:rsidP="000C465B">
                      <w:pPr>
                        <w:spacing w:after="0"/>
                        <w:jc w:val="center"/>
                        <w:rPr>
                          <w:b/>
                          <w:bCs/>
                        </w:rPr>
                      </w:pPr>
                      <w:r w:rsidRPr="0095677B">
                        <w:rPr>
                          <w:b/>
                          <w:bCs/>
                        </w:rPr>
                        <w:t>Identify</w:t>
                      </w:r>
                    </w:p>
                    <w:p w14:paraId="15F56E45" w14:textId="77777777" w:rsidR="000C465B" w:rsidRPr="0095677B" w:rsidRDefault="000C465B" w:rsidP="000C465B">
                      <w:pPr>
                        <w:spacing w:after="0"/>
                        <w:jc w:val="center"/>
                        <w:rPr>
                          <w:b/>
                          <w:bCs/>
                        </w:rPr>
                      </w:pPr>
                      <w:r w:rsidRPr="0095677B">
                        <w:rPr>
                          <w:b/>
                          <w:bCs/>
                        </w:rPr>
                        <w:t>Expression</w:t>
                      </w:r>
                    </w:p>
                    <w:p w14:paraId="03940C16" w14:textId="77777777" w:rsidR="000C465B" w:rsidRPr="0095677B" w:rsidRDefault="000C465B" w:rsidP="000C465B">
                      <w:pPr>
                        <w:jc w:val="center"/>
                        <w:rPr>
                          <w:b/>
                          <w:bCs/>
                        </w:rPr>
                      </w:pPr>
                      <w:r w:rsidRPr="0095677B">
                        <w:rPr>
                          <w:b/>
                          <w:bCs/>
                        </w:rPr>
                        <w:t>Category(ies)</w:t>
                      </w:r>
                    </w:p>
                  </w:txbxContent>
                </v:textbox>
              </v:shape>
            </w:pict>
          </mc:Fallback>
        </mc:AlternateContent>
      </w:r>
      <w:r w:rsidRPr="000C465B">
        <w:rPr>
          <w:rFonts w:eastAsia="Times New Roman"/>
          <w:sz w:val="24"/>
          <w:szCs w:val="24"/>
        </w:rPr>
        <w:tab/>
      </w:r>
      <w:r w:rsidRPr="000C465B">
        <w:rPr>
          <w:rFonts w:eastAsia="Times New Roman"/>
          <w:sz w:val="24"/>
          <w:szCs w:val="24"/>
        </w:rPr>
        <w:tab/>
      </w:r>
      <w:r w:rsidRPr="000C465B">
        <w:rPr>
          <w:rFonts w:eastAsia="Times New Roman"/>
          <w:sz w:val="24"/>
          <w:szCs w:val="24"/>
        </w:rPr>
        <w:tab/>
      </w:r>
      <w:r w:rsidRPr="000C465B">
        <w:rPr>
          <w:rFonts w:eastAsia="Times New Roman"/>
          <w:sz w:val="24"/>
          <w:szCs w:val="24"/>
        </w:rPr>
        <w:tab/>
      </w:r>
      <w:r w:rsidRPr="000C465B">
        <w:rPr>
          <w:rFonts w:eastAsia="Times New Roman"/>
          <w:sz w:val="24"/>
          <w:szCs w:val="24"/>
        </w:rPr>
        <w:tab/>
      </w:r>
      <w:r w:rsidRPr="000C465B">
        <w:rPr>
          <w:rFonts w:eastAsia="Times New Roman"/>
          <w:sz w:val="24"/>
          <w:szCs w:val="24"/>
        </w:rPr>
        <w:tab/>
        <w:t xml:space="preserve"> </w:t>
      </w:r>
    </w:p>
    <w:p w14:paraId="005CD1C4" w14:textId="77777777" w:rsidR="000C465B" w:rsidRPr="000C465B" w:rsidRDefault="000C465B" w:rsidP="000C465B">
      <w:pPr>
        <w:spacing w:after="200" w:line="276" w:lineRule="auto"/>
        <w:jc w:val="left"/>
        <w:rPr>
          <w:rFonts w:eastAsia="Times New Roman"/>
          <w:sz w:val="24"/>
          <w:szCs w:val="24"/>
        </w:rPr>
      </w:pPr>
    </w:p>
    <w:p w14:paraId="03E80D52" w14:textId="77777777" w:rsidR="000C465B" w:rsidRPr="000C465B" w:rsidRDefault="000C465B" w:rsidP="000C465B">
      <w:pPr>
        <w:spacing w:after="200" w:line="276" w:lineRule="auto"/>
        <w:jc w:val="left"/>
        <w:rPr>
          <w:rFonts w:eastAsia="Times New Roman"/>
          <w:sz w:val="24"/>
          <w:szCs w:val="24"/>
        </w:rPr>
      </w:pPr>
      <w:r w:rsidRPr="000C465B">
        <w:rPr>
          <w:rFonts w:eastAsia="Times New Roman"/>
          <w:noProof/>
          <w:sz w:val="24"/>
          <w:szCs w:val="24"/>
        </w:rPr>
        <mc:AlternateContent>
          <mc:Choice Requires="wps">
            <w:drawing>
              <wp:anchor distT="0" distB="0" distL="114300" distR="114300" simplePos="0" relativeHeight="251658248" behindDoc="0" locked="0" layoutInCell="1" allowOverlap="1" wp14:anchorId="2A0F6E5E" wp14:editId="2D09C4F2">
                <wp:simplePos x="0" y="0"/>
                <wp:positionH relativeFrom="column">
                  <wp:posOffset>3162300</wp:posOffset>
                </wp:positionH>
                <wp:positionV relativeFrom="paragraph">
                  <wp:posOffset>304800</wp:posOffset>
                </wp:positionV>
                <wp:extent cx="0" cy="795655"/>
                <wp:effectExtent l="76200" t="0" r="57150" b="61595"/>
                <wp:wrapNone/>
                <wp:docPr id="13078093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726CE" id="AutoShape 11" o:spid="_x0000_s1026" type="#_x0000_t32" style="position:absolute;margin-left:249pt;margin-top:24pt;width:0;height:6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">
                <v:stroke endarrow="block"/>
              </v:shape>
            </w:pict>
          </mc:Fallback>
        </mc:AlternateContent>
      </w:r>
    </w:p>
    <w:p w14:paraId="7853B058" w14:textId="77777777" w:rsidR="000C465B" w:rsidRPr="000C465B" w:rsidRDefault="000C465B" w:rsidP="000C465B">
      <w:pPr>
        <w:spacing w:after="200" w:line="276" w:lineRule="auto"/>
        <w:jc w:val="left"/>
        <w:rPr>
          <w:rFonts w:eastAsia="Times New Roman"/>
          <w:sz w:val="24"/>
          <w:szCs w:val="24"/>
        </w:rPr>
      </w:pPr>
    </w:p>
    <w:p w14:paraId="3DA118F7" w14:textId="77777777" w:rsidR="000C465B" w:rsidRPr="000C465B" w:rsidRDefault="000C465B" w:rsidP="000C465B">
      <w:pPr>
        <w:spacing w:after="200" w:line="276" w:lineRule="auto"/>
        <w:jc w:val="left"/>
        <w:rPr>
          <w:rFonts w:eastAsia="Times New Roman"/>
          <w:sz w:val="24"/>
          <w:szCs w:val="24"/>
        </w:rPr>
      </w:pPr>
    </w:p>
    <w:p w14:paraId="68478C20" w14:textId="77777777" w:rsidR="000C465B" w:rsidRPr="000C465B" w:rsidRDefault="000C465B" w:rsidP="000C465B">
      <w:pPr>
        <w:spacing w:after="200" w:line="276" w:lineRule="auto"/>
        <w:jc w:val="left"/>
        <w:rPr>
          <w:rFonts w:eastAsia="Times New Roman"/>
          <w:sz w:val="24"/>
          <w:szCs w:val="24"/>
        </w:rPr>
      </w:pPr>
      <w:r w:rsidRPr="000C465B">
        <w:rPr>
          <w:rFonts w:eastAsia="Times New Roman"/>
          <w:noProof/>
          <w:sz w:val="24"/>
          <w:szCs w:val="24"/>
        </w:rPr>
        <mc:AlternateContent>
          <mc:Choice Requires="wps">
            <w:drawing>
              <wp:anchor distT="0" distB="0" distL="114300" distR="114300" simplePos="0" relativeHeight="251658246" behindDoc="0" locked="0" layoutInCell="1" allowOverlap="1" wp14:anchorId="6AD5459D" wp14:editId="12DC7FBD">
                <wp:simplePos x="0" y="0"/>
                <wp:positionH relativeFrom="column">
                  <wp:posOffset>2190750</wp:posOffset>
                </wp:positionH>
                <wp:positionV relativeFrom="paragraph">
                  <wp:posOffset>114300</wp:posOffset>
                </wp:positionV>
                <wp:extent cx="1981200" cy="914400"/>
                <wp:effectExtent l="9525" t="9525" r="9525" b="9525"/>
                <wp:wrapNone/>
                <wp:docPr id="1325016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914400"/>
                        </a:xfrm>
                        <a:prstGeom prst="rect">
                          <a:avLst/>
                        </a:prstGeom>
                        <a:solidFill>
                          <a:srgbClr val="FFFFFF"/>
                        </a:solidFill>
                        <a:ln w="9525">
                          <a:solidFill>
                            <a:srgbClr val="000000"/>
                          </a:solidFill>
                          <a:miter lim="800000"/>
                          <a:headEnd/>
                          <a:tailEnd/>
                        </a:ln>
                      </wps:spPr>
                      <wps:txbx>
                        <w:txbxContent>
                          <w:p w14:paraId="5E804C2C" w14:textId="77777777" w:rsidR="000C465B" w:rsidRPr="00456042" w:rsidRDefault="000C465B" w:rsidP="000C465B">
                            <w:pPr>
                              <w:spacing w:after="0"/>
                              <w:jc w:val="center"/>
                              <w:rPr>
                                <w:sz w:val="10"/>
                                <w:szCs w:val="10"/>
                              </w:rPr>
                            </w:pPr>
                          </w:p>
                          <w:p w14:paraId="7AF7158A" w14:textId="77777777" w:rsidR="000C465B" w:rsidRPr="0095677B" w:rsidRDefault="000C465B" w:rsidP="000C465B">
                            <w:pPr>
                              <w:spacing w:after="0"/>
                              <w:jc w:val="center"/>
                              <w:rPr>
                                <w:b/>
                                <w:bCs/>
                              </w:rPr>
                            </w:pPr>
                            <w:r w:rsidRPr="0095677B">
                              <w:rPr>
                                <w:b/>
                                <w:bCs/>
                              </w:rPr>
                              <w:t>Use Table 1</w:t>
                            </w:r>
                          </w:p>
                          <w:p w14:paraId="74023C00" w14:textId="77777777" w:rsidR="000C465B" w:rsidRPr="0095677B" w:rsidRDefault="000C465B" w:rsidP="000C465B">
                            <w:pPr>
                              <w:spacing w:after="0"/>
                              <w:jc w:val="center"/>
                              <w:rPr>
                                <w:b/>
                                <w:bCs/>
                              </w:rPr>
                            </w:pPr>
                            <w:r w:rsidRPr="0095677B">
                              <w:rPr>
                                <w:b/>
                                <w:bCs/>
                              </w:rPr>
                              <w:t>to identify</w:t>
                            </w:r>
                          </w:p>
                          <w:p w14:paraId="14C4C95C" w14:textId="77777777" w:rsidR="000C465B" w:rsidRPr="0095677B" w:rsidRDefault="000C465B" w:rsidP="000C465B">
                            <w:pPr>
                              <w:jc w:val="center"/>
                              <w:rPr>
                                <w:b/>
                                <w:bCs/>
                              </w:rPr>
                            </w:pPr>
                            <w:r w:rsidRPr="0095677B">
                              <w:rPr>
                                <w:b/>
                                <w:bCs/>
                              </w:rPr>
                              <w:t>Applicable Principles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5459D" id="Text Box 8" o:spid="_x0000_s1046" type="#_x0000_t202" style="position:absolute;margin-left:172.5pt;margin-top:9pt;width:156pt;height:1in;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">
                <v:textbox>
                  <w:txbxContent>
                    <w:p w14:paraId="5E804C2C" w14:textId="77777777" w:rsidR="000C465B" w:rsidRPr="00456042" w:rsidRDefault="000C465B" w:rsidP="000C465B">
                      <w:pPr>
                        <w:spacing w:after="0"/>
                        <w:jc w:val="center"/>
                        <w:rPr>
                          <w:sz w:val="10"/>
                          <w:szCs w:val="10"/>
                        </w:rPr>
                      </w:pPr>
                    </w:p>
                    <w:p w14:paraId="7AF7158A" w14:textId="77777777" w:rsidR="000C465B" w:rsidRPr="0095677B" w:rsidRDefault="000C465B" w:rsidP="000C465B">
                      <w:pPr>
                        <w:spacing w:after="0"/>
                        <w:jc w:val="center"/>
                        <w:rPr>
                          <w:b/>
                          <w:bCs/>
                        </w:rPr>
                      </w:pPr>
                      <w:r w:rsidRPr="0095677B">
                        <w:rPr>
                          <w:b/>
                          <w:bCs/>
                        </w:rPr>
                        <w:t>Use Table 1</w:t>
                      </w:r>
                    </w:p>
                    <w:p w14:paraId="74023C00" w14:textId="77777777" w:rsidR="000C465B" w:rsidRPr="0095677B" w:rsidRDefault="000C465B" w:rsidP="000C465B">
                      <w:pPr>
                        <w:spacing w:after="0"/>
                        <w:jc w:val="center"/>
                        <w:rPr>
                          <w:b/>
                          <w:bCs/>
                        </w:rPr>
                      </w:pPr>
                      <w:r w:rsidRPr="0095677B">
                        <w:rPr>
                          <w:b/>
                          <w:bCs/>
                        </w:rPr>
                        <w:t>to identify</w:t>
                      </w:r>
                    </w:p>
                    <w:p w14:paraId="14C4C95C" w14:textId="77777777" w:rsidR="000C465B" w:rsidRPr="0095677B" w:rsidRDefault="000C465B" w:rsidP="000C465B">
                      <w:pPr>
                        <w:jc w:val="center"/>
                        <w:rPr>
                          <w:b/>
                          <w:bCs/>
                        </w:rPr>
                      </w:pPr>
                      <w:r w:rsidRPr="0095677B">
                        <w:rPr>
                          <w:b/>
                          <w:bCs/>
                        </w:rPr>
                        <w:t>Applicable Principles</w:t>
                      </w:r>
                    </w:p>
                  </w:txbxContent>
                </v:textbox>
              </v:shape>
            </w:pict>
          </mc:Fallback>
        </mc:AlternateContent>
      </w:r>
    </w:p>
    <w:p w14:paraId="1BD7A402" w14:textId="77777777" w:rsidR="000C465B" w:rsidRPr="000C465B" w:rsidRDefault="000C465B" w:rsidP="000C465B">
      <w:pPr>
        <w:spacing w:after="200" w:line="276" w:lineRule="auto"/>
        <w:jc w:val="left"/>
        <w:rPr>
          <w:rFonts w:eastAsia="Times New Roman"/>
          <w:sz w:val="24"/>
          <w:szCs w:val="24"/>
        </w:rPr>
      </w:pPr>
    </w:p>
    <w:p w14:paraId="3ABBA849" w14:textId="77777777" w:rsidR="000C465B" w:rsidRPr="000C465B" w:rsidRDefault="000C465B" w:rsidP="000C465B">
      <w:pPr>
        <w:spacing w:after="200" w:line="276" w:lineRule="auto"/>
        <w:jc w:val="left"/>
        <w:rPr>
          <w:rFonts w:eastAsia="Times New Roman"/>
          <w:sz w:val="24"/>
          <w:szCs w:val="24"/>
        </w:rPr>
      </w:pPr>
    </w:p>
    <w:p w14:paraId="4C33BDE7" w14:textId="77777777" w:rsidR="000C465B" w:rsidRPr="000C465B" w:rsidRDefault="000C465B" w:rsidP="000C465B">
      <w:pPr>
        <w:spacing w:after="200" w:line="276" w:lineRule="auto"/>
        <w:jc w:val="left"/>
        <w:rPr>
          <w:rFonts w:eastAsia="Times New Roman"/>
          <w:sz w:val="24"/>
          <w:szCs w:val="24"/>
        </w:rPr>
      </w:pPr>
      <w:r w:rsidRPr="000C465B">
        <w:rPr>
          <w:rFonts w:eastAsia="Times New Roman"/>
          <w:noProof/>
          <w:sz w:val="24"/>
          <w:szCs w:val="24"/>
        </w:rPr>
        <mc:AlternateContent>
          <mc:Choice Requires="wps">
            <w:drawing>
              <wp:anchor distT="0" distB="0" distL="114300" distR="114300" simplePos="0" relativeHeight="251658249" behindDoc="0" locked="0" layoutInCell="1" allowOverlap="1" wp14:anchorId="301D381F" wp14:editId="6BFEDB85">
                <wp:simplePos x="0" y="0"/>
                <wp:positionH relativeFrom="column">
                  <wp:posOffset>3190875</wp:posOffset>
                </wp:positionH>
                <wp:positionV relativeFrom="paragraph">
                  <wp:posOffset>43180</wp:posOffset>
                </wp:positionV>
                <wp:extent cx="0" cy="778510"/>
                <wp:effectExtent l="57150" t="9525" r="57150" b="21590"/>
                <wp:wrapNone/>
                <wp:docPr id="132519420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8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E36A0" id="AutoShape 12" o:spid="_x0000_s1026" type="#_x0000_t32" style="position:absolute;margin-left:251.25pt;margin-top:3.4pt;width:0;height:6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">
                <v:stroke endarrow="block"/>
              </v:shape>
            </w:pict>
          </mc:Fallback>
        </mc:AlternateContent>
      </w:r>
    </w:p>
    <w:p w14:paraId="78092866" w14:textId="77777777" w:rsidR="000C465B" w:rsidRPr="000C465B" w:rsidRDefault="000C465B" w:rsidP="000C465B">
      <w:pPr>
        <w:spacing w:after="200" w:line="276" w:lineRule="auto"/>
        <w:jc w:val="left"/>
        <w:rPr>
          <w:rFonts w:eastAsia="Times New Roman"/>
          <w:sz w:val="24"/>
          <w:szCs w:val="24"/>
        </w:rPr>
      </w:pPr>
    </w:p>
    <w:p w14:paraId="125FB6F6" w14:textId="77777777" w:rsidR="000C465B" w:rsidRPr="000C465B" w:rsidRDefault="000C465B" w:rsidP="000C465B">
      <w:pPr>
        <w:spacing w:after="200" w:line="276" w:lineRule="auto"/>
        <w:jc w:val="left"/>
        <w:rPr>
          <w:rFonts w:eastAsia="Times New Roman"/>
          <w:sz w:val="24"/>
          <w:szCs w:val="24"/>
        </w:rPr>
      </w:pPr>
      <w:r w:rsidRPr="000C465B">
        <w:rPr>
          <w:rFonts w:eastAsia="Times New Roman"/>
          <w:noProof/>
          <w:sz w:val="24"/>
          <w:szCs w:val="24"/>
        </w:rPr>
        <mc:AlternateContent>
          <mc:Choice Requires="wps">
            <w:drawing>
              <wp:anchor distT="0" distB="0" distL="114300" distR="114300" simplePos="0" relativeHeight="251658247" behindDoc="0" locked="0" layoutInCell="1" allowOverlap="1" wp14:anchorId="2B386A7D" wp14:editId="2E5A09EA">
                <wp:simplePos x="0" y="0"/>
                <wp:positionH relativeFrom="column">
                  <wp:posOffset>2247900</wp:posOffset>
                </wp:positionH>
                <wp:positionV relativeFrom="paragraph">
                  <wp:posOffset>165100</wp:posOffset>
                </wp:positionV>
                <wp:extent cx="1924050" cy="914400"/>
                <wp:effectExtent l="9525" t="7620" r="9525" b="11430"/>
                <wp:wrapNone/>
                <wp:docPr id="10263996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solidFill>
                          <a:srgbClr val="FFFFFF"/>
                        </a:solidFill>
                        <a:ln w="9525">
                          <a:solidFill>
                            <a:srgbClr val="000000"/>
                          </a:solidFill>
                          <a:miter lim="800000"/>
                          <a:headEnd/>
                          <a:tailEnd/>
                        </a:ln>
                      </wps:spPr>
                      <wps:txbx>
                        <w:txbxContent>
                          <w:p w14:paraId="6F766DBA" w14:textId="77777777" w:rsidR="000C465B" w:rsidRPr="0095677B" w:rsidRDefault="000C465B" w:rsidP="000C465B">
                            <w:pPr>
                              <w:spacing w:after="0"/>
                              <w:jc w:val="center"/>
                              <w:rPr>
                                <w:sz w:val="10"/>
                                <w:szCs w:val="10"/>
                              </w:rPr>
                            </w:pPr>
                          </w:p>
                          <w:p w14:paraId="2D5C5ACE" w14:textId="77777777" w:rsidR="000C465B" w:rsidRPr="0095677B" w:rsidRDefault="000C465B" w:rsidP="000C465B">
                            <w:pPr>
                              <w:spacing w:after="0"/>
                              <w:jc w:val="center"/>
                              <w:rPr>
                                <w:b/>
                                <w:bCs/>
                              </w:rPr>
                            </w:pPr>
                            <w:r w:rsidRPr="0095677B">
                              <w:rPr>
                                <w:b/>
                                <w:bCs/>
                              </w:rPr>
                              <w:t>Use Table 2</w:t>
                            </w:r>
                          </w:p>
                          <w:p w14:paraId="4B144968" w14:textId="77777777" w:rsidR="000C465B" w:rsidRPr="0095677B" w:rsidRDefault="000C465B" w:rsidP="000C465B">
                            <w:pPr>
                              <w:spacing w:after="0"/>
                              <w:jc w:val="center"/>
                              <w:rPr>
                                <w:b/>
                                <w:bCs/>
                              </w:rPr>
                            </w:pPr>
                            <w:r w:rsidRPr="0095677B">
                              <w:rPr>
                                <w:b/>
                                <w:bCs/>
                              </w:rPr>
                              <w:t>for detail of each</w:t>
                            </w:r>
                          </w:p>
                          <w:p w14:paraId="6450F9F0" w14:textId="77777777" w:rsidR="000C465B" w:rsidRPr="0095677B" w:rsidRDefault="000C465B" w:rsidP="000C465B">
                            <w:pPr>
                              <w:jc w:val="center"/>
                              <w:rPr>
                                <w:b/>
                                <w:bCs/>
                              </w:rPr>
                            </w:pPr>
                            <w:r w:rsidRPr="0095677B">
                              <w:rPr>
                                <w:b/>
                                <w:bCs/>
                              </w:rPr>
                              <w:t>Applicable Principle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86A7D" id="Text Box 10" o:spid="_x0000_s1047" type="#_x0000_t202" style="position:absolute;margin-left:177pt;margin-top:13pt;width:151.5pt;height:1in;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">
                <v:textbox>
                  <w:txbxContent>
                    <w:p w14:paraId="6F766DBA" w14:textId="77777777" w:rsidR="000C465B" w:rsidRPr="0095677B" w:rsidRDefault="000C465B" w:rsidP="000C465B">
                      <w:pPr>
                        <w:spacing w:after="0"/>
                        <w:jc w:val="center"/>
                        <w:rPr>
                          <w:sz w:val="10"/>
                          <w:szCs w:val="10"/>
                        </w:rPr>
                      </w:pPr>
                    </w:p>
                    <w:p w14:paraId="2D5C5ACE" w14:textId="77777777" w:rsidR="000C465B" w:rsidRPr="0095677B" w:rsidRDefault="000C465B" w:rsidP="000C465B">
                      <w:pPr>
                        <w:spacing w:after="0"/>
                        <w:jc w:val="center"/>
                        <w:rPr>
                          <w:b/>
                          <w:bCs/>
                        </w:rPr>
                      </w:pPr>
                      <w:r w:rsidRPr="0095677B">
                        <w:rPr>
                          <w:b/>
                          <w:bCs/>
                        </w:rPr>
                        <w:t>Use Table 2</w:t>
                      </w:r>
                    </w:p>
                    <w:p w14:paraId="4B144968" w14:textId="77777777" w:rsidR="000C465B" w:rsidRPr="0095677B" w:rsidRDefault="000C465B" w:rsidP="000C465B">
                      <w:pPr>
                        <w:spacing w:after="0"/>
                        <w:jc w:val="center"/>
                        <w:rPr>
                          <w:b/>
                          <w:bCs/>
                        </w:rPr>
                      </w:pPr>
                      <w:r w:rsidRPr="0095677B">
                        <w:rPr>
                          <w:b/>
                          <w:bCs/>
                        </w:rPr>
                        <w:t>for detail of each</w:t>
                      </w:r>
                    </w:p>
                    <w:p w14:paraId="6450F9F0" w14:textId="77777777" w:rsidR="000C465B" w:rsidRPr="0095677B" w:rsidRDefault="000C465B" w:rsidP="000C465B">
                      <w:pPr>
                        <w:jc w:val="center"/>
                        <w:rPr>
                          <w:b/>
                          <w:bCs/>
                        </w:rPr>
                      </w:pPr>
                      <w:r w:rsidRPr="0095677B">
                        <w:rPr>
                          <w:b/>
                          <w:bCs/>
                        </w:rPr>
                        <w:t>Applicable Principle</w:t>
                      </w:r>
                    </w:p>
                  </w:txbxContent>
                </v:textbox>
              </v:shape>
            </w:pict>
          </mc:Fallback>
        </mc:AlternateContent>
      </w:r>
    </w:p>
    <w:p w14:paraId="7CFAB00A" w14:textId="77777777" w:rsidR="000C465B" w:rsidRPr="000C465B" w:rsidRDefault="000C465B" w:rsidP="000C465B">
      <w:pPr>
        <w:spacing w:after="200" w:line="276" w:lineRule="auto"/>
        <w:jc w:val="left"/>
        <w:rPr>
          <w:rFonts w:eastAsia="Times New Roman"/>
          <w:sz w:val="24"/>
          <w:szCs w:val="24"/>
        </w:rPr>
      </w:pPr>
    </w:p>
    <w:p w14:paraId="38406412" w14:textId="77777777" w:rsidR="000C465B" w:rsidRPr="000C465B" w:rsidRDefault="000C465B" w:rsidP="000C465B">
      <w:pPr>
        <w:spacing w:after="200" w:line="276" w:lineRule="auto"/>
        <w:ind w:left="360"/>
        <w:jc w:val="left"/>
        <w:rPr>
          <w:rFonts w:ascii="Calibri" w:hAnsi="Calibri"/>
          <w:b/>
          <w:sz w:val="40"/>
          <w:szCs w:val="40"/>
        </w:rPr>
      </w:pPr>
    </w:p>
    <w:p w14:paraId="65A341E1" w14:textId="0873F856" w:rsidR="000C465B" w:rsidRPr="000C465B" w:rsidRDefault="000C465B" w:rsidP="000C465B">
      <w:pPr>
        <w:spacing w:after="120" w:line="276" w:lineRule="auto"/>
        <w:jc w:val="center"/>
        <w:rPr>
          <w:b/>
          <w:sz w:val="36"/>
          <w:szCs w:val="36"/>
        </w:rPr>
      </w:pPr>
      <w:bookmarkStart w:id="889" w:name="Table1"/>
      <w:bookmarkEnd w:id="889"/>
      <w:r w:rsidRPr="000C465B">
        <w:rPr>
          <w:b/>
          <w:sz w:val="36"/>
          <w:szCs w:val="36"/>
        </w:rPr>
        <w:lastRenderedPageBreak/>
        <w:t>Table 1: Summary of Principles</w:t>
      </w:r>
    </w:p>
    <w:tbl>
      <w:tblPr>
        <w:tblStyle w:val="TableGrid22"/>
        <w:tblW w:w="9607" w:type="dxa"/>
        <w:tblInd w:w="-162" w:type="dxa"/>
        <w:tblLook w:val="04A0" w:firstRow="1" w:lastRow="0" w:firstColumn="1" w:lastColumn="0" w:noHBand="0" w:noVBand="1"/>
      </w:tblPr>
      <w:tblGrid>
        <w:gridCol w:w="2137"/>
        <w:gridCol w:w="1303"/>
        <w:gridCol w:w="1497"/>
        <w:gridCol w:w="1257"/>
        <w:gridCol w:w="1787"/>
        <w:gridCol w:w="1626"/>
      </w:tblGrid>
      <w:tr w:rsidR="000C465B" w:rsidRPr="000C465B" w14:paraId="27C9CA90" w14:textId="77777777" w:rsidTr="005F0F3E">
        <w:trPr>
          <w:trHeight w:val="2015"/>
          <w:tblHeader/>
        </w:trPr>
        <w:tc>
          <w:tcPr>
            <w:tcW w:w="2137" w:type="dxa"/>
          </w:tcPr>
          <w:p w14:paraId="7848D757" w14:textId="77777777" w:rsidR="000C465B" w:rsidRPr="000C465B" w:rsidRDefault="000C465B" w:rsidP="000C465B">
            <w:pPr>
              <w:spacing w:after="0"/>
              <w:jc w:val="center"/>
              <w:rPr>
                <w:b/>
                <w:bCs/>
                <w:sz w:val="20"/>
                <w:szCs w:val="20"/>
              </w:rPr>
            </w:pPr>
          </w:p>
          <w:p w14:paraId="1D7A159A" w14:textId="77777777" w:rsidR="000C465B" w:rsidRPr="000C465B" w:rsidRDefault="000C465B" w:rsidP="000C465B">
            <w:pPr>
              <w:spacing w:after="0"/>
              <w:jc w:val="left"/>
              <w:rPr>
                <w:b/>
                <w:bCs/>
                <w:sz w:val="20"/>
                <w:szCs w:val="20"/>
              </w:rPr>
            </w:pPr>
          </w:p>
          <w:p w14:paraId="6F9B651F" w14:textId="77777777" w:rsidR="000C465B" w:rsidRPr="000C465B" w:rsidRDefault="000C465B" w:rsidP="000C465B">
            <w:pPr>
              <w:spacing w:after="0"/>
              <w:jc w:val="left"/>
              <w:rPr>
                <w:b/>
                <w:bCs/>
                <w:sz w:val="20"/>
                <w:szCs w:val="20"/>
              </w:rPr>
            </w:pPr>
            <w:r w:rsidRPr="000C465B">
              <w:rPr>
                <w:b/>
                <w:bCs/>
                <w:sz w:val="20"/>
                <w:szCs w:val="20"/>
              </w:rPr>
              <w:t>Principles</w:t>
            </w:r>
          </w:p>
          <w:p w14:paraId="37834E99" w14:textId="77777777" w:rsidR="000C465B" w:rsidRPr="000C465B" w:rsidRDefault="000C465B" w:rsidP="000C465B">
            <w:pPr>
              <w:spacing w:after="0"/>
              <w:jc w:val="center"/>
              <w:rPr>
                <w:b/>
                <w:bCs/>
                <w:sz w:val="20"/>
                <w:szCs w:val="20"/>
              </w:rPr>
            </w:pPr>
          </w:p>
        </w:tc>
        <w:tc>
          <w:tcPr>
            <w:tcW w:w="1303" w:type="dxa"/>
          </w:tcPr>
          <w:p w14:paraId="436B12A2" w14:textId="77777777" w:rsidR="000C465B" w:rsidRPr="000C465B" w:rsidRDefault="000C465B" w:rsidP="000C465B">
            <w:pPr>
              <w:spacing w:after="0"/>
              <w:jc w:val="center"/>
              <w:rPr>
                <w:b/>
                <w:bCs/>
                <w:sz w:val="20"/>
                <w:szCs w:val="20"/>
              </w:rPr>
            </w:pPr>
          </w:p>
          <w:p w14:paraId="7DB69C87" w14:textId="77777777" w:rsidR="000C465B" w:rsidRPr="000C465B" w:rsidRDefault="000C465B" w:rsidP="000C465B">
            <w:pPr>
              <w:spacing w:after="0"/>
              <w:jc w:val="center"/>
              <w:rPr>
                <w:b/>
                <w:bCs/>
                <w:sz w:val="20"/>
                <w:szCs w:val="20"/>
              </w:rPr>
            </w:pPr>
            <w:r w:rsidRPr="000C465B">
              <w:rPr>
                <w:b/>
                <w:bCs/>
                <w:sz w:val="20"/>
                <w:szCs w:val="20"/>
              </w:rPr>
              <w:t xml:space="preserve">Additional Expression of Quantity </w:t>
            </w:r>
          </w:p>
          <w:p w14:paraId="619FD26A" w14:textId="77777777" w:rsidR="000C465B" w:rsidRPr="000C465B" w:rsidRDefault="000C465B" w:rsidP="000C465B">
            <w:pPr>
              <w:spacing w:after="0"/>
              <w:jc w:val="center"/>
              <w:rPr>
                <w:b/>
                <w:bCs/>
                <w:sz w:val="20"/>
                <w:szCs w:val="20"/>
              </w:rPr>
            </w:pPr>
          </w:p>
          <w:p w14:paraId="4B581196" w14:textId="77777777" w:rsidR="000C465B" w:rsidRPr="000C465B" w:rsidRDefault="000C465B" w:rsidP="000C465B">
            <w:pPr>
              <w:spacing w:after="0"/>
              <w:jc w:val="center"/>
              <w:rPr>
                <w:b/>
                <w:bCs/>
                <w:sz w:val="20"/>
                <w:szCs w:val="20"/>
              </w:rPr>
            </w:pPr>
            <w:r w:rsidRPr="000C465B">
              <w:rPr>
                <w:b/>
                <w:bCs/>
                <w:sz w:val="20"/>
                <w:szCs w:val="20"/>
              </w:rPr>
              <w:t xml:space="preserve">AEQ </w:t>
            </w:r>
          </w:p>
          <w:p w14:paraId="0CA7829C" w14:textId="77777777" w:rsidR="000C465B" w:rsidRPr="000C465B" w:rsidRDefault="000C465B" w:rsidP="000C465B">
            <w:pPr>
              <w:spacing w:after="0"/>
              <w:jc w:val="left"/>
              <w:rPr>
                <w:b/>
                <w:bCs/>
                <w:sz w:val="20"/>
                <w:szCs w:val="20"/>
              </w:rPr>
            </w:pPr>
          </w:p>
          <w:p w14:paraId="114A495B" w14:textId="77777777" w:rsidR="000C465B" w:rsidRPr="000C465B" w:rsidRDefault="000C465B" w:rsidP="000C465B">
            <w:pPr>
              <w:spacing w:after="0"/>
              <w:jc w:val="center"/>
              <w:rPr>
                <w:b/>
                <w:bCs/>
                <w:i/>
                <w:iCs/>
                <w:sz w:val="20"/>
                <w:szCs w:val="20"/>
              </w:rPr>
            </w:pPr>
            <w:r w:rsidRPr="000C465B">
              <w:rPr>
                <w:b/>
                <w:bCs/>
                <w:i/>
                <w:iCs/>
                <w:sz w:val="20"/>
                <w:szCs w:val="20"/>
              </w:rPr>
              <w:t>“24 Buns”</w:t>
            </w:r>
          </w:p>
        </w:tc>
        <w:tc>
          <w:tcPr>
            <w:tcW w:w="1497" w:type="dxa"/>
          </w:tcPr>
          <w:p w14:paraId="69ECE1C0" w14:textId="77777777" w:rsidR="000C465B" w:rsidRPr="000C465B" w:rsidRDefault="000C465B" w:rsidP="000C465B">
            <w:pPr>
              <w:spacing w:after="0"/>
              <w:jc w:val="center"/>
              <w:rPr>
                <w:b/>
                <w:bCs/>
                <w:sz w:val="20"/>
                <w:szCs w:val="20"/>
              </w:rPr>
            </w:pPr>
          </w:p>
          <w:p w14:paraId="3F9D7DB5" w14:textId="77777777" w:rsidR="000C465B" w:rsidRPr="000C465B" w:rsidRDefault="000C465B" w:rsidP="000C465B">
            <w:pPr>
              <w:spacing w:after="0"/>
              <w:jc w:val="center"/>
              <w:rPr>
                <w:b/>
                <w:bCs/>
                <w:sz w:val="20"/>
                <w:szCs w:val="20"/>
              </w:rPr>
            </w:pPr>
            <w:r w:rsidRPr="000C465B">
              <w:rPr>
                <w:b/>
                <w:bCs/>
                <w:sz w:val="20"/>
                <w:szCs w:val="20"/>
              </w:rPr>
              <w:t xml:space="preserve">Reconstituted </w:t>
            </w:r>
          </w:p>
          <w:p w14:paraId="17EC655E" w14:textId="77777777" w:rsidR="000C465B" w:rsidRPr="000C465B" w:rsidRDefault="000C465B" w:rsidP="000C465B">
            <w:pPr>
              <w:spacing w:after="0"/>
              <w:jc w:val="center"/>
              <w:rPr>
                <w:b/>
                <w:bCs/>
                <w:sz w:val="20"/>
                <w:szCs w:val="20"/>
              </w:rPr>
            </w:pPr>
            <w:r w:rsidRPr="000C465B">
              <w:rPr>
                <w:b/>
                <w:bCs/>
                <w:sz w:val="20"/>
                <w:szCs w:val="20"/>
              </w:rPr>
              <w:t xml:space="preserve">Expression of Quantity </w:t>
            </w:r>
          </w:p>
          <w:p w14:paraId="62F98E1B" w14:textId="77777777" w:rsidR="000C465B" w:rsidRPr="000C465B" w:rsidRDefault="000C465B" w:rsidP="000C465B">
            <w:pPr>
              <w:spacing w:after="0"/>
              <w:jc w:val="center"/>
              <w:rPr>
                <w:b/>
                <w:bCs/>
                <w:sz w:val="20"/>
                <w:szCs w:val="20"/>
              </w:rPr>
            </w:pPr>
          </w:p>
          <w:p w14:paraId="1ACD7C2D" w14:textId="77777777" w:rsidR="000C465B" w:rsidRPr="000C465B" w:rsidRDefault="000C465B" w:rsidP="000C465B">
            <w:pPr>
              <w:spacing w:after="0"/>
              <w:jc w:val="center"/>
              <w:rPr>
                <w:b/>
                <w:bCs/>
                <w:sz w:val="20"/>
                <w:szCs w:val="20"/>
              </w:rPr>
            </w:pPr>
            <w:r w:rsidRPr="000C465B">
              <w:rPr>
                <w:b/>
                <w:bCs/>
                <w:sz w:val="20"/>
                <w:szCs w:val="20"/>
              </w:rPr>
              <w:t>REQ</w:t>
            </w:r>
          </w:p>
          <w:p w14:paraId="58218012" w14:textId="77777777" w:rsidR="000C465B" w:rsidRPr="000C465B" w:rsidRDefault="000C465B" w:rsidP="000C465B">
            <w:pPr>
              <w:spacing w:after="0"/>
              <w:jc w:val="left"/>
              <w:rPr>
                <w:b/>
                <w:bCs/>
                <w:sz w:val="20"/>
                <w:szCs w:val="20"/>
              </w:rPr>
            </w:pPr>
          </w:p>
          <w:p w14:paraId="183B1572" w14:textId="77777777" w:rsidR="000C465B" w:rsidRPr="000C465B" w:rsidRDefault="000C465B" w:rsidP="000C465B">
            <w:pPr>
              <w:spacing w:after="0"/>
              <w:jc w:val="center"/>
              <w:rPr>
                <w:b/>
                <w:bCs/>
                <w:i/>
                <w:iCs/>
                <w:sz w:val="20"/>
                <w:szCs w:val="20"/>
              </w:rPr>
            </w:pPr>
            <w:r w:rsidRPr="000C465B">
              <w:rPr>
                <w:b/>
                <w:bCs/>
                <w:i/>
                <w:iCs/>
                <w:sz w:val="20"/>
                <w:szCs w:val="20"/>
              </w:rPr>
              <w:t>“Makes 2 gallons”</w:t>
            </w:r>
          </w:p>
          <w:p w14:paraId="2DB28743" w14:textId="77777777" w:rsidR="000C465B" w:rsidRPr="000C465B" w:rsidRDefault="000C465B" w:rsidP="000C465B">
            <w:pPr>
              <w:spacing w:after="0"/>
              <w:jc w:val="center"/>
              <w:rPr>
                <w:b/>
                <w:bCs/>
                <w:sz w:val="20"/>
                <w:szCs w:val="20"/>
              </w:rPr>
            </w:pPr>
          </w:p>
        </w:tc>
        <w:tc>
          <w:tcPr>
            <w:tcW w:w="1257" w:type="dxa"/>
          </w:tcPr>
          <w:p w14:paraId="34FBEECE" w14:textId="77777777" w:rsidR="000C465B" w:rsidRPr="000C465B" w:rsidRDefault="000C465B" w:rsidP="000C465B">
            <w:pPr>
              <w:spacing w:after="0"/>
              <w:jc w:val="center"/>
              <w:rPr>
                <w:b/>
                <w:bCs/>
                <w:sz w:val="20"/>
                <w:szCs w:val="20"/>
              </w:rPr>
            </w:pPr>
          </w:p>
          <w:p w14:paraId="40052A08" w14:textId="77777777" w:rsidR="000C465B" w:rsidRPr="000C465B" w:rsidRDefault="000C465B" w:rsidP="000C465B">
            <w:pPr>
              <w:spacing w:after="0"/>
              <w:jc w:val="center"/>
              <w:rPr>
                <w:b/>
                <w:bCs/>
                <w:sz w:val="20"/>
                <w:szCs w:val="20"/>
              </w:rPr>
            </w:pPr>
            <w:r w:rsidRPr="000C465B">
              <w:rPr>
                <w:b/>
                <w:bCs/>
                <w:sz w:val="20"/>
                <w:szCs w:val="20"/>
              </w:rPr>
              <w:t>Derived Unit</w:t>
            </w:r>
          </w:p>
          <w:p w14:paraId="212A3C8A" w14:textId="77777777" w:rsidR="000C465B" w:rsidRPr="000C465B" w:rsidRDefault="000C465B" w:rsidP="000C465B">
            <w:pPr>
              <w:spacing w:after="0"/>
              <w:jc w:val="center"/>
              <w:rPr>
                <w:b/>
                <w:bCs/>
                <w:sz w:val="20"/>
                <w:szCs w:val="20"/>
              </w:rPr>
            </w:pPr>
            <w:r w:rsidRPr="000C465B">
              <w:rPr>
                <w:b/>
                <w:bCs/>
                <w:sz w:val="20"/>
                <w:szCs w:val="20"/>
              </w:rPr>
              <w:t>Expression</w:t>
            </w:r>
          </w:p>
          <w:p w14:paraId="6C61467B" w14:textId="77777777" w:rsidR="000C465B" w:rsidRPr="000C465B" w:rsidRDefault="000C465B" w:rsidP="000C465B">
            <w:pPr>
              <w:spacing w:after="0"/>
              <w:jc w:val="left"/>
              <w:rPr>
                <w:b/>
                <w:bCs/>
                <w:sz w:val="20"/>
                <w:szCs w:val="20"/>
              </w:rPr>
            </w:pPr>
          </w:p>
          <w:p w14:paraId="6AD9E068" w14:textId="77777777" w:rsidR="000C465B" w:rsidRPr="000C465B" w:rsidRDefault="000C465B" w:rsidP="000C465B">
            <w:pPr>
              <w:spacing w:after="0"/>
              <w:jc w:val="center"/>
              <w:rPr>
                <w:b/>
                <w:bCs/>
                <w:sz w:val="20"/>
                <w:szCs w:val="20"/>
              </w:rPr>
            </w:pPr>
            <w:r w:rsidRPr="000C465B">
              <w:rPr>
                <w:b/>
                <w:bCs/>
                <w:sz w:val="20"/>
                <w:szCs w:val="20"/>
              </w:rPr>
              <w:t>DUE</w:t>
            </w:r>
          </w:p>
          <w:p w14:paraId="4382DC35" w14:textId="77777777" w:rsidR="000C465B" w:rsidRPr="000C465B" w:rsidRDefault="000C465B" w:rsidP="000C465B">
            <w:pPr>
              <w:spacing w:after="0"/>
              <w:jc w:val="center"/>
              <w:rPr>
                <w:b/>
                <w:bCs/>
                <w:sz w:val="20"/>
                <w:szCs w:val="20"/>
              </w:rPr>
            </w:pPr>
          </w:p>
          <w:p w14:paraId="0E46C2C9" w14:textId="77777777" w:rsidR="000C465B" w:rsidRPr="000C465B" w:rsidRDefault="000C465B" w:rsidP="000C465B">
            <w:pPr>
              <w:spacing w:after="0"/>
              <w:jc w:val="center"/>
              <w:rPr>
                <w:b/>
                <w:bCs/>
                <w:i/>
                <w:iCs/>
                <w:sz w:val="20"/>
                <w:szCs w:val="20"/>
              </w:rPr>
            </w:pPr>
            <w:r w:rsidRPr="000C465B">
              <w:rPr>
                <w:b/>
                <w:bCs/>
                <w:i/>
                <w:iCs/>
                <w:sz w:val="20"/>
                <w:szCs w:val="20"/>
              </w:rPr>
              <w:t>“20 Loads”</w:t>
            </w:r>
          </w:p>
          <w:p w14:paraId="4BAB5137" w14:textId="77777777" w:rsidR="000C465B" w:rsidRPr="000C465B" w:rsidRDefault="000C465B" w:rsidP="000C465B">
            <w:pPr>
              <w:spacing w:after="0"/>
              <w:jc w:val="center"/>
              <w:rPr>
                <w:b/>
                <w:bCs/>
                <w:sz w:val="20"/>
                <w:szCs w:val="20"/>
              </w:rPr>
            </w:pPr>
          </w:p>
        </w:tc>
        <w:tc>
          <w:tcPr>
            <w:tcW w:w="1787" w:type="dxa"/>
          </w:tcPr>
          <w:p w14:paraId="06578DAA" w14:textId="77777777" w:rsidR="000C465B" w:rsidRPr="000C465B" w:rsidRDefault="000C465B" w:rsidP="000C465B">
            <w:pPr>
              <w:spacing w:after="0"/>
              <w:jc w:val="center"/>
              <w:rPr>
                <w:b/>
                <w:bCs/>
                <w:sz w:val="20"/>
                <w:szCs w:val="20"/>
              </w:rPr>
            </w:pPr>
          </w:p>
          <w:p w14:paraId="67E26EB3" w14:textId="77777777" w:rsidR="000C465B" w:rsidRPr="000C465B" w:rsidRDefault="000C465B" w:rsidP="000C465B">
            <w:pPr>
              <w:spacing w:after="0"/>
              <w:jc w:val="center"/>
              <w:rPr>
                <w:b/>
                <w:bCs/>
                <w:sz w:val="20"/>
                <w:szCs w:val="20"/>
              </w:rPr>
            </w:pPr>
            <w:r w:rsidRPr="000C465B">
              <w:rPr>
                <w:b/>
                <w:bCs/>
                <w:sz w:val="20"/>
                <w:szCs w:val="20"/>
              </w:rPr>
              <w:t>Comparative Quantity</w:t>
            </w:r>
          </w:p>
          <w:p w14:paraId="74BDAEDA" w14:textId="77777777" w:rsidR="000C465B" w:rsidRPr="000C465B" w:rsidRDefault="000C465B" w:rsidP="000C465B">
            <w:pPr>
              <w:spacing w:after="0"/>
              <w:jc w:val="center"/>
              <w:rPr>
                <w:b/>
                <w:bCs/>
                <w:sz w:val="20"/>
                <w:szCs w:val="20"/>
              </w:rPr>
            </w:pPr>
            <w:r w:rsidRPr="000C465B">
              <w:rPr>
                <w:b/>
                <w:bCs/>
                <w:sz w:val="20"/>
                <w:szCs w:val="20"/>
              </w:rPr>
              <w:t>Representation</w:t>
            </w:r>
          </w:p>
          <w:p w14:paraId="2BE9DBA1" w14:textId="77777777" w:rsidR="000C465B" w:rsidRPr="000C465B" w:rsidRDefault="000C465B" w:rsidP="000C465B">
            <w:pPr>
              <w:spacing w:after="0"/>
              <w:jc w:val="center"/>
              <w:rPr>
                <w:b/>
                <w:bCs/>
                <w:sz w:val="20"/>
                <w:szCs w:val="20"/>
              </w:rPr>
            </w:pPr>
          </w:p>
          <w:p w14:paraId="459B81D6" w14:textId="77777777" w:rsidR="000C465B" w:rsidRPr="000C465B" w:rsidRDefault="000C465B" w:rsidP="000C465B">
            <w:pPr>
              <w:spacing w:after="0"/>
              <w:jc w:val="center"/>
              <w:rPr>
                <w:b/>
                <w:bCs/>
                <w:sz w:val="20"/>
                <w:szCs w:val="20"/>
              </w:rPr>
            </w:pPr>
            <w:r w:rsidRPr="000C465B">
              <w:rPr>
                <w:b/>
                <w:bCs/>
                <w:sz w:val="20"/>
                <w:szCs w:val="20"/>
              </w:rPr>
              <w:t>CQR</w:t>
            </w:r>
          </w:p>
          <w:p w14:paraId="79D0BA1E" w14:textId="77777777" w:rsidR="000C465B" w:rsidRPr="000C465B" w:rsidRDefault="000C465B" w:rsidP="000C465B">
            <w:pPr>
              <w:spacing w:after="0"/>
              <w:jc w:val="center"/>
              <w:rPr>
                <w:b/>
                <w:bCs/>
                <w:sz w:val="20"/>
                <w:szCs w:val="20"/>
              </w:rPr>
            </w:pPr>
          </w:p>
          <w:p w14:paraId="578106C2" w14:textId="77777777" w:rsidR="000C465B" w:rsidRPr="000C465B" w:rsidRDefault="000C465B" w:rsidP="000C465B">
            <w:pPr>
              <w:spacing w:after="0"/>
              <w:jc w:val="center"/>
              <w:rPr>
                <w:b/>
                <w:bCs/>
                <w:i/>
                <w:iCs/>
                <w:sz w:val="20"/>
                <w:szCs w:val="20"/>
              </w:rPr>
            </w:pPr>
            <w:r w:rsidRPr="000C465B">
              <w:rPr>
                <w:b/>
                <w:bCs/>
                <w:i/>
                <w:iCs/>
                <w:sz w:val="20"/>
                <w:szCs w:val="20"/>
              </w:rPr>
              <w:t>“40% More Litter Per Pound”</w:t>
            </w:r>
          </w:p>
        </w:tc>
        <w:tc>
          <w:tcPr>
            <w:tcW w:w="1626" w:type="dxa"/>
          </w:tcPr>
          <w:p w14:paraId="0BED360B" w14:textId="77777777" w:rsidR="000C465B" w:rsidRPr="000C465B" w:rsidRDefault="000C465B" w:rsidP="000C465B">
            <w:pPr>
              <w:spacing w:after="0"/>
              <w:jc w:val="center"/>
              <w:rPr>
                <w:b/>
                <w:bCs/>
                <w:sz w:val="20"/>
                <w:szCs w:val="20"/>
              </w:rPr>
            </w:pPr>
          </w:p>
          <w:p w14:paraId="263EF740" w14:textId="77777777" w:rsidR="000C465B" w:rsidRPr="000C465B" w:rsidRDefault="000C465B" w:rsidP="000C465B">
            <w:pPr>
              <w:spacing w:after="0"/>
              <w:jc w:val="center"/>
              <w:rPr>
                <w:b/>
                <w:bCs/>
                <w:sz w:val="20"/>
                <w:szCs w:val="20"/>
              </w:rPr>
            </w:pPr>
            <w:r w:rsidRPr="000C465B">
              <w:rPr>
                <w:b/>
                <w:bCs/>
                <w:sz w:val="20"/>
                <w:szCs w:val="20"/>
              </w:rPr>
              <w:t>Comparative Performance</w:t>
            </w:r>
          </w:p>
          <w:p w14:paraId="58A00F04" w14:textId="77777777" w:rsidR="000C465B" w:rsidRPr="000C465B" w:rsidRDefault="000C465B" w:rsidP="000C465B">
            <w:pPr>
              <w:spacing w:after="0"/>
              <w:jc w:val="center"/>
              <w:rPr>
                <w:b/>
                <w:bCs/>
                <w:sz w:val="20"/>
                <w:szCs w:val="20"/>
              </w:rPr>
            </w:pPr>
            <w:r w:rsidRPr="000C465B">
              <w:rPr>
                <w:b/>
                <w:bCs/>
                <w:sz w:val="20"/>
                <w:szCs w:val="20"/>
              </w:rPr>
              <w:t xml:space="preserve">Representation </w:t>
            </w:r>
          </w:p>
          <w:p w14:paraId="0F6CF236" w14:textId="77777777" w:rsidR="000C465B" w:rsidRPr="000C465B" w:rsidRDefault="000C465B" w:rsidP="000C465B">
            <w:pPr>
              <w:spacing w:after="0"/>
              <w:jc w:val="left"/>
              <w:rPr>
                <w:b/>
                <w:bCs/>
                <w:sz w:val="20"/>
                <w:szCs w:val="20"/>
              </w:rPr>
            </w:pPr>
          </w:p>
          <w:p w14:paraId="6194A85A" w14:textId="77777777" w:rsidR="000C465B" w:rsidRPr="000C465B" w:rsidRDefault="000C465B" w:rsidP="000C465B">
            <w:pPr>
              <w:spacing w:after="0"/>
              <w:jc w:val="center"/>
              <w:rPr>
                <w:b/>
                <w:bCs/>
                <w:sz w:val="20"/>
                <w:szCs w:val="20"/>
              </w:rPr>
            </w:pPr>
            <w:r w:rsidRPr="000C465B">
              <w:rPr>
                <w:b/>
                <w:bCs/>
                <w:sz w:val="20"/>
                <w:szCs w:val="20"/>
              </w:rPr>
              <w:t>CPR</w:t>
            </w:r>
          </w:p>
          <w:p w14:paraId="1F0B8161" w14:textId="77777777" w:rsidR="000C465B" w:rsidRPr="000C465B" w:rsidRDefault="000C465B" w:rsidP="000C465B">
            <w:pPr>
              <w:spacing w:after="0"/>
              <w:jc w:val="center"/>
              <w:rPr>
                <w:b/>
                <w:bCs/>
                <w:sz w:val="20"/>
                <w:szCs w:val="20"/>
              </w:rPr>
            </w:pPr>
          </w:p>
          <w:p w14:paraId="176F234F" w14:textId="77777777" w:rsidR="000C465B" w:rsidRPr="000C465B" w:rsidRDefault="000C465B" w:rsidP="000C465B">
            <w:pPr>
              <w:spacing w:after="0"/>
              <w:jc w:val="center"/>
              <w:rPr>
                <w:b/>
                <w:bCs/>
                <w:i/>
                <w:iCs/>
                <w:sz w:val="20"/>
                <w:szCs w:val="20"/>
              </w:rPr>
            </w:pPr>
            <w:r w:rsidRPr="000C465B">
              <w:rPr>
                <w:b/>
                <w:bCs/>
                <w:i/>
                <w:iCs/>
                <w:sz w:val="20"/>
                <w:szCs w:val="20"/>
              </w:rPr>
              <w:t>“Lasts 25% Longer”</w:t>
            </w:r>
          </w:p>
          <w:p w14:paraId="1DAA429A" w14:textId="77777777" w:rsidR="000C465B" w:rsidRPr="000C465B" w:rsidRDefault="000C465B" w:rsidP="000C465B">
            <w:pPr>
              <w:spacing w:after="0"/>
              <w:jc w:val="center"/>
              <w:rPr>
                <w:b/>
                <w:bCs/>
                <w:sz w:val="20"/>
                <w:szCs w:val="20"/>
              </w:rPr>
            </w:pPr>
          </w:p>
        </w:tc>
      </w:tr>
      <w:tr w:rsidR="000C465B" w:rsidRPr="000C465B" w14:paraId="5C7532E4" w14:textId="77777777" w:rsidTr="005F0F3E">
        <w:tc>
          <w:tcPr>
            <w:tcW w:w="2137" w:type="dxa"/>
          </w:tcPr>
          <w:p w14:paraId="036CCE22" w14:textId="77777777" w:rsidR="000C465B" w:rsidRPr="000C465B" w:rsidRDefault="000C465B" w:rsidP="000C465B">
            <w:pPr>
              <w:spacing w:after="0"/>
              <w:jc w:val="left"/>
              <w:rPr>
                <w:sz w:val="20"/>
                <w:szCs w:val="20"/>
              </w:rPr>
            </w:pPr>
            <w:r w:rsidRPr="000C465B">
              <w:rPr>
                <w:sz w:val="20"/>
                <w:szCs w:val="20"/>
              </w:rPr>
              <w:t>Expression should provide useful information to help consumers.</w:t>
            </w:r>
          </w:p>
        </w:tc>
        <w:tc>
          <w:tcPr>
            <w:tcW w:w="1303" w:type="dxa"/>
            <w:vAlign w:val="center"/>
          </w:tcPr>
          <w:p w14:paraId="002C9D56" w14:textId="77777777" w:rsidR="000C465B" w:rsidRPr="000C465B" w:rsidRDefault="000C465B" w:rsidP="000C465B">
            <w:pPr>
              <w:spacing w:after="0"/>
              <w:jc w:val="center"/>
              <w:rPr>
                <w:sz w:val="20"/>
                <w:szCs w:val="20"/>
              </w:rPr>
            </w:pPr>
            <w:r w:rsidRPr="000C465B">
              <w:rPr>
                <w:sz w:val="20"/>
                <w:szCs w:val="20"/>
              </w:rPr>
              <w:t>X</w:t>
            </w:r>
          </w:p>
        </w:tc>
        <w:tc>
          <w:tcPr>
            <w:tcW w:w="1497" w:type="dxa"/>
            <w:vAlign w:val="center"/>
          </w:tcPr>
          <w:p w14:paraId="4A9C9B72" w14:textId="77777777" w:rsidR="000C465B" w:rsidRPr="000C465B" w:rsidRDefault="000C465B" w:rsidP="000C465B">
            <w:pPr>
              <w:spacing w:after="0"/>
              <w:jc w:val="center"/>
              <w:rPr>
                <w:sz w:val="20"/>
                <w:szCs w:val="20"/>
              </w:rPr>
            </w:pPr>
            <w:r w:rsidRPr="000C465B">
              <w:rPr>
                <w:sz w:val="20"/>
                <w:szCs w:val="20"/>
              </w:rPr>
              <w:t>X</w:t>
            </w:r>
          </w:p>
        </w:tc>
        <w:tc>
          <w:tcPr>
            <w:tcW w:w="1257" w:type="dxa"/>
            <w:vAlign w:val="center"/>
          </w:tcPr>
          <w:p w14:paraId="75044EE3"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415346F6"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32D625CF"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13AB5B5C" w14:textId="77777777" w:rsidTr="005F0F3E">
        <w:tc>
          <w:tcPr>
            <w:tcW w:w="2137" w:type="dxa"/>
          </w:tcPr>
          <w:p w14:paraId="172E339D" w14:textId="77777777" w:rsidR="000C465B" w:rsidRPr="000C465B" w:rsidRDefault="000C465B" w:rsidP="000C465B">
            <w:pPr>
              <w:spacing w:after="0"/>
              <w:jc w:val="left"/>
              <w:rPr>
                <w:sz w:val="20"/>
                <w:szCs w:val="20"/>
              </w:rPr>
            </w:pPr>
            <w:r w:rsidRPr="000C465B">
              <w:rPr>
                <w:sz w:val="20"/>
                <w:szCs w:val="20"/>
              </w:rPr>
              <w:t xml:space="preserve">Expression must be accurate and </w:t>
            </w:r>
          </w:p>
          <w:p w14:paraId="627EDF41" w14:textId="77777777" w:rsidR="000C465B" w:rsidRPr="000C465B" w:rsidRDefault="000C465B" w:rsidP="000C465B">
            <w:pPr>
              <w:spacing w:after="0"/>
              <w:jc w:val="left"/>
              <w:rPr>
                <w:i/>
                <w:sz w:val="20"/>
                <w:szCs w:val="20"/>
              </w:rPr>
            </w:pPr>
            <w:r w:rsidRPr="000C465B">
              <w:rPr>
                <w:sz w:val="20"/>
                <w:szCs w:val="20"/>
              </w:rPr>
              <w:t xml:space="preserve">verifiable. </w:t>
            </w:r>
          </w:p>
        </w:tc>
        <w:tc>
          <w:tcPr>
            <w:tcW w:w="1303" w:type="dxa"/>
            <w:vAlign w:val="center"/>
          </w:tcPr>
          <w:p w14:paraId="3847BCEC" w14:textId="77777777" w:rsidR="000C465B" w:rsidRPr="000C465B" w:rsidRDefault="000C465B" w:rsidP="000C465B">
            <w:pPr>
              <w:spacing w:after="0"/>
              <w:jc w:val="center"/>
              <w:rPr>
                <w:sz w:val="20"/>
                <w:szCs w:val="20"/>
              </w:rPr>
            </w:pPr>
            <w:r w:rsidRPr="000C465B">
              <w:rPr>
                <w:sz w:val="20"/>
                <w:szCs w:val="20"/>
              </w:rPr>
              <w:t>X</w:t>
            </w:r>
          </w:p>
        </w:tc>
        <w:tc>
          <w:tcPr>
            <w:tcW w:w="1497" w:type="dxa"/>
            <w:vAlign w:val="center"/>
          </w:tcPr>
          <w:p w14:paraId="33276A53" w14:textId="77777777" w:rsidR="000C465B" w:rsidRPr="000C465B" w:rsidRDefault="000C465B" w:rsidP="000C465B">
            <w:pPr>
              <w:spacing w:after="0"/>
              <w:jc w:val="center"/>
              <w:rPr>
                <w:sz w:val="20"/>
                <w:szCs w:val="20"/>
              </w:rPr>
            </w:pPr>
            <w:r w:rsidRPr="000C465B">
              <w:rPr>
                <w:sz w:val="20"/>
                <w:szCs w:val="20"/>
              </w:rPr>
              <w:t>X</w:t>
            </w:r>
          </w:p>
        </w:tc>
        <w:tc>
          <w:tcPr>
            <w:tcW w:w="1257" w:type="dxa"/>
            <w:vAlign w:val="center"/>
          </w:tcPr>
          <w:p w14:paraId="0A26BBA9"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0AF9FD24"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33711124"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294544AE" w14:textId="77777777" w:rsidTr="005F0F3E">
        <w:tc>
          <w:tcPr>
            <w:tcW w:w="2137" w:type="dxa"/>
          </w:tcPr>
          <w:p w14:paraId="2FDCA4A0" w14:textId="77777777" w:rsidR="000C465B" w:rsidRPr="000C465B" w:rsidRDefault="000C465B" w:rsidP="000C465B">
            <w:pPr>
              <w:spacing w:after="0"/>
              <w:jc w:val="left"/>
              <w:rPr>
                <w:sz w:val="20"/>
                <w:szCs w:val="20"/>
              </w:rPr>
            </w:pPr>
            <w:r w:rsidRPr="000C465B">
              <w:rPr>
                <w:sz w:val="20"/>
                <w:szCs w:val="20"/>
              </w:rPr>
              <w:t>Expression must be clear and unambiguous.</w:t>
            </w:r>
          </w:p>
        </w:tc>
        <w:tc>
          <w:tcPr>
            <w:tcW w:w="1303" w:type="dxa"/>
            <w:vAlign w:val="center"/>
          </w:tcPr>
          <w:p w14:paraId="3EA45D8D" w14:textId="77777777" w:rsidR="000C465B" w:rsidRPr="000C465B" w:rsidRDefault="000C465B" w:rsidP="000C465B">
            <w:pPr>
              <w:spacing w:after="0"/>
              <w:jc w:val="center"/>
              <w:rPr>
                <w:sz w:val="20"/>
                <w:szCs w:val="20"/>
              </w:rPr>
            </w:pPr>
            <w:r w:rsidRPr="000C465B">
              <w:rPr>
                <w:sz w:val="20"/>
                <w:szCs w:val="20"/>
              </w:rPr>
              <w:t>X</w:t>
            </w:r>
          </w:p>
        </w:tc>
        <w:tc>
          <w:tcPr>
            <w:tcW w:w="1497" w:type="dxa"/>
            <w:vAlign w:val="center"/>
          </w:tcPr>
          <w:p w14:paraId="42A5B261" w14:textId="77777777" w:rsidR="000C465B" w:rsidRPr="000C465B" w:rsidRDefault="000C465B" w:rsidP="000C465B">
            <w:pPr>
              <w:spacing w:after="0"/>
              <w:jc w:val="center"/>
              <w:rPr>
                <w:sz w:val="20"/>
                <w:szCs w:val="20"/>
              </w:rPr>
            </w:pPr>
            <w:r w:rsidRPr="000C465B">
              <w:rPr>
                <w:sz w:val="20"/>
                <w:szCs w:val="20"/>
              </w:rPr>
              <w:t>X</w:t>
            </w:r>
          </w:p>
        </w:tc>
        <w:tc>
          <w:tcPr>
            <w:tcW w:w="1257" w:type="dxa"/>
            <w:vAlign w:val="center"/>
          </w:tcPr>
          <w:p w14:paraId="69B90A01"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7AC1AF3D"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736CA00F"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63201F60" w14:textId="77777777" w:rsidTr="005F0F3E">
        <w:tc>
          <w:tcPr>
            <w:tcW w:w="2137" w:type="dxa"/>
          </w:tcPr>
          <w:p w14:paraId="616889F8" w14:textId="77777777" w:rsidR="000C465B" w:rsidRPr="000C465B" w:rsidRDefault="000C465B" w:rsidP="000C465B">
            <w:pPr>
              <w:spacing w:after="0"/>
              <w:jc w:val="left"/>
              <w:rPr>
                <w:sz w:val="20"/>
                <w:szCs w:val="20"/>
              </w:rPr>
            </w:pPr>
            <w:r w:rsidRPr="000C465B">
              <w:rPr>
                <w:sz w:val="20"/>
                <w:szCs w:val="20"/>
              </w:rPr>
              <w:t xml:space="preserve">Expression must not conflict with mandatory Declaration of Net </w:t>
            </w:r>
            <w:proofErr w:type="gramStart"/>
            <w:r w:rsidRPr="000C465B">
              <w:rPr>
                <w:sz w:val="20"/>
                <w:szCs w:val="20"/>
              </w:rPr>
              <w:t>Quantity(</w:t>
            </w:r>
            <w:proofErr w:type="spellStart"/>
            <w:proofErr w:type="gramEnd"/>
            <w:r w:rsidRPr="000C465B">
              <w:rPr>
                <w:sz w:val="20"/>
                <w:szCs w:val="20"/>
              </w:rPr>
              <w:t>DoNQ</w:t>
            </w:r>
            <w:proofErr w:type="spellEnd"/>
            <w:r w:rsidRPr="000C465B">
              <w:rPr>
                <w:sz w:val="20"/>
                <w:szCs w:val="20"/>
              </w:rPr>
              <w:t>).</w:t>
            </w:r>
          </w:p>
        </w:tc>
        <w:tc>
          <w:tcPr>
            <w:tcW w:w="1303" w:type="dxa"/>
            <w:vAlign w:val="center"/>
          </w:tcPr>
          <w:p w14:paraId="0281E93B" w14:textId="77777777" w:rsidR="000C465B" w:rsidRPr="000C465B" w:rsidRDefault="000C465B" w:rsidP="000C465B">
            <w:pPr>
              <w:spacing w:after="0"/>
              <w:jc w:val="center"/>
              <w:rPr>
                <w:sz w:val="20"/>
                <w:szCs w:val="20"/>
              </w:rPr>
            </w:pPr>
            <w:r w:rsidRPr="000C465B">
              <w:rPr>
                <w:sz w:val="20"/>
                <w:szCs w:val="20"/>
              </w:rPr>
              <w:t>X</w:t>
            </w:r>
          </w:p>
        </w:tc>
        <w:tc>
          <w:tcPr>
            <w:tcW w:w="1497" w:type="dxa"/>
            <w:vAlign w:val="center"/>
          </w:tcPr>
          <w:p w14:paraId="4CDD32C2" w14:textId="77777777" w:rsidR="000C465B" w:rsidRPr="000C465B" w:rsidRDefault="000C465B" w:rsidP="000C465B">
            <w:pPr>
              <w:spacing w:after="0"/>
              <w:jc w:val="center"/>
              <w:rPr>
                <w:sz w:val="20"/>
                <w:szCs w:val="20"/>
              </w:rPr>
            </w:pPr>
            <w:r w:rsidRPr="000C465B">
              <w:rPr>
                <w:sz w:val="20"/>
                <w:szCs w:val="20"/>
              </w:rPr>
              <w:t>X</w:t>
            </w:r>
          </w:p>
        </w:tc>
        <w:tc>
          <w:tcPr>
            <w:tcW w:w="1257" w:type="dxa"/>
            <w:vAlign w:val="center"/>
          </w:tcPr>
          <w:p w14:paraId="5CF10A67"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2628FEAA"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0DBE9328"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228122E8" w14:textId="77777777" w:rsidTr="005F0F3E">
        <w:tc>
          <w:tcPr>
            <w:tcW w:w="2137" w:type="dxa"/>
          </w:tcPr>
          <w:p w14:paraId="62608867" w14:textId="77777777" w:rsidR="000C465B" w:rsidRPr="000C465B" w:rsidRDefault="000C465B" w:rsidP="000C465B">
            <w:pPr>
              <w:spacing w:after="0"/>
              <w:jc w:val="left"/>
              <w:rPr>
                <w:sz w:val="20"/>
                <w:szCs w:val="20"/>
              </w:rPr>
            </w:pPr>
            <w:r w:rsidRPr="000C465B">
              <w:rPr>
                <w:sz w:val="20"/>
                <w:szCs w:val="20"/>
              </w:rPr>
              <w:t>Expression location and prominence (size, font, and contrast) must be balanced against the Declaration of Net Quantity (</w:t>
            </w:r>
            <w:proofErr w:type="spellStart"/>
            <w:r w:rsidRPr="000C465B">
              <w:rPr>
                <w:sz w:val="20"/>
                <w:szCs w:val="20"/>
              </w:rPr>
              <w:t>DoNQ</w:t>
            </w:r>
            <w:proofErr w:type="spellEnd"/>
            <w:r w:rsidRPr="000C465B">
              <w:rPr>
                <w:sz w:val="20"/>
                <w:szCs w:val="20"/>
              </w:rPr>
              <w:t xml:space="preserve">). </w:t>
            </w:r>
          </w:p>
        </w:tc>
        <w:tc>
          <w:tcPr>
            <w:tcW w:w="1303" w:type="dxa"/>
            <w:vAlign w:val="center"/>
          </w:tcPr>
          <w:p w14:paraId="2C5DD227" w14:textId="77777777" w:rsidR="000C465B" w:rsidRPr="000C465B" w:rsidRDefault="000C465B" w:rsidP="000C465B">
            <w:pPr>
              <w:spacing w:after="0"/>
              <w:jc w:val="center"/>
              <w:rPr>
                <w:sz w:val="20"/>
                <w:szCs w:val="20"/>
              </w:rPr>
            </w:pPr>
            <w:r w:rsidRPr="000C465B">
              <w:rPr>
                <w:sz w:val="20"/>
                <w:szCs w:val="20"/>
              </w:rPr>
              <w:t>X</w:t>
            </w:r>
          </w:p>
        </w:tc>
        <w:tc>
          <w:tcPr>
            <w:tcW w:w="1497" w:type="dxa"/>
            <w:vAlign w:val="center"/>
          </w:tcPr>
          <w:p w14:paraId="2653E9E0" w14:textId="77777777" w:rsidR="000C465B" w:rsidRPr="000C465B" w:rsidRDefault="000C465B" w:rsidP="000C465B">
            <w:pPr>
              <w:spacing w:after="0"/>
              <w:jc w:val="center"/>
              <w:rPr>
                <w:sz w:val="20"/>
                <w:szCs w:val="20"/>
              </w:rPr>
            </w:pPr>
            <w:r w:rsidRPr="000C465B">
              <w:rPr>
                <w:sz w:val="20"/>
                <w:szCs w:val="20"/>
              </w:rPr>
              <w:t>X</w:t>
            </w:r>
          </w:p>
        </w:tc>
        <w:tc>
          <w:tcPr>
            <w:tcW w:w="1257" w:type="dxa"/>
            <w:vAlign w:val="center"/>
          </w:tcPr>
          <w:p w14:paraId="7C4009B1"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3FC0CAE7"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6234E6A5"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59DFD829" w14:textId="77777777" w:rsidTr="005F0F3E">
        <w:tc>
          <w:tcPr>
            <w:tcW w:w="2137" w:type="dxa"/>
          </w:tcPr>
          <w:p w14:paraId="4F24E563" w14:textId="77777777" w:rsidR="000C465B" w:rsidRPr="000C465B" w:rsidRDefault="000C465B" w:rsidP="000C465B">
            <w:pPr>
              <w:spacing w:after="0"/>
              <w:jc w:val="left"/>
              <w:rPr>
                <w:sz w:val="20"/>
                <w:szCs w:val="20"/>
              </w:rPr>
            </w:pPr>
            <w:r w:rsidRPr="000C465B">
              <w:rPr>
                <w:sz w:val="20"/>
                <w:szCs w:val="20"/>
              </w:rPr>
              <w:t xml:space="preserve">Expression should provide Consumer Relevant Information. </w:t>
            </w:r>
          </w:p>
        </w:tc>
        <w:tc>
          <w:tcPr>
            <w:tcW w:w="1303" w:type="dxa"/>
            <w:vAlign w:val="center"/>
          </w:tcPr>
          <w:p w14:paraId="5580EF44" w14:textId="77777777" w:rsidR="000C465B" w:rsidRPr="000C465B" w:rsidRDefault="000C465B" w:rsidP="000C465B">
            <w:pPr>
              <w:spacing w:after="0"/>
              <w:jc w:val="center"/>
              <w:rPr>
                <w:sz w:val="20"/>
                <w:szCs w:val="20"/>
              </w:rPr>
            </w:pPr>
            <w:r w:rsidRPr="000C465B">
              <w:rPr>
                <w:sz w:val="20"/>
                <w:szCs w:val="20"/>
              </w:rPr>
              <w:t>X</w:t>
            </w:r>
          </w:p>
        </w:tc>
        <w:tc>
          <w:tcPr>
            <w:tcW w:w="1497" w:type="dxa"/>
            <w:vAlign w:val="center"/>
          </w:tcPr>
          <w:p w14:paraId="4E67D78C" w14:textId="77777777" w:rsidR="000C465B" w:rsidRPr="000C465B" w:rsidRDefault="000C465B" w:rsidP="000C465B">
            <w:pPr>
              <w:spacing w:after="0"/>
              <w:jc w:val="center"/>
              <w:rPr>
                <w:sz w:val="20"/>
                <w:szCs w:val="20"/>
              </w:rPr>
            </w:pPr>
            <w:r w:rsidRPr="000C465B">
              <w:rPr>
                <w:sz w:val="20"/>
                <w:szCs w:val="20"/>
              </w:rPr>
              <w:t>X</w:t>
            </w:r>
          </w:p>
        </w:tc>
        <w:tc>
          <w:tcPr>
            <w:tcW w:w="1257" w:type="dxa"/>
            <w:vAlign w:val="center"/>
          </w:tcPr>
          <w:p w14:paraId="00C4F985"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1FA506C3"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19011719"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1E73CD0B" w14:textId="77777777" w:rsidTr="005F0F3E">
        <w:tc>
          <w:tcPr>
            <w:tcW w:w="2137" w:type="dxa"/>
          </w:tcPr>
          <w:p w14:paraId="7B747651" w14:textId="77777777" w:rsidR="000C465B" w:rsidRPr="000C465B" w:rsidRDefault="000C465B" w:rsidP="000C465B">
            <w:pPr>
              <w:spacing w:after="0"/>
              <w:jc w:val="left"/>
              <w:rPr>
                <w:sz w:val="20"/>
                <w:szCs w:val="20"/>
              </w:rPr>
            </w:pPr>
            <w:r w:rsidRPr="000C465B">
              <w:rPr>
                <w:sz w:val="20"/>
                <w:szCs w:val="20"/>
              </w:rPr>
              <w:t>Expressions should not conflict with units of Legal Metrology.</w:t>
            </w:r>
          </w:p>
        </w:tc>
        <w:tc>
          <w:tcPr>
            <w:tcW w:w="1303" w:type="dxa"/>
            <w:vAlign w:val="center"/>
          </w:tcPr>
          <w:p w14:paraId="3DEC0CA5" w14:textId="77777777" w:rsidR="000C465B" w:rsidRPr="000C465B" w:rsidRDefault="000C465B" w:rsidP="000C465B">
            <w:pPr>
              <w:spacing w:after="0"/>
              <w:jc w:val="center"/>
              <w:rPr>
                <w:sz w:val="20"/>
                <w:szCs w:val="20"/>
              </w:rPr>
            </w:pPr>
          </w:p>
        </w:tc>
        <w:tc>
          <w:tcPr>
            <w:tcW w:w="1497" w:type="dxa"/>
            <w:vAlign w:val="center"/>
          </w:tcPr>
          <w:p w14:paraId="23ADDC4D" w14:textId="77777777" w:rsidR="000C465B" w:rsidRPr="000C465B" w:rsidRDefault="000C465B" w:rsidP="000C465B">
            <w:pPr>
              <w:spacing w:after="0"/>
              <w:jc w:val="center"/>
              <w:rPr>
                <w:sz w:val="20"/>
                <w:szCs w:val="20"/>
              </w:rPr>
            </w:pPr>
          </w:p>
        </w:tc>
        <w:tc>
          <w:tcPr>
            <w:tcW w:w="1257" w:type="dxa"/>
            <w:vAlign w:val="center"/>
          </w:tcPr>
          <w:p w14:paraId="5FE93EF4"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1220ED56"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143DB5CA"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497BFC82" w14:textId="77777777" w:rsidTr="005F0F3E">
        <w:tc>
          <w:tcPr>
            <w:tcW w:w="2137" w:type="dxa"/>
          </w:tcPr>
          <w:p w14:paraId="5B8DDD7C" w14:textId="77777777" w:rsidR="000C465B" w:rsidRPr="000C465B" w:rsidRDefault="000C465B" w:rsidP="000C465B">
            <w:pPr>
              <w:spacing w:after="0"/>
              <w:jc w:val="left"/>
              <w:rPr>
                <w:sz w:val="20"/>
                <w:szCs w:val="20"/>
              </w:rPr>
            </w:pPr>
            <w:r w:rsidRPr="000C465B">
              <w:rPr>
                <w:sz w:val="20"/>
                <w:szCs w:val="20"/>
              </w:rPr>
              <w:t>Package Label must provide directions for how to reconstitute.</w:t>
            </w:r>
          </w:p>
        </w:tc>
        <w:tc>
          <w:tcPr>
            <w:tcW w:w="1303" w:type="dxa"/>
            <w:vAlign w:val="center"/>
          </w:tcPr>
          <w:p w14:paraId="6C76CA9E" w14:textId="77777777" w:rsidR="000C465B" w:rsidRPr="000C465B" w:rsidRDefault="000C465B" w:rsidP="000C465B">
            <w:pPr>
              <w:spacing w:after="0"/>
              <w:jc w:val="center"/>
              <w:rPr>
                <w:sz w:val="20"/>
                <w:szCs w:val="20"/>
              </w:rPr>
            </w:pPr>
          </w:p>
        </w:tc>
        <w:tc>
          <w:tcPr>
            <w:tcW w:w="1497" w:type="dxa"/>
            <w:vAlign w:val="center"/>
          </w:tcPr>
          <w:p w14:paraId="2447F0CF" w14:textId="77777777" w:rsidR="000C465B" w:rsidRPr="000C465B" w:rsidRDefault="000C465B" w:rsidP="000C465B">
            <w:pPr>
              <w:spacing w:after="0"/>
              <w:jc w:val="center"/>
              <w:rPr>
                <w:sz w:val="20"/>
                <w:szCs w:val="20"/>
              </w:rPr>
            </w:pPr>
            <w:r w:rsidRPr="000C465B">
              <w:rPr>
                <w:sz w:val="20"/>
                <w:szCs w:val="20"/>
              </w:rPr>
              <w:t>X</w:t>
            </w:r>
          </w:p>
        </w:tc>
        <w:tc>
          <w:tcPr>
            <w:tcW w:w="1257" w:type="dxa"/>
            <w:vAlign w:val="center"/>
          </w:tcPr>
          <w:p w14:paraId="76EDEDC4" w14:textId="77777777" w:rsidR="000C465B" w:rsidRPr="000C465B" w:rsidRDefault="000C465B" w:rsidP="000C465B">
            <w:pPr>
              <w:spacing w:after="0"/>
              <w:jc w:val="center"/>
              <w:rPr>
                <w:sz w:val="20"/>
                <w:szCs w:val="20"/>
              </w:rPr>
            </w:pPr>
          </w:p>
        </w:tc>
        <w:tc>
          <w:tcPr>
            <w:tcW w:w="1787" w:type="dxa"/>
            <w:vAlign w:val="center"/>
          </w:tcPr>
          <w:p w14:paraId="20C77DBA" w14:textId="77777777" w:rsidR="000C465B" w:rsidRPr="000C465B" w:rsidRDefault="000C465B" w:rsidP="000C465B">
            <w:pPr>
              <w:spacing w:after="0"/>
              <w:jc w:val="center"/>
              <w:rPr>
                <w:sz w:val="20"/>
                <w:szCs w:val="20"/>
              </w:rPr>
            </w:pPr>
          </w:p>
        </w:tc>
        <w:tc>
          <w:tcPr>
            <w:tcW w:w="1626" w:type="dxa"/>
            <w:vAlign w:val="center"/>
          </w:tcPr>
          <w:p w14:paraId="202F166C" w14:textId="77777777" w:rsidR="000C465B" w:rsidRPr="000C465B" w:rsidRDefault="000C465B" w:rsidP="000C465B">
            <w:pPr>
              <w:spacing w:after="0"/>
              <w:jc w:val="center"/>
              <w:rPr>
                <w:sz w:val="20"/>
                <w:szCs w:val="20"/>
              </w:rPr>
            </w:pPr>
          </w:p>
        </w:tc>
      </w:tr>
      <w:tr w:rsidR="000C465B" w:rsidRPr="000C465B" w14:paraId="229A5D3E" w14:textId="77777777" w:rsidTr="005F0F3E">
        <w:tc>
          <w:tcPr>
            <w:tcW w:w="2137" w:type="dxa"/>
          </w:tcPr>
          <w:p w14:paraId="3492E7CF" w14:textId="77777777" w:rsidR="000C465B" w:rsidRPr="000C465B" w:rsidRDefault="000C465B" w:rsidP="000C465B">
            <w:pPr>
              <w:spacing w:after="0"/>
              <w:jc w:val="left"/>
              <w:rPr>
                <w:sz w:val="20"/>
                <w:szCs w:val="20"/>
              </w:rPr>
            </w:pPr>
            <w:r w:rsidRPr="000C465B">
              <w:rPr>
                <w:sz w:val="20"/>
                <w:szCs w:val="20"/>
              </w:rPr>
              <w:t xml:space="preserve">Package Label must provide definition of derived unit.  </w:t>
            </w:r>
          </w:p>
        </w:tc>
        <w:tc>
          <w:tcPr>
            <w:tcW w:w="1303" w:type="dxa"/>
            <w:vAlign w:val="center"/>
          </w:tcPr>
          <w:p w14:paraId="02D3CF36" w14:textId="77777777" w:rsidR="000C465B" w:rsidRPr="000C465B" w:rsidRDefault="000C465B" w:rsidP="000C465B">
            <w:pPr>
              <w:spacing w:after="0"/>
              <w:jc w:val="center"/>
              <w:rPr>
                <w:sz w:val="20"/>
                <w:szCs w:val="20"/>
              </w:rPr>
            </w:pPr>
          </w:p>
        </w:tc>
        <w:tc>
          <w:tcPr>
            <w:tcW w:w="1497" w:type="dxa"/>
            <w:vAlign w:val="center"/>
          </w:tcPr>
          <w:p w14:paraId="12C10A62" w14:textId="77777777" w:rsidR="000C465B" w:rsidRPr="000C465B" w:rsidRDefault="000C465B" w:rsidP="000C465B">
            <w:pPr>
              <w:spacing w:after="0"/>
              <w:jc w:val="center"/>
              <w:rPr>
                <w:sz w:val="20"/>
                <w:szCs w:val="20"/>
              </w:rPr>
            </w:pPr>
          </w:p>
        </w:tc>
        <w:tc>
          <w:tcPr>
            <w:tcW w:w="1257" w:type="dxa"/>
            <w:vAlign w:val="center"/>
          </w:tcPr>
          <w:p w14:paraId="12B81B30"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3BF7B2CA" w14:textId="77777777" w:rsidR="000C465B" w:rsidRPr="000C465B" w:rsidRDefault="000C465B" w:rsidP="000C465B">
            <w:pPr>
              <w:spacing w:after="0"/>
              <w:jc w:val="center"/>
              <w:rPr>
                <w:sz w:val="20"/>
                <w:szCs w:val="20"/>
              </w:rPr>
            </w:pPr>
          </w:p>
        </w:tc>
        <w:tc>
          <w:tcPr>
            <w:tcW w:w="1626" w:type="dxa"/>
            <w:vAlign w:val="center"/>
          </w:tcPr>
          <w:p w14:paraId="2892CB9F"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339122CE" w14:textId="77777777" w:rsidTr="005F0F3E">
        <w:tc>
          <w:tcPr>
            <w:tcW w:w="2137" w:type="dxa"/>
          </w:tcPr>
          <w:p w14:paraId="16F7DC22" w14:textId="77777777" w:rsidR="000C465B" w:rsidRPr="000C465B" w:rsidRDefault="000C465B" w:rsidP="000C465B">
            <w:pPr>
              <w:spacing w:after="0"/>
              <w:jc w:val="left"/>
              <w:rPr>
                <w:sz w:val="20"/>
                <w:szCs w:val="20"/>
              </w:rPr>
            </w:pPr>
            <w:r w:rsidRPr="000C465B">
              <w:rPr>
                <w:sz w:val="20"/>
                <w:szCs w:val="20"/>
              </w:rPr>
              <w:t>Derived Unit definition must be consistent across similar products.</w:t>
            </w:r>
          </w:p>
        </w:tc>
        <w:tc>
          <w:tcPr>
            <w:tcW w:w="1303" w:type="dxa"/>
            <w:vAlign w:val="center"/>
          </w:tcPr>
          <w:p w14:paraId="3DC4B834" w14:textId="77777777" w:rsidR="000C465B" w:rsidRPr="000C465B" w:rsidRDefault="000C465B" w:rsidP="000C465B">
            <w:pPr>
              <w:spacing w:after="0"/>
              <w:jc w:val="center"/>
              <w:rPr>
                <w:sz w:val="20"/>
                <w:szCs w:val="20"/>
              </w:rPr>
            </w:pPr>
          </w:p>
        </w:tc>
        <w:tc>
          <w:tcPr>
            <w:tcW w:w="1497" w:type="dxa"/>
            <w:vAlign w:val="center"/>
          </w:tcPr>
          <w:p w14:paraId="3EDB710B" w14:textId="77777777" w:rsidR="000C465B" w:rsidRPr="000C465B" w:rsidRDefault="000C465B" w:rsidP="000C465B">
            <w:pPr>
              <w:spacing w:after="0"/>
              <w:jc w:val="center"/>
              <w:rPr>
                <w:sz w:val="20"/>
                <w:szCs w:val="20"/>
              </w:rPr>
            </w:pPr>
          </w:p>
        </w:tc>
        <w:tc>
          <w:tcPr>
            <w:tcW w:w="1257" w:type="dxa"/>
            <w:vAlign w:val="center"/>
          </w:tcPr>
          <w:p w14:paraId="038C77C9" w14:textId="77777777" w:rsidR="000C465B" w:rsidRPr="000C465B" w:rsidRDefault="000C465B" w:rsidP="000C465B">
            <w:pPr>
              <w:spacing w:after="0"/>
              <w:jc w:val="center"/>
              <w:rPr>
                <w:sz w:val="20"/>
                <w:szCs w:val="20"/>
              </w:rPr>
            </w:pPr>
            <w:r w:rsidRPr="000C465B">
              <w:rPr>
                <w:sz w:val="20"/>
                <w:szCs w:val="20"/>
              </w:rPr>
              <w:t>X</w:t>
            </w:r>
          </w:p>
        </w:tc>
        <w:tc>
          <w:tcPr>
            <w:tcW w:w="1787" w:type="dxa"/>
            <w:vAlign w:val="center"/>
          </w:tcPr>
          <w:p w14:paraId="3EDC03C1" w14:textId="77777777" w:rsidR="000C465B" w:rsidRPr="000C465B" w:rsidRDefault="000C465B" w:rsidP="000C465B">
            <w:pPr>
              <w:spacing w:after="0"/>
              <w:jc w:val="center"/>
              <w:rPr>
                <w:sz w:val="20"/>
                <w:szCs w:val="20"/>
              </w:rPr>
            </w:pPr>
          </w:p>
        </w:tc>
        <w:tc>
          <w:tcPr>
            <w:tcW w:w="1626" w:type="dxa"/>
            <w:vAlign w:val="center"/>
          </w:tcPr>
          <w:p w14:paraId="1988E3A0" w14:textId="77777777" w:rsidR="000C465B" w:rsidRPr="000C465B" w:rsidRDefault="000C465B" w:rsidP="000C465B">
            <w:pPr>
              <w:spacing w:after="0"/>
              <w:jc w:val="center"/>
              <w:rPr>
                <w:sz w:val="20"/>
                <w:szCs w:val="20"/>
              </w:rPr>
            </w:pPr>
            <w:r w:rsidRPr="000C465B">
              <w:rPr>
                <w:sz w:val="20"/>
                <w:szCs w:val="20"/>
              </w:rPr>
              <w:t>X</w:t>
            </w:r>
          </w:p>
        </w:tc>
      </w:tr>
      <w:tr w:rsidR="000C465B" w:rsidRPr="000C465B" w14:paraId="4CAB7DE2" w14:textId="77777777" w:rsidTr="005F0F3E">
        <w:tc>
          <w:tcPr>
            <w:tcW w:w="2137" w:type="dxa"/>
          </w:tcPr>
          <w:p w14:paraId="61F0FCB8" w14:textId="77777777" w:rsidR="000C465B" w:rsidRPr="000C465B" w:rsidRDefault="000C465B" w:rsidP="000C465B">
            <w:pPr>
              <w:spacing w:after="0"/>
              <w:jc w:val="left"/>
              <w:rPr>
                <w:sz w:val="20"/>
                <w:szCs w:val="20"/>
              </w:rPr>
            </w:pPr>
            <w:r w:rsidRPr="000C465B">
              <w:rPr>
                <w:sz w:val="20"/>
                <w:szCs w:val="20"/>
              </w:rPr>
              <w:t>Comparative expression must be balanced, complete and appear in its entirety in the upper 70% of the Principal Display Panel (PDP).</w:t>
            </w:r>
          </w:p>
        </w:tc>
        <w:tc>
          <w:tcPr>
            <w:tcW w:w="1303" w:type="dxa"/>
            <w:vAlign w:val="center"/>
          </w:tcPr>
          <w:p w14:paraId="751C0E69" w14:textId="77777777" w:rsidR="000C465B" w:rsidRPr="000C465B" w:rsidRDefault="000C465B" w:rsidP="000C465B">
            <w:pPr>
              <w:spacing w:after="0"/>
              <w:jc w:val="center"/>
              <w:rPr>
                <w:sz w:val="20"/>
                <w:szCs w:val="20"/>
              </w:rPr>
            </w:pPr>
          </w:p>
        </w:tc>
        <w:tc>
          <w:tcPr>
            <w:tcW w:w="1497" w:type="dxa"/>
            <w:vAlign w:val="center"/>
          </w:tcPr>
          <w:p w14:paraId="5061BDBE" w14:textId="77777777" w:rsidR="000C465B" w:rsidRPr="000C465B" w:rsidRDefault="000C465B" w:rsidP="000C465B">
            <w:pPr>
              <w:spacing w:after="0"/>
              <w:jc w:val="center"/>
              <w:rPr>
                <w:sz w:val="20"/>
                <w:szCs w:val="20"/>
              </w:rPr>
            </w:pPr>
          </w:p>
        </w:tc>
        <w:tc>
          <w:tcPr>
            <w:tcW w:w="1257" w:type="dxa"/>
            <w:vAlign w:val="center"/>
          </w:tcPr>
          <w:p w14:paraId="50B8F591" w14:textId="77777777" w:rsidR="000C465B" w:rsidRPr="000C465B" w:rsidRDefault="000C465B" w:rsidP="000C465B">
            <w:pPr>
              <w:spacing w:after="0"/>
              <w:jc w:val="center"/>
              <w:rPr>
                <w:sz w:val="20"/>
                <w:szCs w:val="20"/>
              </w:rPr>
            </w:pPr>
          </w:p>
        </w:tc>
        <w:tc>
          <w:tcPr>
            <w:tcW w:w="1787" w:type="dxa"/>
            <w:vAlign w:val="center"/>
          </w:tcPr>
          <w:p w14:paraId="62B1A9D2" w14:textId="77777777" w:rsidR="000C465B" w:rsidRPr="000C465B" w:rsidRDefault="000C465B" w:rsidP="000C465B">
            <w:pPr>
              <w:spacing w:after="0"/>
              <w:jc w:val="center"/>
              <w:rPr>
                <w:sz w:val="20"/>
                <w:szCs w:val="20"/>
              </w:rPr>
            </w:pPr>
            <w:r w:rsidRPr="000C465B">
              <w:rPr>
                <w:sz w:val="20"/>
                <w:szCs w:val="20"/>
              </w:rPr>
              <w:t>X</w:t>
            </w:r>
          </w:p>
        </w:tc>
        <w:tc>
          <w:tcPr>
            <w:tcW w:w="1626" w:type="dxa"/>
            <w:vAlign w:val="center"/>
          </w:tcPr>
          <w:p w14:paraId="54CCB794" w14:textId="77777777" w:rsidR="000C465B" w:rsidRPr="000C465B" w:rsidRDefault="000C465B" w:rsidP="000C465B">
            <w:pPr>
              <w:spacing w:after="0"/>
              <w:jc w:val="center"/>
              <w:rPr>
                <w:sz w:val="20"/>
                <w:szCs w:val="20"/>
              </w:rPr>
            </w:pPr>
          </w:p>
        </w:tc>
      </w:tr>
      <w:tr w:rsidR="000C465B" w:rsidRPr="000C465B" w14:paraId="2A86E50F" w14:textId="77777777" w:rsidTr="005F0F3E">
        <w:trPr>
          <w:trHeight w:val="70"/>
        </w:trPr>
        <w:tc>
          <w:tcPr>
            <w:tcW w:w="2137" w:type="dxa"/>
          </w:tcPr>
          <w:p w14:paraId="6A092E20" w14:textId="77777777" w:rsidR="000C465B" w:rsidRPr="000C465B" w:rsidRDefault="000C465B" w:rsidP="000C465B">
            <w:pPr>
              <w:spacing w:after="0"/>
              <w:jc w:val="left"/>
              <w:rPr>
                <w:sz w:val="20"/>
                <w:szCs w:val="20"/>
              </w:rPr>
            </w:pPr>
            <w:r w:rsidRPr="000C465B">
              <w:rPr>
                <w:sz w:val="20"/>
                <w:szCs w:val="20"/>
              </w:rPr>
              <w:lastRenderedPageBreak/>
              <w:t xml:space="preserve">Comparative </w:t>
            </w:r>
            <w:proofErr w:type="gramStart"/>
            <w:r w:rsidRPr="000C465B">
              <w:rPr>
                <w:sz w:val="20"/>
                <w:szCs w:val="20"/>
              </w:rPr>
              <w:t>expression</w:t>
            </w:r>
            <w:proofErr w:type="gramEnd"/>
            <w:r w:rsidRPr="000C465B">
              <w:rPr>
                <w:sz w:val="20"/>
                <w:szCs w:val="20"/>
              </w:rPr>
              <w:t xml:space="preserve"> which does not contain a reference to recognized units of Legal Metrology must be balanced and complete.</w:t>
            </w:r>
          </w:p>
        </w:tc>
        <w:tc>
          <w:tcPr>
            <w:tcW w:w="1303" w:type="dxa"/>
            <w:vAlign w:val="center"/>
          </w:tcPr>
          <w:p w14:paraId="7D3B7875" w14:textId="77777777" w:rsidR="000C465B" w:rsidRPr="000C465B" w:rsidRDefault="000C465B" w:rsidP="000C465B">
            <w:pPr>
              <w:spacing w:after="0"/>
              <w:jc w:val="center"/>
              <w:rPr>
                <w:sz w:val="20"/>
                <w:szCs w:val="20"/>
              </w:rPr>
            </w:pPr>
          </w:p>
        </w:tc>
        <w:tc>
          <w:tcPr>
            <w:tcW w:w="1497" w:type="dxa"/>
            <w:vAlign w:val="center"/>
          </w:tcPr>
          <w:p w14:paraId="6D8923DA" w14:textId="77777777" w:rsidR="000C465B" w:rsidRPr="000C465B" w:rsidRDefault="000C465B" w:rsidP="000C465B">
            <w:pPr>
              <w:spacing w:after="0"/>
              <w:jc w:val="center"/>
              <w:rPr>
                <w:sz w:val="20"/>
                <w:szCs w:val="20"/>
              </w:rPr>
            </w:pPr>
          </w:p>
        </w:tc>
        <w:tc>
          <w:tcPr>
            <w:tcW w:w="1257" w:type="dxa"/>
            <w:vAlign w:val="center"/>
          </w:tcPr>
          <w:p w14:paraId="41314C12" w14:textId="77777777" w:rsidR="000C465B" w:rsidRPr="000C465B" w:rsidRDefault="000C465B" w:rsidP="000C465B">
            <w:pPr>
              <w:spacing w:after="0"/>
              <w:jc w:val="center"/>
              <w:rPr>
                <w:sz w:val="20"/>
                <w:szCs w:val="20"/>
              </w:rPr>
            </w:pPr>
          </w:p>
        </w:tc>
        <w:tc>
          <w:tcPr>
            <w:tcW w:w="1787" w:type="dxa"/>
            <w:vAlign w:val="center"/>
          </w:tcPr>
          <w:p w14:paraId="1B401B58" w14:textId="77777777" w:rsidR="000C465B" w:rsidRPr="000C465B" w:rsidRDefault="000C465B" w:rsidP="000C465B">
            <w:pPr>
              <w:spacing w:after="0"/>
              <w:jc w:val="center"/>
              <w:rPr>
                <w:sz w:val="20"/>
                <w:szCs w:val="20"/>
              </w:rPr>
            </w:pPr>
          </w:p>
        </w:tc>
        <w:tc>
          <w:tcPr>
            <w:tcW w:w="1626" w:type="dxa"/>
            <w:vAlign w:val="center"/>
          </w:tcPr>
          <w:p w14:paraId="0565B96B" w14:textId="77777777" w:rsidR="000C465B" w:rsidRPr="000C465B" w:rsidRDefault="000C465B" w:rsidP="000C465B">
            <w:pPr>
              <w:spacing w:after="0"/>
              <w:jc w:val="center"/>
              <w:rPr>
                <w:sz w:val="20"/>
                <w:szCs w:val="20"/>
              </w:rPr>
            </w:pPr>
            <w:r w:rsidRPr="000C465B">
              <w:rPr>
                <w:sz w:val="20"/>
                <w:szCs w:val="20"/>
              </w:rPr>
              <w:t>X</w:t>
            </w:r>
          </w:p>
        </w:tc>
      </w:tr>
    </w:tbl>
    <w:p w14:paraId="140E4A37" w14:textId="77777777" w:rsidR="000C465B" w:rsidRPr="000C465B" w:rsidRDefault="000C465B" w:rsidP="000C465B">
      <w:pPr>
        <w:spacing w:after="200" w:line="276" w:lineRule="auto"/>
        <w:jc w:val="center"/>
        <w:rPr>
          <w:b/>
          <w:sz w:val="36"/>
          <w:szCs w:val="36"/>
        </w:rPr>
      </w:pPr>
      <w:r w:rsidRPr="000C465B">
        <w:rPr>
          <w:rFonts w:ascii="Calibri" w:hAnsi="Calibri"/>
          <w:sz w:val="22"/>
        </w:rPr>
        <w:br w:type="page"/>
      </w:r>
      <w:bookmarkStart w:id="890" w:name="Table2"/>
      <w:bookmarkEnd w:id="890"/>
      <w:r w:rsidRPr="000C465B">
        <w:rPr>
          <w:b/>
          <w:sz w:val="36"/>
          <w:szCs w:val="36"/>
        </w:rPr>
        <w:lastRenderedPageBreak/>
        <w:t>Table 2: Expression Principles and Guidance</w:t>
      </w:r>
    </w:p>
    <w:tbl>
      <w:tblPr>
        <w:tblStyle w:val="TableGrid22"/>
        <w:tblW w:w="0" w:type="auto"/>
        <w:tblLook w:val="04A0" w:firstRow="1" w:lastRow="0" w:firstColumn="1" w:lastColumn="0" w:noHBand="0" w:noVBand="1"/>
      </w:tblPr>
      <w:tblGrid>
        <w:gridCol w:w="2221"/>
        <w:gridCol w:w="7129"/>
      </w:tblGrid>
      <w:tr w:rsidR="000C465B" w:rsidRPr="000C465B" w14:paraId="1781FAC0" w14:textId="77777777" w:rsidTr="005F0F3E">
        <w:trPr>
          <w:cantSplit/>
          <w:tblHeader/>
        </w:trPr>
        <w:tc>
          <w:tcPr>
            <w:tcW w:w="2221" w:type="dxa"/>
          </w:tcPr>
          <w:p w14:paraId="0341EAB0" w14:textId="77777777" w:rsidR="000C465B" w:rsidRPr="000C465B" w:rsidRDefault="000C465B" w:rsidP="000C465B">
            <w:pPr>
              <w:spacing w:after="0"/>
              <w:jc w:val="center"/>
              <w:rPr>
                <w:b/>
                <w:sz w:val="20"/>
                <w:szCs w:val="20"/>
              </w:rPr>
            </w:pPr>
            <w:r w:rsidRPr="000C465B">
              <w:rPr>
                <w:b/>
                <w:sz w:val="20"/>
                <w:szCs w:val="20"/>
              </w:rPr>
              <w:t xml:space="preserve">Principle </w:t>
            </w:r>
          </w:p>
          <w:p w14:paraId="12D51916" w14:textId="77777777" w:rsidR="000C465B" w:rsidRPr="000C465B" w:rsidRDefault="000C465B" w:rsidP="000C465B">
            <w:pPr>
              <w:spacing w:after="0"/>
              <w:jc w:val="center"/>
              <w:rPr>
                <w:b/>
                <w:sz w:val="20"/>
                <w:szCs w:val="20"/>
              </w:rPr>
            </w:pPr>
            <w:r w:rsidRPr="000C465B">
              <w:rPr>
                <w:b/>
                <w:sz w:val="20"/>
                <w:szCs w:val="20"/>
              </w:rPr>
              <w:t>and Scope</w:t>
            </w:r>
          </w:p>
        </w:tc>
        <w:tc>
          <w:tcPr>
            <w:tcW w:w="7129" w:type="dxa"/>
          </w:tcPr>
          <w:p w14:paraId="14302ED9" w14:textId="77777777" w:rsidR="000C465B" w:rsidRPr="000C465B" w:rsidRDefault="000C465B" w:rsidP="000C465B">
            <w:pPr>
              <w:spacing w:before="120" w:after="0"/>
              <w:jc w:val="center"/>
              <w:rPr>
                <w:b/>
                <w:sz w:val="20"/>
                <w:szCs w:val="20"/>
              </w:rPr>
            </w:pPr>
            <w:r w:rsidRPr="000C465B">
              <w:rPr>
                <w:b/>
                <w:sz w:val="20"/>
                <w:szCs w:val="20"/>
              </w:rPr>
              <w:t>Detailed Guidance</w:t>
            </w:r>
          </w:p>
        </w:tc>
      </w:tr>
      <w:tr w:rsidR="000C465B" w:rsidRPr="000C465B" w14:paraId="4564012B" w14:textId="77777777" w:rsidTr="005F0F3E">
        <w:trPr>
          <w:cantSplit/>
          <w:trHeight w:val="7793"/>
        </w:trPr>
        <w:tc>
          <w:tcPr>
            <w:tcW w:w="2221" w:type="dxa"/>
          </w:tcPr>
          <w:p w14:paraId="707D48E6" w14:textId="77777777" w:rsidR="000C465B" w:rsidRPr="000C465B" w:rsidRDefault="000C465B" w:rsidP="000C465B">
            <w:pPr>
              <w:spacing w:after="0"/>
              <w:jc w:val="center"/>
              <w:rPr>
                <w:sz w:val="20"/>
                <w:szCs w:val="20"/>
              </w:rPr>
            </w:pPr>
          </w:p>
          <w:p w14:paraId="1162A5C1" w14:textId="77777777" w:rsidR="000C465B" w:rsidRPr="000C465B" w:rsidRDefault="000C465B" w:rsidP="000C465B">
            <w:pPr>
              <w:spacing w:after="0"/>
              <w:jc w:val="left"/>
              <w:rPr>
                <w:sz w:val="20"/>
                <w:szCs w:val="20"/>
              </w:rPr>
            </w:pPr>
            <w:r w:rsidRPr="000C465B">
              <w:rPr>
                <w:sz w:val="20"/>
                <w:szCs w:val="20"/>
              </w:rPr>
              <w:t xml:space="preserve">1. Expression should       be useful for consumers.   </w:t>
            </w:r>
          </w:p>
          <w:p w14:paraId="107D9CE1" w14:textId="77777777" w:rsidR="000C465B" w:rsidRPr="000C465B" w:rsidRDefault="000C465B" w:rsidP="000C465B">
            <w:pPr>
              <w:spacing w:after="0"/>
              <w:jc w:val="left"/>
              <w:rPr>
                <w:sz w:val="20"/>
                <w:szCs w:val="20"/>
              </w:rPr>
            </w:pPr>
          </w:p>
          <w:p w14:paraId="3DF82D51" w14:textId="77777777" w:rsidR="000C465B" w:rsidRPr="000C465B" w:rsidRDefault="000C465B" w:rsidP="000C465B">
            <w:pPr>
              <w:spacing w:after="0"/>
              <w:jc w:val="left"/>
              <w:rPr>
                <w:i/>
                <w:iCs/>
                <w:sz w:val="20"/>
                <w:szCs w:val="20"/>
              </w:rPr>
            </w:pPr>
            <w:r w:rsidRPr="000C465B">
              <w:rPr>
                <w:i/>
                <w:iCs/>
                <w:sz w:val="20"/>
                <w:szCs w:val="20"/>
              </w:rPr>
              <w:t>How does the expression provide practical and helpful information to assist consumers?</w:t>
            </w:r>
          </w:p>
          <w:p w14:paraId="74EF6480" w14:textId="77777777" w:rsidR="000C465B" w:rsidRPr="000C465B" w:rsidRDefault="000C465B" w:rsidP="000C465B">
            <w:pPr>
              <w:spacing w:after="0"/>
              <w:jc w:val="left"/>
              <w:rPr>
                <w:sz w:val="20"/>
                <w:szCs w:val="20"/>
              </w:rPr>
            </w:pPr>
          </w:p>
          <w:p w14:paraId="1EEF67CE" w14:textId="77777777" w:rsidR="000C465B" w:rsidRPr="000C465B" w:rsidRDefault="000C465B" w:rsidP="000C465B">
            <w:pPr>
              <w:spacing w:after="0"/>
              <w:jc w:val="left"/>
              <w:rPr>
                <w:sz w:val="20"/>
                <w:szCs w:val="20"/>
              </w:rPr>
            </w:pPr>
            <w:r w:rsidRPr="000C465B">
              <w:rPr>
                <w:sz w:val="20"/>
                <w:szCs w:val="20"/>
              </w:rPr>
              <w:t>(Applies to all categories)</w:t>
            </w:r>
          </w:p>
        </w:tc>
        <w:tc>
          <w:tcPr>
            <w:tcW w:w="7129" w:type="dxa"/>
          </w:tcPr>
          <w:p w14:paraId="616E137D" w14:textId="77777777" w:rsidR="000C465B" w:rsidRPr="000C465B" w:rsidRDefault="000C465B" w:rsidP="000C465B">
            <w:pPr>
              <w:spacing w:after="0"/>
              <w:jc w:val="left"/>
              <w:rPr>
                <w:sz w:val="20"/>
                <w:szCs w:val="20"/>
              </w:rPr>
            </w:pPr>
          </w:p>
          <w:p w14:paraId="56EE9174" w14:textId="77777777" w:rsidR="000C465B" w:rsidRPr="000C465B" w:rsidRDefault="000C465B" w:rsidP="000C465B">
            <w:pPr>
              <w:spacing w:after="0"/>
              <w:rPr>
                <w:sz w:val="20"/>
                <w:szCs w:val="20"/>
              </w:rPr>
            </w:pPr>
            <w:r w:rsidRPr="000C465B">
              <w:rPr>
                <w:sz w:val="20"/>
                <w:szCs w:val="20"/>
              </w:rPr>
              <w:t>Manufacturers should consider whether providing quantity-related information beyond what is in the mandatory Declaration of Net Quantity (</w:t>
            </w:r>
            <w:proofErr w:type="spellStart"/>
            <w:r w:rsidRPr="000C465B">
              <w:rPr>
                <w:sz w:val="20"/>
                <w:szCs w:val="20"/>
              </w:rPr>
              <w:t>DoNQ</w:t>
            </w:r>
            <w:proofErr w:type="spellEnd"/>
            <w:r w:rsidRPr="000C465B">
              <w:rPr>
                <w:sz w:val="20"/>
                <w:szCs w:val="20"/>
              </w:rPr>
              <w:t xml:space="preserve">) will be useful for consumers, and if so, how.  Does the expression increase the clarity of quantity information, educate consumers about product quantity or performance, meaningfully assist with value comparisons, or provide other benefits?  Generally, an additional quantity expression should have a logical or research-based rationale for why the information is useful to consumers.  </w:t>
            </w:r>
          </w:p>
          <w:p w14:paraId="194EF053" w14:textId="77777777" w:rsidR="000C465B" w:rsidRPr="000C465B" w:rsidRDefault="000C465B" w:rsidP="000C465B">
            <w:pPr>
              <w:spacing w:after="0"/>
              <w:jc w:val="left"/>
              <w:rPr>
                <w:sz w:val="20"/>
                <w:szCs w:val="20"/>
              </w:rPr>
            </w:pPr>
          </w:p>
          <w:p w14:paraId="04666A2F" w14:textId="77777777" w:rsidR="000C465B" w:rsidRPr="000C465B" w:rsidRDefault="000C465B" w:rsidP="000C465B">
            <w:pPr>
              <w:spacing w:after="0"/>
              <w:jc w:val="left"/>
              <w:rPr>
                <w:sz w:val="20"/>
                <w:szCs w:val="20"/>
              </w:rPr>
            </w:pPr>
            <w:r w:rsidRPr="000C465B">
              <w:rPr>
                <w:sz w:val="20"/>
                <w:szCs w:val="20"/>
              </w:rPr>
              <w:t xml:space="preserve">For example, voluntary expressions may—   </w:t>
            </w:r>
          </w:p>
          <w:p w14:paraId="6804523B" w14:textId="77777777" w:rsidR="000C465B" w:rsidRPr="000C465B" w:rsidRDefault="000C465B" w:rsidP="000C465B">
            <w:pPr>
              <w:spacing w:after="0"/>
              <w:jc w:val="left"/>
              <w:rPr>
                <w:sz w:val="20"/>
                <w:szCs w:val="20"/>
              </w:rPr>
            </w:pPr>
          </w:p>
          <w:p w14:paraId="08D39461" w14:textId="77777777" w:rsidR="000C465B" w:rsidRPr="000C465B" w:rsidRDefault="000C465B" w:rsidP="007169B6">
            <w:pPr>
              <w:numPr>
                <w:ilvl w:val="0"/>
                <w:numId w:val="85"/>
              </w:numPr>
              <w:spacing w:after="0"/>
              <w:contextualSpacing/>
              <w:jc w:val="left"/>
              <w:rPr>
                <w:rFonts w:eastAsia="Times New Roman"/>
                <w:sz w:val="20"/>
                <w:szCs w:val="20"/>
              </w:rPr>
            </w:pPr>
            <w:r w:rsidRPr="000C465B">
              <w:rPr>
                <w:rFonts w:eastAsia="Times New Roman"/>
                <w:sz w:val="20"/>
                <w:szCs w:val="20"/>
              </w:rPr>
              <w:t xml:space="preserve">Help consumers quickly identify a product on the shelf when there are many similar products in various sizes. </w:t>
            </w:r>
          </w:p>
          <w:p w14:paraId="37EFF2C7" w14:textId="77777777" w:rsidR="000C465B" w:rsidRPr="000C465B" w:rsidRDefault="000C465B" w:rsidP="007169B6">
            <w:pPr>
              <w:numPr>
                <w:ilvl w:val="0"/>
                <w:numId w:val="85"/>
              </w:numPr>
              <w:spacing w:after="0"/>
              <w:contextualSpacing/>
              <w:jc w:val="left"/>
              <w:rPr>
                <w:rFonts w:eastAsia="Times New Roman"/>
                <w:sz w:val="20"/>
                <w:szCs w:val="20"/>
              </w:rPr>
            </w:pPr>
            <w:r w:rsidRPr="000C465B">
              <w:rPr>
                <w:rFonts w:eastAsia="Times New Roman"/>
                <w:sz w:val="20"/>
                <w:szCs w:val="20"/>
              </w:rPr>
              <w:t>Help consumers evaluate products used in different forms (liquid or solid) and different levels of concentration – for example, products that require water to be added as compared to those already containing water.</w:t>
            </w:r>
          </w:p>
          <w:p w14:paraId="0B419636" w14:textId="77777777" w:rsidR="000C465B" w:rsidRPr="000C465B" w:rsidRDefault="000C465B" w:rsidP="007169B6">
            <w:pPr>
              <w:numPr>
                <w:ilvl w:val="0"/>
                <w:numId w:val="85"/>
              </w:numPr>
              <w:spacing w:after="0"/>
              <w:contextualSpacing/>
              <w:jc w:val="left"/>
              <w:rPr>
                <w:rFonts w:eastAsia="Times New Roman"/>
                <w:sz w:val="20"/>
                <w:szCs w:val="20"/>
              </w:rPr>
            </w:pPr>
            <w:r w:rsidRPr="000C465B">
              <w:rPr>
                <w:rFonts w:eastAsia="Times New Roman"/>
                <w:sz w:val="20"/>
                <w:szCs w:val="20"/>
              </w:rPr>
              <w:t xml:space="preserve">Provide a common frame of reference for consumers to make quantity comparisons across multiple possible product forms.  </w:t>
            </w:r>
          </w:p>
          <w:p w14:paraId="6E2C47E4" w14:textId="77777777" w:rsidR="000C465B" w:rsidRPr="000C465B" w:rsidRDefault="000C465B" w:rsidP="007169B6">
            <w:pPr>
              <w:numPr>
                <w:ilvl w:val="0"/>
                <w:numId w:val="85"/>
              </w:numPr>
              <w:spacing w:after="0"/>
              <w:contextualSpacing/>
              <w:jc w:val="left"/>
              <w:rPr>
                <w:rFonts w:eastAsia="Times New Roman"/>
                <w:sz w:val="20"/>
                <w:szCs w:val="20"/>
              </w:rPr>
            </w:pPr>
            <w:r w:rsidRPr="000C465B">
              <w:rPr>
                <w:rFonts w:eastAsia="Times New Roman"/>
                <w:sz w:val="20"/>
                <w:szCs w:val="20"/>
              </w:rPr>
              <w:t xml:space="preserve">Help consumers understand that a new product has a </w:t>
            </w:r>
            <w:proofErr w:type="gramStart"/>
            <w:r w:rsidRPr="000C465B">
              <w:rPr>
                <w:rFonts w:eastAsia="Times New Roman"/>
                <w:sz w:val="20"/>
                <w:szCs w:val="20"/>
              </w:rPr>
              <w:t>different product</w:t>
            </w:r>
            <w:proofErr w:type="gramEnd"/>
            <w:r w:rsidRPr="000C465B">
              <w:rPr>
                <w:rFonts w:eastAsia="Times New Roman"/>
                <w:sz w:val="20"/>
                <w:szCs w:val="20"/>
              </w:rPr>
              <w:t xml:space="preserve"> concentration or density and how this new product compares to other products.  </w:t>
            </w:r>
          </w:p>
          <w:p w14:paraId="33CEF176" w14:textId="77777777" w:rsidR="000C465B" w:rsidRPr="000C465B" w:rsidRDefault="000C465B" w:rsidP="007169B6">
            <w:pPr>
              <w:numPr>
                <w:ilvl w:val="0"/>
                <w:numId w:val="85"/>
              </w:numPr>
              <w:spacing w:after="0"/>
              <w:contextualSpacing/>
              <w:jc w:val="left"/>
              <w:rPr>
                <w:rFonts w:eastAsia="Times New Roman"/>
                <w:sz w:val="20"/>
                <w:szCs w:val="20"/>
              </w:rPr>
            </w:pPr>
            <w:r w:rsidRPr="000C465B">
              <w:rPr>
                <w:rFonts w:eastAsia="Times New Roman"/>
                <w:sz w:val="20"/>
                <w:szCs w:val="20"/>
              </w:rPr>
              <w:t xml:space="preserve">Educate or reassure consumers about a product in comparison to a previous version of the product or a competitive product.  </w:t>
            </w:r>
          </w:p>
          <w:p w14:paraId="25120A9E" w14:textId="77777777" w:rsidR="000C465B" w:rsidRPr="000C465B" w:rsidRDefault="000C465B" w:rsidP="000C465B">
            <w:pPr>
              <w:spacing w:after="0"/>
              <w:jc w:val="left"/>
              <w:rPr>
                <w:sz w:val="20"/>
                <w:szCs w:val="20"/>
              </w:rPr>
            </w:pPr>
          </w:p>
          <w:p w14:paraId="402E2591" w14:textId="77777777" w:rsidR="000C465B" w:rsidRPr="000C465B" w:rsidRDefault="000C465B" w:rsidP="000C465B">
            <w:pPr>
              <w:spacing w:after="0"/>
              <w:jc w:val="left"/>
              <w:rPr>
                <w:sz w:val="20"/>
                <w:szCs w:val="20"/>
              </w:rPr>
            </w:pPr>
            <w:r w:rsidRPr="000C465B">
              <w:rPr>
                <w:sz w:val="20"/>
                <w:szCs w:val="20"/>
              </w:rPr>
              <w:t>Not every product requires a voluntary expression.</w:t>
            </w:r>
          </w:p>
        </w:tc>
      </w:tr>
      <w:tr w:rsidR="000C465B" w:rsidRPr="000C465B" w14:paraId="070C3D40" w14:textId="77777777" w:rsidTr="005F0F3E">
        <w:tc>
          <w:tcPr>
            <w:tcW w:w="2221" w:type="dxa"/>
          </w:tcPr>
          <w:p w14:paraId="288DB221" w14:textId="77777777" w:rsidR="000C465B" w:rsidRPr="000C465B" w:rsidRDefault="000C465B" w:rsidP="000C465B">
            <w:pPr>
              <w:spacing w:after="0"/>
              <w:jc w:val="center"/>
              <w:rPr>
                <w:sz w:val="20"/>
                <w:szCs w:val="20"/>
              </w:rPr>
            </w:pPr>
          </w:p>
          <w:p w14:paraId="5EF757DB" w14:textId="77777777" w:rsidR="000C465B" w:rsidRPr="000C465B" w:rsidRDefault="000C465B" w:rsidP="000C465B">
            <w:pPr>
              <w:spacing w:after="0"/>
              <w:jc w:val="left"/>
              <w:rPr>
                <w:sz w:val="20"/>
                <w:szCs w:val="20"/>
              </w:rPr>
            </w:pPr>
            <w:r w:rsidRPr="000C465B">
              <w:rPr>
                <w:sz w:val="20"/>
                <w:szCs w:val="20"/>
              </w:rPr>
              <w:t xml:space="preserve">2. Expression must   be accurate and verifiable. </w:t>
            </w:r>
          </w:p>
          <w:p w14:paraId="51F24B6B" w14:textId="77777777" w:rsidR="000C465B" w:rsidRPr="000C465B" w:rsidRDefault="000C465B" w:rsidP="000C465B">
            <w:pPr>
              <w:spacing w:after="0"/>
              <w:jc w:val="left"/>
              <w:rPr>
                <w:sz w:val="20"/>
                <w:szCs w:val="20"/>
              </w:rPr>
            </w:pPr>
          </w:p>
          <w:p w14:paraId="57442010" w14:textId="77777777" w:rsidR="000C465B" w:rsidRPr="000C465B" w:rsidRDefault="000C465B" w:rsidP="000C465B">
            <w:pPr>
              <w:spacing w:after="0"/>
              <w:jc w:val="left"/>
              <w:rPr>
                <w:i/>
                <w:iCs/>
                <w:sz w:val="20"/>
                <w:szCs w:val="20"/>
              </w:rPr>
            </w:pPr>
            <w:r w:rsidRPr="000C465B">
              <w:rPr>
                <w:i/>
                <w:iCs/>
                <w:sz w:val="20"/>
                <w:szCs w:val="20"/>
              </w:rPr>
              <w:t>Is the statement true?</w:t>
            </w:r>
          </w:p>
          <w:p w14:paraId="6B8ED7A2" w14:textId="77777777" w:rsidR="000C465B" w:rsidRPr="000C465B" w:rsidRDefault="000C465B" w:rsidP="000C465B">
            <w:pPr>
              <w:spacing w:after="0"/>
              <w:jc w:val="left"/>
              <w:rPr>
                <w:i/>
                <w:iCs/>
                <w:sz w:val="20"/>
                <w:szCs w:val="20"/>
              </w:rPr>
            </w:pPr>
          </w:p>
          <w:p w14:paraId="61F3492D" w14:textId="77777777" w:rsidR="000C465B" w:rsidRPr="000C465B" w:rsidRDefault="000C465B" w:rsidP="000C465B">
            <w:pPr>
              <w:spacing w:after="0"/>
              <w:jc w:val="left"/>
              <w:rPr>
                <w:i/>
                <w:iCs/>
                <w:sz w:val="20"/>
                <w:szCs w:val="20"/>
              </w:rPr>
            </w:pPr>
            <w:r w:rsidRPr="000C465B">
              <w:rPr>
                <w:i/>
                <w:iCs/>
                <w:sz w:val="20"/>
                <w:szCs w:val="20"/>
              </w:rPr>
              <w:t xml:space="preserve">Can statement accuracy be verified? </w:t>
            </w:r>
          </w:p>
          <w:p w14:paraId="4D4B2FC5" w14:textId="77777777" w:rsidR="000C465B" w:rsidRPr="000C465B" w:rsidRDefault="000C465B" w:rsidP="000C465B">
            <w:pPr>
              <w:spacing w:after="0"/>
              <w:jc w:val="left"/>
              <w:rPr>
                <w:sz w:val="20"/>
                <w:szCs w:val="20"/>
              </w:rPr>
            </w:pPr>
          </w:p>
          <w:p w14:paraId="58746C09" w14:textId="77777777" w:rsidR="000C465B" w:rsidRPr="000C465B" w:rsidRDefault="000C465B" w:rsidP="000C465B">
            <w:pPr>
              <w:spacing w:after="0"/>
              <w:jc w:val="left"/>
              <w:rPr>
                <w:sz w:val="20"/>
                <w:szCs w:val="20"/>
              </w:rPr>
            </w:pPr>
            <w:r w:rsidRPr="000C465B">
              <w:rPr>
                <w:sz w:val="20"/>
                <w:szCs w:val="20"/>
              </w:rPr>
              <w:t>(Applies to all categories)</w:t>
            </w:r>
          </w:p>
          <w:p w14:paraId="05617C73" w14:textId="77777777" w:rsidR="000C465B" w:rsidRPr="000C465B" w:rsidRDefault="000C465B" w:rsidP="000C465B">
            <w:pPr>
              <w:spacing w:after="0"/>
              <w:jc w:val="center"/>
              <w:rPr>
                <w:sz w:val="20"/>
                <w:szCs w:val="20"/>
              </w:rPr>
            </w:pPr>
          </w:p>
          <w:p w14:paraId="07EFFFD4" w14:textId="77777777" w:rsidR="000C465B" w:rsidRPr="000C465B" w:rsidRDefault="000C465B" w:rsidP="000C465B">
            <w:pPr>
              <w:spacing w:after="0"/>
              <w:jc w:val="center"/>
              <w:rPr>
                <w:sz w:val="20"/>
                <w:szCs w:val="20"/>
              </w:rPr>
            </w:pPr>
          </w:p>
        </w:tc>
        <w:tc>
          <w:tcPr>
            <w:tcW w:w="7129" w:type="dxa"/>
          </w:tcPr>
          <w:p w14:paraId="1D361666" w14:textId="77777777" w:rsidR="000C465B" w:rsidRPr="000C465B" w:rsidRDefault="000C465B" w:rsidP="000C465B">
            <w:pPr>
              <w:spacing w:after="0"/>
              <w:rPr>
                <w:sz w:val="20"/>
                <w:szCs w:val="20"/>
              </w:rPr>
            </w:pPr>
          </w:p>
          <w:p w14:paraId="3F060B3D" w14:textId="77777777" w:rsidR="000C465B" w:rsidRPr="000C465B" w:rsidRDefault="000C465B" w:rsidP="000C465B">
            <w:pPr>
              <w:spacing w:after="0"/>
              <w:rPr>
                <w:sz w:val="20"/>
                <w:szCs w:val="20"/>
              </w:rPr>
            </w:pPr>
            <w:r w:rsidRPr="000C465B">
              <w:rPr>
                <w:sz w:val="20"/>
                <w:szCs w:val="20"/>
              </w:rPr>
              <w:t>Voluntary expressions that contain quantity-related information must be accurate and verifiable using appropriate objective evaluative procedures and are subject to external evaluation and confirmation.</w:t>
            </w:r>
          </w:p>
          <w:p w14:paraId="65EA083D" w14:textId="77777777" w:rsidR="000C465B" w:rsidRPr="000C465B" w:rsidRDefault="000C465B" w:rsidP="000C465B">
            <w:pPr>
              <w:spacing w:after="0"/>
              <w:rPr>
                <w:sz w:val="20"/>
                <w:szCs w:val="20"/>
              </w:rPr>
            </w:pPr>
          </w:p>
          <w:p w14:paraId="5E4AE745" w14:textId="77777777" w:rsidR="000C465B" w:rsidRPr="000C465B" w:rsidRDefault="000C465B" w:rsidP="000C465B">
            <w:pPr>
              <w:spacing w:after="0"/>
              <w:rPr>
                <w:sz w:val="20"/>
                <w:szCs w:val="20"/>
              </w:rPr>
            </w:pPr>
            <w:r w:rsidRPr="000C465B">
              <w:rPr>
                <w:b/>
                <w:sz w:val="20"/>
                <w:szCs w:val="20"/>
              </w:rPr>
              <w:t>For expressions using defined units of measure or count</w:t>
            </w:r>
            <w:r w:rsidRPr="000C465B">
              <w:rPr>
                <w:sz w:val="20"/>
                <w:szCs w:val="20"/>
              </w:rPr>
              <w:t xml:space="preserve">, accuracy should be based on test methodologies recognized by appropriate authorities such as a federal, state or international agency or standards organization.  This includes content expressions embedded in a Declaration of Identity. </w:t>
            </w:r>
          </w:p>
          <w:p w14:paraId="7A973D78" w14:textId="77777777" w:rsidR="000C465B" w:rsidRPr="000C465B" w:rsidRDefault="000C465B" w:rsidP="000C465B">
            <w:pPr>
              <w:spacing w:after="0"/>
              <w:rPr>
                <w:sz w:val="20"/>
                <w:szCs w:val="20"/>
              </w:rPr>
            </w:pPr>
          </w:p>
          <w:p w14:paraId="171E2B05" w14:textId="77777777" w:rsidR="000C465B" w:rsidRPr="000C465B" w:rsidRDefault="000C465B" w:rsidP="000C465B">
            <w:pPr>
              <w:spacing w:after="0"/>
              <w:rPr>
                <w:sz w:val="20"/>
                <w:szCs w:val="20"/>
              </w:rPr>
            </w:pPr>
            <w:r w:rsidRPr="000C465B">
              <w:rPr>
                <w:b/>
                <w:sz w:val="20"/>
                <w:szCs w:val="20"/>
              </w:rPr>
              <w:t>For expressions relating to product reconstitution</w:t>
            </w:r>
            <w:r w:rsidRPr="000C465B">
              <w:rPr>
                <w:sz w:val="20"/>
                <w:szCs w:val="20"/>
              </w:rPr>
              <w:t xml:space="preserve">, accuracy should be based upon the directions for product preparation appearing on the product label and test methodologies recognized by appropriate authorities such as a federal, state, or international agency or standards organization.  </w:t>
            </w:r>
          </w:p>
          <w:p w14:paraId="7B650D32" w14:textId="77777777" w:rsidR="000C465B" w:rsidRPr="000C465B" w:rsidRDefault="000C465B" w:rsidP="000C465B">
            <w:pPr>
              <w:spacing w:after="0"/>
              <w:rPr>
                <w:sz w:val="20"/>
                <w:szCs w:val="20"/>
              </w:rPr>
            </w:pPr>
          </w:p>
          <w:p w14:paraId="6EB821B6" w14:textId="77777777" w:rsidR="000C465B" w:rsidRPr="000C465B" w:rsidRDefault="000C465B" w:rsidP="000C465B">
            <w:pPr>
              <w:spacing w:after="0"/>
              <w:rPr>
                <w:sz w:val="20"/>
                <w:szCs w:val="20"/>
              </w:rPr>
            </w:pPr>
            <w:r w:rsidRPr="000C465B">
              <w:rPr>
                <w:b/>
                <w:sz w:val="20"/>
                <w:szCs w:val="20"/>
              </w:rPr>
              <w:t>For Derived Unit Expressions (DUEs) and Comparative Performance Representations (CPR’s),</w:t>
            </w:r>
            <w:r w:rsidRPr="000C465B">
              <w:rPr>
                <w:sz w:val="20"/>
                <w:szCs w:val="20"/>
              </w:rPr>
              <w:t xml:space="preserve"> accuracy should be based upon the unit definitions (which </w:t>
            </w:r>
            <w:r w:rsidRPr="000C465B">
              <w:rPr>
                <w:sz w:val="20"/>
                <w:szCs w:val="20"/>
              </w:rPr>
              <w:lastRenderedPageBreak/>
              <w:t xml:space="preserve">must be present on the product label) and verified using objective testing procedures.    For example, since a Derived Unit </w:t>
            </w:r>
            <w:proofErr w:type="spellStart"/>
            <w:r w:rsidRPr="000C465B">
              <w:rPr>
                <w:sz w:val="20"/>
                <w:szCs w:val="20"/>
              </w:rPr>
              <w:t>Expresssion</w:t>
            </w:r>
            <w:proofErr w:type="spellEnd"/>
            <w:r w:rsidRPr="000C465B">
              <w:rPr>
                <w:sz w:val="20"/>
                <w:szCs w:val="20"/>
              </w:rPr>
              <w:t xml:space="preserve"> (DUE) does not use a unit of legal metrology, a manufacturer must define that unit on the package label, ensure an appropriate test method or validation process for quantifying the unit has been established, and ensure the expression appearing on the Principal Display Panel (PDP) is accurate and verifiable.  Where possible, the accuracy of the declaration should be based on test methodologies recognized by appropriate authorities such as a federal, state or international agency of authority.  </w:t>
            </w:r>
          </w:p>
          <w:p w14:paraId="28F22859" w14:textId="77777777" w:rsidR="000C465B" w:rsidRPr="000C465B" w:rsidRDefault="000C465B" w:rsidP="000C465B">
            <w:pPr>
              <w:spacing w:after="0"/>
              <w:rPr>
                <w:sz w:val="20"/>
                <w:szCs w:val="20"/>
              </w:rPr>
            </w:pPr>
          </w:p>
          <w:p w14:paraId="6D02A117" w14:textId="77777777" w:rsidR="000C465B" w:rsidRPr="000C465B" w:rsidRDefault="000C465B" w:rsidP="000C465B">
            <w:pPr>
              <w:spacing w:after="0"/>
              <w:rPr>
                <w:sz w:val="20"/>
                <w:szCs w:val="20"/>
              </w:rPr>
            </w:pPr>
            <w:r w:rsidRPr="000C465B">
              <w:rPr>
                <w:sz w:val="20"/>
                <w:szCs w:val="20"/>
              </w:rPr>
              <w:t xml:space="preserve">Statement accuracy must be supportable by manufacturer data and is subject to external evaluation and confirmation. </w:t>
            </w:r>
          </w:p>
          <w:p w14:paraId="18EAE97E" w14:textId="77777777" w:rsidR="000C465B" w:rsidRPr="000C465B" w:rsidRDefault="000C465B" w:rsidP="000C465B">
            <w:pPr>
              <w:spacing w:after="0"/>
              <w:rPr>
                <w:sz w:val="20"/>
                <w:szCs w:val="20"/>
              </w:rPr>
            </w:pPr>
          </w:p>
        </w:tc>
      </w:tr>
      <w:tr w:rsidR="000C465B" w:rsidRPr="000C465B" w14:paraId="19D1EFFE" w14:textId="77777777" w:rsidTr="005F0F3E">
        <w:tc>
          <w:tcPr>
            <w:tcW w:w="2221" w:type="dxa"/>
          </w:tcPr>
          <w:p w14:paraId="7B9675BF" w14:textId="77777777" w:rsidR="000C465B" w:rsidRPr="000C465B" w:rsidRDefault="000C465B" w:rsidP="000C465B">
            <w:pPr>
              <w:spacing w:after="0"/>
              <w:jc w:val="center"/>
              <w:rPr>
                <w:sz w:val="20"/>
                <w:szCs w:val="20"/>
              </w:rPr>
            </w:pPr>
          </w:p>
          <w:p w14:paraId="563014C0" w14:textId="77777777" w:rsidR="000C465B" w:rsidRPr="000C465B" w:rsidRDefault="000C465B" w:rsidP="000C465B">
            <w:pPr>
              <w:spacing w:after="0"/>
              <w:jc w:val="left"/>
              <w:rPr>
                <w:sz w:val="20"/>
                <w:szCs w:val="20"/>
              </w:rPr>
            </w:pPr>
            <w:r w:rsidRPr="000C465B">
              <w:rPr>
                <w:sz w:val="20"/>
                <w:szCs w:val="20"/>
              </w:rPr>
              <w:t>3. Expression must be Clear and Unambiguous</w:t>
            </w:r>
          </w:p>
          <w:p w14:paraId="0D98E70A" w14:textId="77777777" w:rsidR="000C465B" w:rsidRPr="000C465B" w:rsidRDefault="000C465B" w:rsidP="000C465B">
            <w:pPr>
              <w:spacing w:after="0"/>
              <w:jc w:val="left"/>
              <w:rPr>
                <w:sz w:val="20"/>
                <w:szCs w:val="20"/>
              </w:rPr>
            </w:pPr>
          </w:p>
          <w:p w14:paraId="3DE42394" w14:textId="77777777" w:rsidR="000C465B" w:rsidRPr="000C465B" w:rsidRDefault="000C465B" w:rsidP="000C465B">
            <w:pPr>
              <w:spacing w:after="0"/>
              <w:jc w:val="left"/>
              <w:rPr>
                <w:i/>
                <w:iCs/>
                <w:sz w:val="20"/>
                <w:szCs w:val="20"/>
              </w:rPr>
            </w:pPr>
            <w:r w:rsidRPr="000C465B">
              <w:rPr>
                <w:i/>
                <w:iCs/>
                <w:sz w:val="20"/>
                <w:szCs w:val="20"/>
              </w:rPr>
              <w:t>Is the intended meaning easy to understand?</w:t>
            </w:r>
          </w:p>
          <w:p w14:paraId="7435C066" w14:textId="77777777" w:rsidR="000C465B" w:rsidRPr="000C465B" w:rsidRDefault="000C465B" w:rsidP="000C465B">
            <w:pPr>
              <w:spacing w:after="0"/>
              <w:jc w:val="left"/>
              <w:rPr>
                <w:sz w:val="20"/>
                <w:szCs w:val="20"/>
              </w:rPr>
            </w:pPr>
          </w:p>
          <w:p w14:paraId="4D230EE0" w14:textId="77777777" w:rsidR="000C465B" w:rsidRPr="000C465B" w:rsidRDefault="000C465B" w:rsidP="000C465B">
            <w:pPr>
              <w:spacing w:after="0"/>
              <w:jc w:val="left"/>
              <w:rPr>
                <w:sz w:val="20"/>
                <w:szCs w:val="20"/>
              </w:rPr>
            </w:pPr>
            <w:r w:rsidRPr="000C465B">
              <w:rPr>
                <w:sz w:val="20"/>
                <w:szCs w:val="20"/>
              </w:rPr>
              <w:t>(Applies to all categories)</w:t>
            </w:r>
          </w:p>
          <w:p w14:paraId="54FE9119" w14:textId="77777777" w:rsidR="000C465B" w:rsidRPr="000C465B" w:rsidRDefault="000C465B" w:rsidP="000C465B">
            <w:pPr>
              <w:spacing w:after="0"/>
              <w:jc w:val="center"/>
              <w:rPr>
                <w:sz w:val="20"/>
                <w:szCs w:val="20"/>
              </w:rPr>
            </w:pPr>
          </w:p>
          <w:p w14:paraId="4511513C" w14:textId="77777777" w:rsidR="000C465B" w:rsidRPr="000C465B" w:rsidRDefault="000C465B" w:rsidP="000C465B">
            <w:pPr>
              <w:spacing w:after="0"/>
              <w:jc w:val="center"/>
              <w:rPr>
                <w:sz w:val="20"/>
                <w:szCs w:val="20"/>
              </w:rPr>
            </w:pPr>
          </w:p>
          <w:p w14:paraId="44664CE1" w14:textId="77777777" w:rsidR="000C465B" w:rsidRPr="000C465B" w:rsidRDefault="000C465B" w:rsidP="000C465B">
            <w:pPr>
              <w:spacing w:after="0"/>
              <w:jc w:val="center"/>
              <w:rPr>
                <w:sz w:val="20"/>
                <w:szCs w:val="20"/>
              </w:rPr>
            </w:pPr>
          </w:p>
          <w:p w14:paraId="23A024AA" w14:textId="77777777" w:rsidR="000C465B" w:rsidRPr="000C465B" w:rsidRDefault="000C465B" w:rsidP="000C465B">
            <w:pPr>
              <w:spacing w:after="0"/>
              <w:jc w:val="left"/>
              <w:rPr>
                <w:sz w:val="20"/>
                <w:szCs w:val="20"/>
              </w:rPr>
            </w:pPr>
          </w:p>
        </w:tc>
        <w:tc>
          <w:tcPr>
            <w:tcW w:w="7129" w:type="dxa"/>
          </w:tcPr>
          <w:p w14:paraId="51AB47D4" w14:textId="77777777" w:rsidR="000C465B" w:rsidRPr="000C465B" w:rsidRDefault="000C465B" w:rsidP="000C465B">
            <w:pPr>
              <w:spacing w:after="0"/>
              <w:jc w:val="left"/>
              <w:rPr>
                <w:sz w:val="20"/>
                <w:szCs w:val="20"/>
              </w:rPr>
            </w:pPr>
          </w:p>
          <w:p w14:paraId="32EF6117" w14:textId="77777777" w:rsidR="000C465B" w:rsidRPr="000C465B" w:rsidRDefault="000C465B" w:rsidP="000C465B">
            <w:pPr>
              <w:spacing w:after="0"/>
              <w:rPr>
                <w:bCs/>
                <w:sz w:val="20"/>
                <w:szCs w:val="20"/>
              </w:rPr>
            </w:pPr>
            <w:r w:rsidRPr="000C465B">
              <w:rPr>
                <w:sz w:val="20"/>
                <w:szCs w:val="20"/>
              </w:rPr>
              <w:t xml:space="preserve">Voluntary expressions which contain quantity-related statements must be </w:t>
            </w:r>
            <w:r w:rsidRPr="000C465B">
              <w:rPr>
                <w:bCs/>
                <w:sz w:val="20"/>
                <w:szCs w:val="20"/>
              </w:rPr>
              <w:t>clear and unambiguous.</w:t>
            </w:r>
          </w:p>
          <w:p w14:paraId="246C775D" w14:textId="77777777" w:rsidR="000C465B" w:rsidRPr="000C465B" w:rsidRDefault="000C465B" w:rsidP="000C465B">
            <w:pPr>
              <w:spacing w:after="0"/>
              <w:rPr>
                <w:b/>
                <w:bCs/>
                <w:sz w:val="20"/>
                <w:szCs w:val="20"/>
              </w:rPr>
            </w:pPr>
          </w:p>
          <w:p w14:paraId="702BF39D" w14:textId="77777777" w:rsidR="000C465B" w:rsidRPr="000C465B" w:rsidRDefault="000C465B" w:rsidP="000C465B">
            <w:pPr>
              <w:spacing w:after="0"/>
              <w:rPr>
                <w:sz w:val="20"/>
                <w:szCs w:val="20"/>
              </w:rPr>
            </w:pPr>
            <w:r w:rsidRPr="000C465B">
              <w:rPr>
                <w:sz w:val="20"/>
                <w:szCs w:val="20"/>
              </w:rPr>
              <w:t xml:space="preserve">Short expressions appearing in terms of recognized units with little to no modification such “2 Cups”, “5 Yards of Twine”, “1.5 Kilograms” or “3 Liters of Water” are typically straightforward and are generally presumed to be clear and unambiguous.    </w:t>
            </w:r>
          </w:p>
          <w:p w14:paraId="612DBD27" w14:textId="77777777" w:rsidR="000C465B" w:rsidRPr="000C465B" w:rsidRDefault="000C465B" w:rsidP="000C465B">
            <w:pPr>
              <w:spacing w:after="0"/>
              <w:rPr>
                <w:sz w:val="20"/>
                <w:szCs w:val="20"/>
              </w:rPr>
            </w:pPr>
          </w:p>
          <w:p w14:paraId="32BE6965" w14:textId="77777777" w:rsidR="000C465B" w:rsidRPr="000C465B" w:rsidRDefault="000C465B" w:rsidP="000C465B">
            <w:pPr>
              <w:spacing w:after="0"/>
              <w:rPr>
                <w:sz w:val="20"/>
                <w:szCs w:val="20"/>
              </w:rPr>
            </w:pPr>
            <w:r w:rsidRPr="000C465B">
              <w:rPr>
                <w:sz w:val="20"/>
                <w:szCs w:val="20"/>
              </w:rPr>
              <w:t xml:space="preserve">The use of additional language accompanying quantity-related terms requires careful consideration and evaluation to ensure their clarity, accuracy, and relevance. Statements that do not provide information to the consumer about the contents of a specific package should not appear on the Principal Display Panel (PDP).  </w:t>
            </w:r>
            <w:r w:rsidRPr="000C465B">
              <w:rPr>
                <w:color w:val="FF0000"/>
                <w:sz w:val="20"/>
                <w:szCs w:val="20"/>
              </w:rPr>
              <w:t xml:space="preserve">  </w:t>
            </w:r>
          </w:p>
          <w:p w14:paraId="4DDE1491" w14:textId="77777777" w:rsidR="000C465B" w:rsidRPr="000C465B" w:rsidRDefault="000C465B" w:rsidP="000C465B">
            <w:pPr>
              <w:spacing w:after="0"/>
              <w:jc w:val="left"/>
              <w:rPr>
                <w:sz w:val="20"/>
                <w:szCs w:val="20"/>
              </w:rPr>
            </w:pPr>
          </w:p>
          <w:p w14:paraId="5BC7E673" w14:textId="77777777" w:rsidR="000C465B" w:rsidRPr="000C465B" w:rsidRDefault="000C465B" w:rsidP="007169B6">
            <w:pPr>
              <w:numPr>
                <w:ilvl w:val="0"/>
                <w:numId w:val="86"/>
              </w:numPr>
              <w:spacing w:after="0"/>
              <w:contextualSpacing/>
              <w:jc w:val="left"/>
              <w:rPr>
                <w:rFonts w:eastAsia="Times New Roman"/>
                <w:sz w:val="20"/>
                <w:szCs w:val="20"/>
              </w:rPr>
            </w:pPr>
            <w:r w:rsidRPr="000C465B">
              <w:rPr>
                <w:rFonts w:eastAsia="Times New Roman"/>
                <w:sz w:val="20"/>
                <w:szCs w:val="20"/>
              </w:rPr>
              <w:t xml:space="preserve">Expressions that contain quantity information and appear on the PDP separate from the </w:t>
            </w:r>
            <w:proofErr w:type="spellStart"/>
            <w:r w:rsidRPr="000C465B">
              <w:rPr>
                <w:rFonts w:eastAsia="Times New Roman"/>
                <w:sz w:val="20"/>
                <w:szCs w:val="20"/>
              </w:rPr>
              <w:t>DoNQ</w:t>
            </w:r>
            <w:proofErr w:type="spellEnd"/>
            <w:r w:rsidRPr="000C465B">
              <w:rPr>
                <w:rFonts w:eastAsia="Times New Roman"/>
                <w:sz w:val="20"/>
                <w:szCs w:val="20"/>
              </w:rPr>
              <w:t xml:space="preserve"> must be accurate, non-misleading, useful, relevant, and verifiable </w:t>
            </w:r>
            <w:proofErr w:type="gramStart"/>
            <w:r w:rsidRPr="000C465B">
              <w:rPr>
                <w:rFonts w:eastAsia="Times New Roman"/>
                <w:sz w:val="20"/>
                <w:szCs w:val="20"/>
              </w:rPr>
              <w:t>on the basis of</w:t>
            </w:r>
            <w:proofErr w:type="gramEnd"/>
            <w:r w:rsidRPr="000C465B">
              <w:rPr>
                <w:rFonts w:eastAsia="Times New Roman"/>
                <w:sz w:val="20"/>
                <w:szCs w:val="20"/>
              </w:rPr>
              <w:t xml:space="preserve"> the content of the individual package.  Statements such as “Approximately 50 Cookies”, “About 2 Cups”, “300 Pencils on Average” or “Up to 50 Cookies” provide little assurance of the quantity contained in any given individual package.  In these examples, a consumer purchasing one package may receive less than the amount stated in the expression, more than the amount stated in the expression or exactly the stated amount.  While a statement of “approximately 25 candy bars” may be a technically correct statement based on manufacturing variability, this statement provides a consumer who purchases a single package with little assurance that the specific package they select contains 25 – it may be more, it may be less.  As a result, statements using “about,” “approximately,” “up to” and similar terms are not recommended to appear on the PDP because they are generally considered unclear and ambiguous.  </w:t>
            </w:r>
          </w:p>
          <w:p w14:paraId="1EE0B993" w14:textId="77777777" w:rsidR="000C465B" w:rsidRPr="000C465B" w:rsidRDefault="000C465B" w:rsidP="007169B6">
            <w:pPr>
              <w:numPr>
                <w:ilvl w:val="0"/>
                <w:numId w:val="86"/>
              </w:numPr>
              <w:spacing w:after="0"/>
              <w:contextualSpacing/>
              <w:jc w:val="left"/>
              <w:rPr>
                <w:rFonts w:eastAsia="Times New Roman"/>
                <w:sz w:val="20"/>
                <w:szCs w:val="20"/>
              </w:rPr>
            </w:pPr>
            <w:r w:rsidRPr="000C465B">
              <w:rPr>
                <w:rFonts w:eastAsia="Times New Roman"/>
                <w:sz w:val="20"/>
                <w:szCs w:val="20"/>
              </w:rPr>
              <w:t>An expression such as “Contains Less than 49 Cookies” may be an accurate and verifiable statement but does not provide the consumer with relevant and useful information.</w:t>
            </w:r>
          </w:p>
          <w:p w14:paraId="2E3BF02E" w14:textId="77777777" w:rsidR="000C465B" w:rsidRPr="000C465B" w:rsidRDefault="000C465B" w:rsidP="007169B6">
            <w:pPr>
              <w:numPr>
                <w:ilvl w:val="0"/>
                <w:numId w:val="86"/>
              </w:numPr>
              <w:spacing w:after="0"/>
              <w:contextualSpacing/>
              <w:jc w:val="left"/>
              <w:rPr>
                <w:rFonts w:eastAsia="Times New Roman"/>
                <w:sz w:val="20"/>
                <w:szCs w:val="20"/>
              </w:rPr>
            </w:pPr>
            <w:r w:rsidRPr="000C465B">
              <w:rPr>
                <w:rFonts w:eastAsia="Times New Roman"/>
                <w:sz w:val="20"/>
                <w:szCs w:val="20"/>
              </w:rPr>
              <w:t>An expression such as “Good for 30 Applications” provides clear and verifiable information which can be verifiable whereas expressions such as “Provides Up to 30 Applications” or “30 Applications on Average” may overestimate or underestimate what a consumer should expect.</w:t>
            </w:r>
          </w:p>
          <w:p w14:paraId="4C79DBE4" w14:textId="77777777" w:rsidR="000C465B" w:rsidRPr="000C465B" w:rsidRDefault="000C465B" w:rsidP="000C465B">
            <w:pPr>
              <w:spacing w:after="0"/>
              <w:jc w:val="left"/>
              <w:rPr>
                <w:sz w:val="20"/>
                <w:szCs w:val="20"/>
              </w:rPr>
            </w:pPr>
          </w:p>
          <w:p w14:paraId="79F5A918" w14:textId="77777777" w:rsidR="000C465B" w:rsidRPr="000C465B" w:rsidRDefault="000C465B" w:rsidP="000C465B">
            <w:pPr>
              <w:spacing w:after="0"/>
              <w:rPr>
                <w:sz w:val="20"/>
                <w:szCs w:val="20"/>
              </w:rPr>
            </w:pPr>
            <w:r w:rsidRPr="000C465B">
              <w:rPr>
                <w:sz w:val="20"/>
                <w:szCs w:val="20"/>
              </w:rPr>
              <w:t xml:space="preserve">Expressions regarding reconstituted quantities </w:t>
            </w:r>
            <w:proofErr w:type="gramStart"/>
            <w:r w:rsidRPr="000C465B">
              <w:rPr>
                <w:sz w:val="20"/>
                <w:szCs w:val="20"/>
              </w:rPr>
              <w:t>must,</w:t>
            </w:r>
            <w:proofErr w:type="gramEnd"/>
            <w:r w:rsidRPr="000C465B">
              <w:rPr>
                <w:sz w:val="20"/>
                <w:szCs w:val="20"/>
              </w:rPr>
              <w:t xml:space="preserve"> clearly </w:t>
            </w:r>
            <w:proofErr w:type="gramStart"/>
            <w:r w:rsidRPr="000C465B">
              <w:rPr>
                <w:sz w:val="20"/>
                <w:szCs w:val="20"/>
              </w:rPr>
              <w:t>indicated</w:t>
            </w:r>
            <w:proofErr w:type="gramEnd"/>
            <w:r w:rsidRPr="000C465B">
              <w:rPr>
                <w:sz w:val="20"/>
                <w:szCs w:val="20"/>
              </w:rPr>
              <w:t xml:space="preserve"> information about the amount of ready-to-use </w:t>
            </w:r>
            <w:proofErr w:type="gramStart"/>
            <w:r w:rsidRPr="000C465B">
              <w:rPr>
                <w:sz w:val="20"/>
                <w:szCs w:val="20"/>
              </w:rPr>
              <w:t>product</w:t>
            </w:r>
            <w:proofErr w:type="gramEnd"/>
            <w:r w:rsidRPr="000C465B">
              <w:rPr>
                <w:sz w:val="20"/>
                <w:szCs w:val="20"/>
              </w:rPr>
              <w:t xml:space="preserve"> a consumer should expect a package to deliver based on clear label instructions for product preparation. These statements would have to be clearly distinct from the required net quantity information provided in </w:t>
            </w:r>
            <w:proofErr w:type="gramStart"/>
            <w:r w:rsidRPr="000C465B">
              <w:rPr>
                <w:sz w:val="20"/>
                <w:szCs w:val="20"/>
              </w:rPr>
              <w:t xml:space="preserve">the </w:t>
            </w:r>
            <w:proofErr w:type="spellStart"/>
            <w:r w:rsidRPr="000C465B">
              <w:rPr>
                <w:sz w:val="20"/>
                <w:szCs w:val="20"/>
              </w:rPr>
              <w:t>DoNQ</w:t>
            </w:r>
            <w:proofErr w:type="spellEnd"/>
            <w:proofErr w:type="gramEnd"/>
            <w:r w:rsidRPr="000C465B">
              <w:rPr>
                <w:sz w:val="20"/>
                <w:szCs w:val="20"/>
              </w:rPr>
              <w:t xml:space="preserve">. In many instances, manufacturers use icons to provide reconstituted </w:t>
            </w:r>
            <w:r w:rsidRPr="000C465B">
              <w:rPr>
                <w:sz w:val="20"/>
                <w:szCs w:val="20"/>
              </w:rPr>
              <w:lastRenderedPageBreak/>
              <w:t xml:space="preserve">information since icons efficiently provide both reconstituted product information and distinctness and separation from </w:t>
            </w:r>
            <w:proofErr w:type="gramStart"/>
            <w:r w:rsidRPr="000C465B">
              <w:rPr>
                <w:sz w:val="20"/>
                <w:szCs w:val="20"/>
              </w:rPr>
              <w:t xml:space="preserve">the </w:t>
            </w:r>
            <w:proofErr w:type="spellStart"/>
            <w:r w:rsidRPr="000C465B">
              <w:rPr>
                <w:sz w:val="20"/>
                <w:szCs w:val="20"/>
              </w:rPr>
              <w:t>DoNQ</w:t>
            </w:r>
            <w:proofErr w:type="spellEnd"/>
            <w:proofErr w:type="gramEnd"/>
            <w:r w:rsidRPr="000C465B">
              <w:rPr>
                <w:sz w:val="20"/>
                <w:szCs w:val="20"/>
              </w:rPr>
              <w:t xml:space="preserve">.  </w:t>
            </w:r>
          </w:p>
          <w:p w14:paraId="6064F3CE" w14:textId="77777777" w:rsidR="000C465B" w:rsidRPr="000C465B" w:rsidRDefault="000C465B" w:rsidP="000C465B">
            <w:pPr>
              <w:spacing w:after="0"/>
              <w:rPr>
                <w:sz w:val="20"/>
                <w:szCs w:val="20"/>
              </w:rPr>
            </w:pPr>
          </w:p>
          <w:p w14:paraId="1BEA09DE" w14:textId="77777777" w:rsidR="000C465B" w:rsidRPr="000C465B" w:rsidRDefault="000C465B" w:rsidP="000C465B">
            <w:pPr>
              <w:spacing w:after="0"/>
              <w:rPr>
                <w:sz w:val="20"/>
                <w:szCs w:val="20"/>
              </w:rPr>
            </w:pPr>
            <w:r w:rsidRPr="000C465B">
              <w:rPr>
                <w:sz w:val="20"/>
                <w:szCs w:val="20"/>
              </w:rPr>
              <w:t xml:space="preserve">Expressions containing a derived unit require that the manufacturer define the derived unit on the package label so that is it available for consumer inspection prior to product purchase.   Expressions that include one or more derived units </w:t>
            </w:r>
            <w:proofErr w:type="gramStart"/>
            <w:r w:rsidRPr="000C465B">
              <w:rPr>
                <w:sz w:val="20"/>
                <w:szCs w:val="20"/>
              </w:rPr>
              <w:t>have to</w:t>
            </w:r>
            <w:proofErr w:type="gramEnd"/>
            <w:r w:rsidRPr="000C465B">
              <w:rPr>
                <w:sz w:val="20"/>
                <w:szCs w:val="20"/>
              </w:rPr>
              <w:t xml:space="preserve"> be clearly distinct from the information provided by the required Declaration of Net Quantity (</w:t>
            </w:r>
            <w:proofErr w:type="spellStart"/>
            <w:r w:rsidRPr="000C465B">
              <w:rPr>
                <w:sz w:val="20"/>
                <w:szCs w:val="20"/>
              </w:rPr>
              <w:t>DoNQ</w:t>
            </w:r>
            <w:proofErr w:type="spellEnd"/>
            <w:r w:rsidRPr="000C465B">
              <w:rPr>
                <w:sz w:val="20"/>
                <w:szCs w:val="20"/>
              </w:rPr>
              <w:t xml:space="preserve">). In many instances, manufacturers use icons to provide derived unit information since icons are an effective means to provide additional consumer information which is clearly distinct from </w:t>
            </w:r>
            <w:proofErr w:type="gramStart"/>
            <w:r w:rsidRPr="000C465B">
              <w:rPr>
                <w:sz w:val="20"/>
                <w:szCs w:val="20"/>
              </w:rPr>
              <w:t xml:space="preserve">the </w:t>
            </w:r>
            <w:proofErr w:type="spellStart"/>
            <w:r w:rsidRPr="000C465B">
              <w:rPr>
                <w:sz w:val="20"/>
                <w:szCs w:val="20"/>
              </w:rPr>
              <w:t>DoNQ</w:t>
            </w:r>
            <w:proofErr w:type="spellEnd"/>
            <w:proofErr w:type="gramEnd"/>
            <w:r w:rsidRPr="000C465B">
              <w:rPr>
                <w:sz w:val="20"/>
                <w:szCs w:val="20"/>
              </w:rPr>
              <w:t xml:space="preserve">.  </w:t>
            </w:r>
          </w:p>
          <w:p w14:paraId="7C894FEE" w14:textId="77777777" w:rsidR="000C465B" w:rsidRPr="000C465B" w:rsidRDefault="000C465B" w:rsidP="000C465B">
            <w:pPr>
              <w:spacing w:after="0"/>
              <w:rPr>
                <w:sz w:val="20"/>
                <w:szCs w:val="20"/>
              </w:rPr>
            </w:pPr>
          </w:p>
          <w:p w14:paraId="3ACC45D6" w14:textId="77777777" w:rsidR="000C465B" w:rsidRPr="000C465B" w:rsidRDefault="000C465B" w:rsidP="000C465B">
            <w:pPr>
              <w:spacing w:after="0"/>
              <w:rPr>
                <w:sz w:val="20"/>
                <w:szCs w:val="20"/>
              </w:rPr>
            </w:pPr>
            <w:r w:rsidRPr="000C465B">
              <w:rPr>
                <w:sz w:val="20"/>
                <w:szCs w:val="20"/>
              </w:rPr>
              <w:t xml:space="preserve">Comparative statements, including Comparative Quantity Representations (CQRs) and Comparative Performance Representations (CPR’s), need to be complete and balanced expressions which help the consumer understand how the package with the statement compares to other packages.  While product comparison information provided by CQRs and CPR’s can often be difficult to communicate in a limited amount of space or limited number of words, it is imperative that a manufacturer ensure a comparative statement appearing on the PDP is a complete, stand-alone statement.   While an asterisk may be used to provide additional information substantiating the comparative statement, a manufacturer should not rely on the asterisked information to explain what a comparative statement really means.  When an asterisk is used, the added information needs to be provided on the outer package label in a location and font type consistent with other regulatory required information required on other non-PDP panels of the package.  Comparative statements must be complete, meaning they can stand on their own in communicating enough information for a consumer to correctly understand the intended message without having to inspect the rest of the package.  </w:t>
            </w:r>
          </w:p>
          <w:p w14:paraId="499FFDA1" w14:textId="77777777" w:rsidR="000C465B" w:rsidRPr="000C465B" w:rsidRDefault="000C465B" w:rsidP="000C465B">
            <w:pPr>
              <w:spacing w:after="0"/>
              <w:jc w:val="left"/>
              <w:rPr>
                <w:sz w:val="20"/>
                <w:szCs w:val="20"/>
              </w:rPr>
            </w:pPr>
          </w:p>
        </w:tc>
      </w:tr>
      <w:tr w:rsidR="000C465B" w:rsidRPr="000C465B" w14:paraId="17DBE9C6" w14:textId="77777777" w:rsidTr="005F0F3E">
        <w:tc>
          <w:tcPr>
            <w:tcW w:w="2221" w:type="dxa"/>
          </w:tcPr>
          <w:p w14:paraId="25F0A955" w14:textId="77777777" w:rsidR="000C465B" w:rsidRPr="000C465B" w:rsidRDefault="000C465B" w:rsidP="000C465B">
            <w:pPr>
              <w:spacing w:after="0"/>
              <w:jc w:val="center"/>
              <w:rPr>
                <w:sz w:val="20"/>
                <w:szCs w:val="20"/>
              </w:rPr>
            </w:pPr>
          </w:p>
          <w:p w14:paraId="1C9CF55A" w14:textId="77777777" w:rsidR="000C465B" w:rsidRPr="000C465B" w:rsidRDefault="000C465B" w:rsidP="000C465B">
            <w:pPr>
              <w:spacing w:after="0"/>
              <w:jc w:val="left"/>
              <w:rPr>
                <w:sz w:val="20"/>
                <w:szCs w:val="20"/>
              </w:rPr>
            </w:pPr>
            <w:r w:rsidRPr="000C465B">
              <w:rPr>
                <w:sz w:val="20"/>
                <w:szCs w:val="20"/>
              </w:rPr>
              <w:t>4. Expressions must not Conflict with the Information in the Mandatory Declaration of Net Quantity (</w:t>
            </w:r>
            <w:proofErr w:type="spellStart"/>
            <w:r w:rsidRPr="000C465B">
              <w:rPr>
                <w:sz w:val="20"/>
                <w:szCs w:val="20"/>
              </w:rPr>
              <w:t>DoNQ</w:t>
            </w:r>
            <w:proofErr w:type="spellEnd"/>
            <w:r w:rsidRPr="000C465B">
              <w:rPr>
                <w:sz w:val="20"/>
                <w:szCs w:val="20"/>
              </w:rPr>
              <w:t>).</w:t>
            </w:r>
          </w:p>
          <w:p w14:paraId="4C7D3E82" w14:textId="77777777" w:rsidR="000C465B" w:rsidRPr="000C465B" w:rsidRDefault="000C465B" w:rsidP="000C465B">
            <w:pPr>
              <w:spacing w:after="0"/>
              <w:jc w:val="left"/>
              <w:rPr>
                <w:sz w:val="20"/>
                <w:szCs w:val="20"/>
              </w:rPr>
            </w:pPr>
          </w:p>
          <w:p w14:paraId="7BD3DFA2" w14:textId="77777777" w:rsidR="000C465B" w:rsidRPr="000C465B" w:rsidRDefault="000C465B" w:rsidP="000C465B">
            <w:pPr>
              <w:spacing w:after="0"/>
              <w:jc w:val="left"/>
              <w:rPr>
                <w:i/>
                <w:iCs/>
                <w:sz w:val="20"/>
                <w:szCs w:val="20"/>
              </w:rPr>
            </w:pPr>
            <w:r w:rsidRPr="000C465B">
              <w:rPr>
                <w:i/>
                <w:iCs/>
                <w:sz w:val="20"/>
                <w:szCs w:val="20"/>
              </w:rPr>
              <w:t xml:space="preserve">Is the statement consistent with the mandatory </w:t>
            </w:r>
            <w:proofErr w:type="spellStart"/>
            <w:r w:rsidRPr="000C465B">
              <w:rPr>
                <w:i/>
                <w:iCs/>
                <w:sz w:val="20"/>
                <w:szCs w:val="20"/>
              </w:rPr>
              <w:t>DoNQ</w:t>
            </w:r>
            <w:proofErr w:type="spellEnd"/>
            <w:r w:rsidRPr="000C465B">
              <w:rPr>
                <w:i/>
                <w:iCs/>
                <w:sz w:val="20"/>
                <w:szCs w:val="20"/>
              </w:rPr>
              <w:t>?</w:t>
            </w:r>
          </w:p>
          <w:p w14:paraId="0A3744F6" w14:textId="77777777" w:rsidR="000C465B" w:rsidRPr="000C465B" w:rsidRDefault="000C465B" w:rsidP="000C465B">
            <w:pPr>
              <w:spacing w:after="0"/>
              <w:jc w:val="left"/>
              <w:rPr>
                <w:sz w:val="20"/>
                <w:szCs w:val="20"/>
              </w:rPr>
            </w:pPr>
          </w:p>
          <w:p w14:paraId="055D55A1" w14:textId="77777777" w:rsidR="000C465B" w:rsidRPr="000C465B" w:rsidRDefault="000C465B" w:rsidP="000C465B">
            <w:pPr>
              <w:spacing w:after="0"/>
              <w:jc w:val="left"/>
              <w:rPr>
                <w:sz w:val="20"/>
                <w:szCs w:val="20"/>
              </w:rPr>
            </w:pPr>
            <w:r w:rsidRPr="000C465B">
              <w:rPr>
                <w:sz w:val="20"/>
                <w:szCs w:val="20"/>
              </w:rPr>
              <w:t>(Applies to all categories)</w:t>
            </w:r>
          </w:p>
        </w:tc>
        <w:tc>
          <w:tcPr>
            <w:tcW w:w="7129" w:type="dxa"/>
          </w:tcPr>
          <w:p w14:paraId="68AAC72B" w14:textId="77777777" w:rsidR="000C465B" w:rsidRPr="000C465B" w:rsidRDefault="000C465B" w:rsidP="000C465B">
            <w:pPr>
              <w:spacing w:after="0"/>
              <w:jc w:val="left"/>
              <w:rPr>
                <w:sz w:val="20"/>
                <w:szCs w:val="20"/>
              </w:rPr>
            </w:pPr>
          </w:p>
          <w:p w14:paraId="7AA7B9F9" w14:textId="77777777" w:rsidR="000C465B" w:rsidRPr="000C465B" w:rsidRDefault="000C465B" w:rsidP="000C465B">
            <w:pPr>
              <w:spacing w:after="0"/>
              <w:rPr>
                <w:sz w:val="20"/>
                <w:szCs w:val="20"/>
              </w:rPr>
            </w:pPr>
            <w:r w:rsidRPr="000C465B">
              <w:rPr>
                <w:sz w:val="20"/>
                <w:szCs w:val="20"/>
              </w:rPr>
              <w:t xml:space="preserve">Voluntary expressions which contain quantity-related information should provide information which is equivalent to or consistent with the information </w:t>
            </w:r>
            <w:proofErr w:type="gramStart"/>
            <w:r w:rsidRPr="000C465B">
              <w:rPr>
                <w:sz w:val="20"/>
                <w:szCs w:val="20"/>
              </w:rPr>
              <w:t>present</w:t>
            </w:r>
            <w:proofErr w:type="gramEnd"/>
            <w:r w:rsidRPr="000C465B">
              <w:rPr>
                <w:sz w:val="20"/>
                <w:szCs w:val="20"/>
              </w:rPr>
              <w:t xml:space="preserve"> in the required </w:t>
            </w:r>
            <w:proofErr w:type="spellStart"/>
            <w:r w:rsidRPr="000C465B">
              <w:rPr>
                <w:sz w:val="20"/>
                <w:szCs w:val="20"/>
              </w:rPr>
              <w:t>DoNQ</w:t>
            </w:r>
            <w:proofErr w:type="spellEnd"/>
            <w:r w:rsidRPr="000C465B">
              <w:rPr>
                <w:sz w:val="20"/>
                <w:szCs w:val="20"/>
              </w:rPr>
              <w:t>.  Expressions may:</w:t>
            </w:r>
          </w:p>
          <w:p w14:paraId="0F96813E" w14:textId="77777777" w:rsidR="000C465B" w:rsidRPr="000C465B" w:rsidRDefault="000C465B" w:rsidP="000C465B">
            <w:pPr>
              <w:spacing w:after="0"/>
              <w:jc w:val="left"/>
              <w:rPr>
                <w:sz w:val="20"/>
                <w:szCs w:val="20"/>
              </w:rPr>
            </w:pPr>
          </w:p>
          <w:p w14:paraId="1BE8DDB3"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 xml:space="preserve">Simply repeat a portion of the of the </w:t>
            </w:r>
            <w:proofErr w:type="spellStart"/>
            <w:r w:rsidRPr="000C465B">
              <w:rPr>
                <w:rFonts w:eastAsia="Times New Roman"/>
                <w:sz w:val="20"/>
                <w:szCs w:val="20"/>
              </w:rPr>
              <w:t>DoNQ</w:t>
            </w:r>
            <w:proofErr w:type="spellEnd"/>
            <w:r w:rsidRPr="000C465B">
              <w:rPr>
                <w:rFonts w:eastAsia="Times New Roman"/>
                <w:sz w:val="20"/>
                <w:szCs w:val="20"/>
              </w:rPr>
              <w:t>, such as “2 Pounds”</w:t>
            </w:r>
          </w:p>
          <w:p w14:paraId="4F8DDC04"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 xml:space="preserve">Provide an equivalent information such as “4 Quarts” when </w:t>
            </w:r>
            <w:proofErr w:type="spellStart"/>
            <w:r w:rsidRPr="000C465B">
              <w:rPr>
                <w:rFonts w:eastAsia="Times New Roman"/>
                <w:sz w:val="20"/>
                <w:szCs w:val="20"/>
              </w:rPr>
              <w:t>DoNQ</w:t>
            </w:r>
            <w:proofErr w:type="spellEnd"/>
            <w:r w:rsidRPr="000C465B">
              <w:rPr>
                <w:rFonts w:eastAsia="Times New Roman"/>
                <w:sz w:val="20"/>
                <w:szCs w:val="20"/>
              </w:rPr>
              <w:t xml:space="preserve"> states “1 gallon”.</w:t>
            </w:r>
          </w:p>
          <w:p w14:paraId="103E63F1"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 xml:space="preserve">Provide accurate and consistent information such as “Over 1 Quart” when </w:t>
            </w:r>
            <w:proofErr w:type="spellStart"/>
            <w:r w:rsidRPr="000C465B">
              <w:rPr>
                <w:rFonts w:eastAsia="Times New Roman"/>
                <w:sz w:val="20"/>
                <w:szCs w:val="20"/>
              </w:rPr>
              <w:t>DoNQ</w:t>
            </w:r>
            <w:proofErr w:type="spellEnd"/>
            <w:r w:rsidRPr="000C465B">
              <w:rPr>
                <w:rFonts w:eastAsia="Times New Roman"/>
                <w:sz w:val="20"/>
                <w:szCs w:val="20"/>
              </w:rPr>
              <w:t xml:space="preserve"> is “1 Liter”.</w:t>
            </w:r>
          </w:p>
          <w:p w14:paraId="448CC9E6"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 xml:space="preserve">Provide information in terms of other legal metrological units not represented in the </w:t>
            </w:r>
            <w:proofErr w:type="spellStart"/>
            <w:r w:rsidRPr="000C465B">
              <w:rPr>
                <w:rFonts w:eastAsia="Times New Roman"/>
                <w:sz w:val="20"/>
                <w:szCs w:val="20"/>
              </w:rPr>
              <w:t>DoNQ</w:t>
            </w:r>
            <w:proofErr w:type="spellEnd"/>
            <w:r w:rsidRPr="000C465B">
              <w:rPr>
                <w:rFonts w:eastAsia="Times New Roman"/>
                <w:sz w:val="20"/>
                <w:szCs w:val="20"/>
              </w:rPr>
              <w:t xml:space="preserve"> such as a volume declaration when product is labeled “2 pounds”.</w:t>
            </w:r>
          </w:p>
          <w:p w14:paraId="682A62FB"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 xml:space="preserve">Provide information in terms of count that is not provided in the </w:t>
            </w:r>
            <w:proofErr w:type="spellStart"/>
            <w:r w:rsidRPr="000C465B">
              <w:rPr>
                <w:rFonts w:eastAsia="Times New Roman"/>
                <w:sz w:val="20"/>
                <w:szCs w:val="20"/>
              </w:rPr>
              <w:t>DoNQ</w:t>
            </w:r>
            <w:proofErr w:type="spellEnd"/>
          </w:p>
          <w:p w14:paraId="3D241CA3"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Provide information on the reconstituted quantity consistent with the declared net quantity and preparation instructions.</w:t>
            </w:r>
          </w:p>
          <w:p w14:paraId="2D6B70CF"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 xml:space="preserve">Provide information in terms of a derived unit consistent with the definition of the derived unit provided on the package. </w:t>
            </w:r>
          </w:p>
          <w:p w14:paraId="0DD375A4" w14:textId="77777777" w:rsidR="000C465B" w:rsidRPr="000C465B" w:rsidRDefault="000C465B" w:rsidP="007169B6">
            <w:pPr>
              <w:numPr>
                <w:ilvl w:val="0"/>
                <w:numId w:val="87"/>
              </w:numPr>
              <w:spacing w:after="0"/>
              <w:contextualSpacing/>
              <w:jc w:val="left"/>
              <w:rPr>
                <w:rFonts w:eastAsia="Times New Roman"/>
                <w:sz w:val="20"/>
                <w:szCs w:val="20"/>
              </w:rPr>
            </w:pPr>
            <w:r w:rsidRPr="000C465B">
              <w:rPr>
                <w:rFonts w:eastAsia="Times New Roman"/>
                <w:sz w:val="20"/>
                <w:szCs w:val="20"/>
              </w:rPr>
              <w:t xml:space="preserve">Provide comparative information that accurately accounts for the quantity information in the </w:t>
            </w:r>
            <w:proofErr w:type="spellStart"/>
            <w:r w:rsidRPr="000C465B">
              <w:rPr>
                <w:rFonts w:eastAsia="Times New Roman"/>
                <w:sz w:val="20"/>
                <w:szCs w:val="20"/>
              </w:rPr>
              <w:t>DoNQ</w:t>
            </w:r>
            <w:proofErr w:type="spellEnd"/>
            <w:r w:rsidRPr="000C465B">
              <w:rPr>
                <w:rFonts w:eastAsia="Times New Roman"/>
                <w:sz w:val="20"/>
                <w:szCs w:val="20"/>
              </w:rPr>
              <w:t xml:space="preserve">  </w:t>
            </w:r>
          </w:p>
          <w:p w14:paraId="0454D026" w14:textId="77777777" w:rsidR="000C465B" w:rsidRPr="000C465B" w:rsidRDefault="000C465B" w:rsidP="000C465B">
            <w:pPr>
              <w:spacing w:after="0"/>
              <w:jc w:val="left"/>
              <w:rPr>
                <w:sz w:val="20"/>
                <w:szCs w:val="20"/>
              </w:rPr>
            </w:pPr>
          </w:p>
          <w:p w14:paraId="44C204CA" w14:textId="77777777" w:rsidR="000C465B" w:rsidRPr="000C465B" w:rsidRDefault="000C465B" w:rsidP="000C465B">
            <w:pPr>
              <w:spacing w:after="0"/>
              <w:rPr>
                <w:sz w:val="20"/>
                <w:szCs w:val="20"/>
              </w:rPr>
            </w:pPr>
            <w:r w:rsidRPr="000C465B">
              <w:rPr>
                <w:sz w:val="20"/>
                <w:szCs w:val="20"/>
              </w:rPr>
              <w:t xml:space="preserve">Information provided in voluntary expressions on the package Principal Display Panel (PDP) should supplement the information required to be provided in the </w:t>
            </w:r>
            <w:proofErr w:type="spellStart"/>
            <w:r w:rsidRPr="000C465B">
              <w:rPr>
                <w:sz w:val="20"/>
                <w:szCs w:val="20"/>
              </w:rPr>
              <w:t>DoNQ</w:t>
            </w:r>
            <w:proofErr w:type="spellEnd"/>
            <w:r w:rsidRPr="000C465B">
              <w:rPr>
                <w:sz w:val="20"/>
                <w:szCs w:val="20"/>
              </w:rPr>
              <w:t xml:space="preserve">.  Voluntary expressions should be evaluated by the manufacturer to ensure the message and information is consistent with what is provided in the </w:t>
            </w:r>
            <w:proofErr w:type="spellStart"/>
            <w:r w:rsidRPr="000C465B">
              <w:rPr>
                <w:sz w:val="20"/>
                <w:szCs w:val="20"/>
              </w:rPr>
              <w:t>DoNQ</w:t>
            </w:r>
            <w:proofErr w:type="spellEnd"/>
            <w:r w:rsidRPr="000C465B">
              <w:rPr>
                <w:sz w:val="20"/>
                <w:szCs w:val="20"/>
              </w:rPr>
              <w:t xml:space="preserve">.  For example, if a package label defines the term “dose” to be 2 fluid ounces, a package containing 1 quart with an expression in doses should state the package contains 16 doses.  An expression </w:t>
            </w:r>
            <w:r w:rsidRPr="000C465B">
              <w:rPr>
                <w:sz w:val="20"/>
                <w:szCs w:val="20"/>
              </w:rPr>
              <w:lastRenderedPageBreak/>
              <w:t xml:space="preserve">of “17 Doses” or “20 Doses” would not be consistent. Similarly, a package labeled “1 Liter” should not contain an expression such as “contains at least 1 Liter” since that is fundamentally a different statement.    </w:t>
            </w:r>
          </w:p>
          <w:p w14:paraId="623EA20E" w14:textId="77777777" w:rsidR="000C465B" w:rsidRPr="000C465B" w:rsidRDefault="000C465B" w:rsidP="000C465B">
            <w:pPr>
              <w:spacing w:after="0"/>
              <w:jc w:val="left"/>
              <w:rPr>
                <w:sz w:val="20"/>
                <w:szCs w:val="20"/>
              </w:rPr>
            </w:pPr>
          </w:p>
        </w:tc>
      </w:tr>
      <w:tr w:rsidR="000C465B" w:rsidRPr="000C465B" w14:paraId="66E19656" w14:textId="77777777" w:rsidTr="005F0F3E">
        <w:tc>
          <w:tcPr>
            <w:tcW w:w="2221" w:type="dxa"/>
          </w:tcPr>
          <w:p w14:paraId="6AA41FFA" w14:textId="77777777" w:rsidR="000C465B" w:rsidRPr="000C465B" w:rsidRDefault="000C465B" w:rsidP="000C465B">
            <w:pPr>
              <w:spacing w:after="0"/>
              <w:jc w:val="center"/>
              <w:rPr>
                <w:sz w:val="20"/>
                <w:szCs w:val="20"/>
              </w:rPr>
            </w:pPr>
          </w:p>
          <w:p w14:paraId="356BABDD" w14:textId="77777777" w:rsidR="000C465B" w:rsidRPr="000C465B" w:rsidRDefault="000C465B" w:rsidP="000C465B">
            <w:pPr>
              <w:spacing w:after="0"/>
              <w:jc w:val="left"/>
              <w:rPr>
                <w:sz w:val="20"/>
                <w:szCs w:val="20"/>
              </w:rPr>
            </w:pPr>
            <w:r w:rsidRPr="000C465B">
              <w:rPr>
                <w:sz w:val="20"/>
                <w:szCs w:val="20"/>
              </w:rPr>
              <w:t>5. Expression location and prominence (size, font, and contrast) must be considered in relation to the Declaration of Net Quantity (</w:t>
            </w:r>
            <w:proofErr w:type="spellStart"/>
            <w:r w:rsidRPr="000C465B">
              <w:rPr>
                <w:sz w:val="20"/>
                <w:szCs w:val="20"/>
              </w:rPr>
              <w:t>DoNQ</w:t>
            </w:r>
            <w:proofErr w:type="spellEnd"/>
            <w:r w:rsidRPr="000C465B">
              <w:rPr>
                <w:sz w:val="20"/>
                <w:szCs w:val="20"/>
              </w:rPr>
              <w:t xml:space="preserve">) to ensure appropriate balance.    </w:t>
            </w:r>
          </w:p>
          <w:p w14:paraId="7EAD024A" w14:textId="77777777" w:rsidR="000C465B" w:rsidRPr="000C465B" w:rsidRDefault="000C465B" w:rsidP="000C465B">
            <w:pPr>
              <w:spacing w:after="0"/>
              <w:jc w:val="left"/>
              <w:rPr>
                <w:sz w:val="20"/>
                <w:szCs w:val="20"/>
              </w:rPr>
            </w:pPr>
          </w:p>
          <w:p w14:paraId="4E3DDC40" w14:textId="77777777" w:rsidR="000C465B" w:rsidRPr="000C465B" w:rsidRDefault="000C465B" w:rsidP="000C465B">
            <w:pPr>
              <w:spacing w:after="0"/>
              <w:jc w:val="left"/>
              <w:rPr>
                <w:i/>
                <w:iCs/>
                <w:sz w:val="20"/>
                <w:szCs w:val="20"/>
              </w:rPr>
            </w:pPr>
            <w:r w:rsidRPr="000C465B">
              <w:rPr>
                <w:i/>
                <w:iCs/>
                <w:sz w:val="20"/>
                <w:szCs w:val="20"/>
              </w:rPr>
              <w:t xml:space="preserve">Does the expression location, size, font contrast, and other attributes effectively provide information in addition to the </w:t>
            </w:r>
            <w:proofErr w:type="spellStart"/>
            <w:r w:rsidRPr="000C465B">
              <w:rPr>
                <w:i/>
                <w:iCs/>
                <w:sz w:val="20"/>
                <w:szCs w:val="20"/>
              </w:rPr>
              <w:t>DoNQ</w:t>
            </w:r>
            <w:proofErr w:type="spellEnd"/>
            <w:r w:rsidRPr="000C465B">
              <w:rPr>
                <w:i/>
                <w:iCs/>
                <w:sz w:val="20"/>
                <w:szCs w:val="20"/>
              </w:rPr>
              <w:t>?</w:t>
            </w:r>
          </w:p>
          <w:p w14:paraId="36375765" w14:textId="77777777" w:rsidR="000C465B" w:rsidRPr="000C465B" w:rsidRDefault="000C465B" w:rsidP="000C465B">
            <w:pPr>
              <w:spacing w:after="0"/>
              <w:jc w:val="left"/>
              <w:rPr>
                <w:sz w:val="20"/>
                <w:szCs w:val="20"/>
              </w:rPr>
            </w:pPr>
          </w:p>
          <w:p w14:paraId="042096DC" w14:textId="77777777" w:rsidR="000C465B" w:rsidRPr="000C465B" w:rsidRDefault="000C465B" w:rsidP="000C465B">
            <w:pPr>
              <w:spacing w:after="0"/>
              <w:jc w:val="left"/>
              <w:rPr>
                <w:sz w:val="20"/>
                <w:szCs w:val="20"/>
              </w:rPr>
            </w:pPr>
            <w:r w:rsidRPr="000C465B">
              <w:rPr>
                <w:sz w:val="20"/>
                <w:szCs w:val="20"/>
              </w:rPr>
              <w:t>(Applies to all categories.)</w:t>
            </w:r>
          </w:p>
        </w:tc>
        <w:tc>
          <w:tcPr>
            <w:tcW w:w="7129" w:type="dxa"/>
          </w:tcPr>
          <w:p w14:paraId="71482F3D" w14:textId="77777777" w:rsidR="000C465B" w:rsidRPr="000C465B" w:rsidRDefault="000C465B" w:rsidP="000C465B">
            <w:pPr>
              <w:spacing w:after="0"/>
              <w:rPr>
                <w:sz w:val="20"/>
                <w:szCs w:val="20"/>
              </w:rPr>
            </w:pPr>
          </w:p>
          <w:p w14:paraId="794935A3" w14:textId="77777777" w:rsidR="000C465B" w:rsidRPr="000C465B" w:rsidRDefault="000C465B" w:rsidP="000C465B">
            <w:pPr>
              <w:spacing w:after="0"/>
              <w:rPr>
                <w:sz w:val="20"/>
                <w:szCs w:val="20"/>
              </w:rPr>
            </w:pPr>
            <w:r w:rsidRPr="000C465B">
              <w:rPr>
                <w:sz w:val="20"/>
                <w:szCs w:val="20"/>
              </w:rPr>
              <w:t xml:space="preserve">Manufacturers should consider the cumulative effects of quantity statement location, size, font, color, and contrast on the package in relation to those of other Principal Display Panel (PDP) elements and statements.  </w:t>
            </w:r>
          </w:p>
          <w:p w14:paraId="089B9F6F" w14:textId="77777777" w:rsidR="000C465B" w:rsidRPr="000C465B" w:rsidRDefault="000C465B" w:rsidP="000C465B">
            <w:pPr>
              <w:spacing w:after="0"/>
              <w:rPr>
                <w:sz w:val="20"/>
                <w:szCs w:val="20"/>
              </w:rPr>
            </w:pPr>
          </w:p>
          <w:p w14:paraId="55402A7B" w14:textId="77777777" w:rsidR="000C465B" w:rsidRPr="000C465B" w:rsidRDefault="000C465B" w:rsidP="000C465B">
            <w:pPr>
              <w:spacing w:after="0"/>
              <w:rPr>
                <w:sz w:val="20"/>
                <w:szCs w:val="20"/>
              </w:rPr>
            </w:pPr>
            <w:r w:rsidRPr="000C465B">
              <w:rPr>
                <w:sz w:val="20"/>
                <w:szCs w:val="20"/>
              </w:rPr>
              <w:t xml:space="preserve">The location, size, and contrast of a voluntary quantity-related expression should help the consumer make informed value comparisons at the point of purchase and not minimize the visibility or purpose of other information required to appear on the PDP.  Importantly, an expression should complement or reinforce the information provided by the </w:t>
            </w:r>
            <w:proofErr w:type="spellStart"/>
            <w:r w:rsidRPr="000C465B">
              <w:rPr>
                <w:sz w:val="20"/>
                <w:szCs w:val="20"/>
              </w:rPr>
              <w:t>DoNQ</w:t>
            </w:r>
            <w:proofErr w:type="spellEnd"/>
            <w:r w:rsidRPr="000C465B">
              <w:rPr>
                <w:sz w:val="20"/>
                <w:szCs w:val="20"/>
              </w:rPr>
              <w:t xml:space="preserve"> and should not compete with or replace the visibility of the required </w:t>
            </w:r>
            <w:proofErr w:type="spellStart"/>
            <w:proofErr w:type="gramStart"/>
            <w:r w:rsidRPr="000C465B">
              <w:rPr>
                <w:sz w:val="20"/>
                <w:szCs w:val="20"/>
              </w:rPr>
              <w:t>DoNQ</w:t>
            </w:r>
            <w:proofErr w:type="spellEnd"/>
            <w:r w:rsidRPr="000C465B">
              <w:rPr>
                <w:sz w:val="20"/>
                <w:szCs w:val="20"/>
              </w:rPr>
              <w:t xml:space="preserve"> .</w:t>
            </w:r>
            <w:proofErr w:type="gramEnd"/>
            <w:r w:rsidRPr="000C465B">
              <w:rPr>
                <w:sz w:val="20"/>
                <w:szCs w:val="20"/>
              </w:rPr>
              <w:t xml:space="preserve">  </w:t>
            </w:r>
          </w:p>
          <w:p w14:paraId="19AAA3A0" w14:textId="77777777" w:rsidR="000C465B" w:rsidRPr="000C465B" w:rsidRDefault="000C465B" w:rsidP="000C465B">
            <w:pPr>
              <w:spacing w:after="0"/>
              <w:rPr>
                <w:sz w:val="20"/>
                <w:szCs w:val="20"/>
              </w:rPr>
            </w:pPr>
          </w:p>
          <w:p w14:paraId="4253FD07" w14:textId="77777777" w:rsidR="000C465B" w:rsidRPr="000C465B" w:rsidRDefault="000C465B" w:rsidP="000C465B">
            <w:pPr>
              <w:spacing w:after="0"/>
              <w:rPr>
                <w:sz w:val="20"/>
                <w:szCs w:val="20"/>
              </w:rPr>
            </w:pPr>
            <w:r w:rsidRPr="000C465B">
              <w:rPr>
                <w:sz w:val="20"/>
                <w:szCs w:val="20"/>
              </w:rPr>
              <w:t xml:space="preserve">When an expression is added to the PDP, the manufacturer should consider the location, size, font, contrast, and other attributes of the expression in relation to the location, size, font and contrast of the </w:t>
            </w:r>
            <w:proofErr w:type="spellStart"/>
            <w:r w:rsidRPr="000C465B">
              <w:rPr>
                <w:sz w:val="20"/>
                <w:szCs w:val="20"/>
              </w:rPr>
              <w:t>DoNQ</w:t>
            </w:r>
            <w:proofErr w:type="spellEnd"/>
            <w:r w:rsidRPr="000C465B">
              <w:rPr>
                <w:sz w:val="20"/>
                <w:szCs w:val="20"/>
              </w:rPr>
              <w:t xml:space="preserve"> to ensure they are reasonably balanced. The goal for reasonable balance is to ensure the expression and </w:t>
            </w:r>
            <w:proofErr w:type="spellStart"/>
            <w:r w:rsidRPr="000C465B">
              <w:rPr>
                <w:sz w:val="20"/>
                <w:szCs w:val="20"/>
              </w:rPr>
              <w:t>DoNQ</w:t>
            </w:r>
            <w:proofErr w:type="spellEnd"/>
            <w:r w:rsidRPr="000C465B">
              <w:rPr>
                <w:sz w:val="20"/>
                <w:szCs w:val="20"/>
              </w:rPr>
              <w:t xml:space="preserve"> information are effectively communicated to the consumer at the point of purchase.   Reasonable balance does not mandate that voluntary expressions must match the size, font, contrast, or other attributes of the </w:t>
            </w:r>
            <w:proofErr w:type="spellStart"/>
            <w:r w:rsidRPr="000C465B">
              <w:rPr>
                <w:sz w:val="20"/>
                <w:szCs w:val="20"/>
              </w:rPr>
              <w:t>DoNQ</w:t>
            </w:r>
            <w:proofErr w:type="spellEnd"/>
            <w:r w:rsidRPr="000C465B">
              <w:rPr>
                <w:sz w:val="20"/>
                <w:szCs w:val="20"/>
              </w:rPr>
              <w:t xml:space="preserve">.   Reasonable balance does allow manufacturers to adjust the size (generally equal or larger), adjust the font (generally bolder), modify the contrast (brighter colors, use of icons, banners, and backgrounds) and determine a location (top 70% of the PDP, lower 30% of PDP, distance from the </w:t>
            </w:r>
            <w:proofErr w:type="spellStart"/>
            <w:r w:rsidRPr="000C465B">
              <w:rPr>
                <w:sz w:val="20"/>
                <w:szCs w:val="20"/>
              </w:rPr>
              <w:t>DoNQ</w:t>
            </w:r>
            <w:proofErr w:type="spellEnd"/>
            <w:r w:rsidRPr="000C465B">
              <w:rPr>
                <w:sz w:val="20"/>
                <w:szCs w:val="20"/>
              </w:rPr>
              <w:t xml:space="preserve">), to maximize the visibility of the added expression and the </w:t>
            </w:r>
            <w:proofErr w:type="spellStart"/>
            <w:r w:rsidRPr="000C465B">
              <w:rPr>
                <w:sz w:val="20"/>
                <w:szCs w:val="20"/>
              </w:rPr>
              <w:t>DoNQ</w:t>
            </w:r>
            <w:proofErr w:type="spellEnd"/>
            <w:r w:rsidRPr="000C465B">
              <w:rPr>
                <w:sz w:val="20"/>
                <w:szCs w:val="20"/>
              </w:rPr>
              <w:t xml:space="preserve">.  </w:t>
            </w:r>
          </w:p>
          <w:p w14:paraId="2B1ECF75" w14:textId="77777777" w:rsidR="000C465B" w:rsidRPr="000C465B" w:rsidRDefault="000C465B" w:rsidP="000C465B">
            <w:pPr>
              <w:spacing w:after="0"/>
              <w:rPr>
                <w:sz w:val="20"/>
                <w:szCs w:val="20"/>
              </w:rPr>
            </w:pPr>
          </w:p>
          <w:p w14:paraId="58099425" w14:textId="77777777" w:rsidR="000C465B" w:rsidRPr="000C465B" w:rsidRDefault="000C465B" w:rsidP="000C465B">
            <w:pPr>
              <w:spacing w:after="0"/>
              <w:rPr>
                <w:sz w:val="20"/>
                <w:szCs w:val="20"/>
              </w:rPr>
            </w:pPr>
            <w:r w:rsidRPr="000C465B">
              <w:rPr>
                <w:sz w:val="20"/>
                <w:szCs w:val="20"/>
              </w:rPr>
              <w:t xml:space="preserve">Combining a voluntary quantity expression and the required </w:t>
            </w:r>
            <w:proofErr w:type="spellStart"/>
            <w:r w:rsidRPr="000C465B">
              <w:rPr>
                <w:sz w:val="20"/>
                <w:szCs w:val="20"/>
              </w:rPr>
              <w:t>DoNQ</w:t>
            </w:r>
            <w:proofErr w:type="spellEnd"/>
            <w:r w:rsidRPr="000C465B">
              <w:rPr>
                <w:sz w:val="20"/>
                <w:szCs w:val="20"/>
              </w:rPr>
              <w:t xml:space="preserve"> into a common box or other graphical/visual representation that appears to link both is not recommended.  The </w:t>
            </w:r>
            <w:proofErr w:type="spellStart"/>
            <w:r w:rsidRPr="000C465B">
              <w:rPr>
                <w:sz w:val="20"/>
                <w:szCs w:val="20"/>
              </w:rPr>
              <w:t>DoNQ</w:t>
            </w:r>
            <w:proofErr w:type="spellEnd"/>
            <w:r w:rsidRPr="000C465B">
              <w:rPr>
                <w:sz w:val="20"/>
                <w:szCs w:val="20"/>
              </w:rPr>
              <w:t xml:space="preserve"> is mandated in law and regulation to have separation from other expressions on the PDP and added expressions need to be clearly separate from the </w:t>
            </w:r>
            <w:proofErr w:type="spellStart"/>
            <w:r w:rsidRPr="000C465B">
              <w:rPr>
                <w:sz w:val="20"/>
                <w:szCs w:val="20"/>
              </w:rPr>
              <w:t>DoNQ</w:t>
            </w:r>
            <w:proofErr w:type="spellEnd"/>
            <w:r w:rsidRPr="000C465B">
              <w:rPr>
                <w:sz w:val="20"/>
                <w:szCs w:val="20"/>
              </w:rPr>
              <w:t xml:space="preserve"> but in terms of required separation and visual presentation.  </w:t>
            </w:r>
          </w:p>
          <w:p w14:paraId="028524B7" w14:textId="77777777" w:rsidR="000C465B" w:rsidRPr="000C465B" w:rsidRDefault="000C465B" w:rsidP="000C465B">
            <w:pPr>
              <w:spacing w:after="0"/>
              <w:rPr>
                <w:sz w:val="20"/>
                <w:szCs w:val="20"/>
              </w:rPr>
            </w:pPr>
          </w:p>
          <w:p w14:paraId="48DE28B7" w14:textId="77777777" w:rsidR="000C465B" w:rsidRPr="000C465B" w:rsidRDefault="000C465B" w:rsidP="000C465B">
            <w:pPr>
              <w:spacing w:after="0"/>
              <w:rPr>
                <w:sz w:val="20"/>
                <w:szCs w:val="20"/>
              </w:rPr>
            </w:pPr>
            <w:r w:rsidRPr="000C465B">
              <w:rPr>
                <w:sz w:val="20"/>
                <w:szCs w:val="20"/>
              </w:rPr>
              <w:t xml:space="preserve">Since a </w:t>
            </w:r>
            <w:proofErr w:type="spellStart"/>
            <w:r w:rsidRPr="000C465B">
              <w:rPr>
                <w:sz w:val="20"/>
                <w:szCs w:val="20"/>
              </w:rPr>
              <w:t>DoNQ</w:t>
            </w:r>
            <w:proofErr w:type="spellEnd"/>
            <w:r w:rsidRPr="000C465B">
              <w:rPr>
                <w:sz w:val="20"/>
                <w:szCs w:val="20"/>
              </w:rPr>
              <w:t xml:space="preserve"> is mandated and required to appear in a limited portion of the PDP where consumers know where it can be found, manufacturers are generally going to design a voluntary expression to maximize the chances the expression is also seen at the point of purchase by the consumer.   </w:t>
            </w:r>
          </w:p>
          <w:p w14:paraId="0DCCE315" w14:textId="77777777" w:rsidR="000C465B" w:rsidRPr="000C465B" w:rsidRDefault="000C465B" w:rsidP="000C465B">
            <w:pPr>
              <w:spacing w:after="0"/>
              <w:rPr>
                <w:sz w:val="20"/>
                <w:szCs w:val="20"/>
              </w:rPr>
            </w:pPr>
          </w:p>
          <w:p w14:paraId="083044A5" w14:textId="77777777" w:rsidR="000C465B" w:rsidRPr="000C465B" w:rsidRDefault="000C465B" w:rsidP="000C465B">
            <w:pPr>
              <w:spacing w:after="0"/>
              <w:rPr>
                <w:sz w:val="20"/>
                <w:szCs w:val="20"/>
              </w:rPr>
            </w:pPr>
            <w:r w:rsidRPr="000C465B">
              <w:rPr>
                <w:sz w:val="20"/>
                <w:szCs w:val="20"/>
              </w:rPr>
              <w:t xml:space="preserve">A voluntarily added expression will generally be of equal or larger size, a different font, and higher contrast than the information provided in the </w:t>
            </w:r>
            <w:proofErr w:type="spellStart"/>
            <w:r w:rsidRPr="000C465B">
              <w:rPr>
                <w:sz w:val="20"/>
                <w:szCs w:val="20"/>
              </w:rPr>
              <w:t>DoNQ</w:t>
            </w:r>
            <w:proofErr w:type="spellEnd"/>
            <w:r w:rsidRPr="000C465B">
              <w:rPr>
                <w:sz w:val="20"/>
                <w:szCs w:val="20"/>
              </w:rPr>
              <w:t xml:space="preserve"> since these characteristics are important to help ensure a consumer sees and understands these statements at the time a consumer is making product selections.  Not every product has or needs to have a voluntary expression related to quantity added to the PDP, and as a result, for those packages that a manufacturer believes warrant this added information, the manufacturer is attempting to make this information visible to a consumer who may not be necessarily looking for this information.  As a result, the manufacturer is going to give this added expression greater prominence than the </w:t>
            </w:r>
            <w:proofErr w:type="spellStart"/>
            <w:r w:rsidRPr="000C465B">
              <w:rPr>
                <w:sz w:val="20"/>
                <w:szCs w:val="20"/>
              </w:rPr>
              <w:t>DoNQ</w:t>
            </w:r>
            <w:proofErr w:type="spellEnd"/>
            <w:r w:rsidRPr="000C465B">
              <w:rPr>
                <w:sz w:val="20"/>
                <w:szCs w:val="20"/>
              </w:rPr>
              <w:t xml:space="preserve">.  In doing this, the manufacturer must ensure the visibility of the information provided in the </w:t>
            </w:r>
            <w:proofErr w:type="spellStart"/>
            <w:r w:rsidRPr="000C465B">
              <w:rPr>
                <w:sz w:val="20"/>
                <w:szCs w:val="20"/>
              </w:rPr>
              <w:t>DoNQ</w:t>
            </w:r>
            <w:proofErr w:type="spellEnd"/>
            <w:r w:rsidRPr="000C465B">
              <w:rPr>
                <w:sz w:val="20"/>
                <w:szCs w:val="20"/>
              </w:rPr>
              <w:t xml:space="preserve"> is not compromised </w:t>
            </w:r>
            <w:proofErr w:type="gramStart"/>
            <w:r w:rsidRPr="000C465B">
              <w:rPr>
                <w:sz w:val="20"/>
                <w:szCs w:val="20"/>
              </w:rPr>
              <w:t>by the use of</w:t>
            </w:r>
            <w:proofErr w:type="gramEnd"/>
            <w:r w:rsidRPr="000C465B">
              <w:rPr>
                <w:sz w:val="20"/>
                <w:szCs w:val="20"/>
              </w:rPr>
              <w:t xml:space="preserve"> fonts, colors, and contrasts which largely mask the visibility of this information at the expense of the added expressions.  </w:t>
            </w:r>
          </w:p>
          <w:p w14:paraId="3EC62145" w14:textId="77777777" w:rsidR="000C465B" w:rsidRPr="000C465B" w:rsidRDefault="000C465B" w:rsidP="000C465B">
            <w:pPr>
              <w:spacing w:after="0"/>
              <w:rPr>
                <w:sz w:val="20"/>
                <w:szCs w:val="20"/>
              </w:rPr>
            </w:pPr>
          </w:p>
          <w:p w14:paraId="51F717CD" w14:textId="77777777" w:rsidR="000C465B" w:rsidRPr="000C465B" w:rsidRDefault="000C465B" w:rsidP="000C465B">
            <w:pPr>
              <w:spacing w:after="0"/>
              <w:rPr>
                <w:sz w:val="20"/>
                <w:szCs w:val="20"/>
              </w:rPr>
            </w:pPr>
            <w:r w:rsidRPr="000C465B">
              <w:rPr>
                <w:sz w:val="20"/>
                <w:szCs w:val="20"/>
              </w:rPr>
              <w:t xml:space="preserve">In general, an expression that repeats information present in the required </w:t>
            </w:r>
            <w:proofErr w:type="spellStart"/>
            <w:r w:rsidRPr="000C465B">
              <w:rPr>
                <w:sz w:val="20"/>
                <w:szCs w:val="20"/>
              </w:rPr>
              <w:t>DoNQ</w:t>
            </w:r>
            <w:proofErr w:type="spellEnd"/>
            <w:r w:rsidRPr="000C465B">
              <w:rPr>
                <w:sz w:val="20"/>
                <w:szCs w:val="20"/>
              </w:rPr>
              <w:t xml:space="preserve"> is more likely to be useful to a consumer if it is substantially separated from the </w:t>
            </w:r>
            <w:proofErr w:type="spellStart"/>
            <w:r w:rsidRPr="000C465B">
              <w:rPr>
                <w:sz w:val="20"/>
                <w:szCs w:val="20"/>
              </w:rPr>
              <w:t>DoNQ</w:t>
            </w:r>
            <w:proofErr w:type="spellEnd"/>
            <w:r w:rsidRPr="000C465B">
              <w:rPr>
                <w:sz w:val="20"/>
                <w:szCs w:val="20"/>
              </w:rPr>
              <w:t xml:space="preserve">.  </w:t>
            </w:r>
            <w:r w:rsidRPr="000C465B">
              <w:rPr>
                <w:sz w:val="20"/>
                <w:szCs w:val="20"/>
              </w:rPr>
              <w:lastRenderedPageBreak/>
              <w:t xml:space="preserve">Similarly, an expression that provides quantity-related information that is not present in </w:t>
            </w:r>
            <w:proofErr w:type="spellStart"/>
            <w:r w:rsidRPr="000C465B">
              <w:rPr>
                <w:sz w:val="20"/>
                <w:szCs w:val="20"/>
              </w:rPr>
              <w:t>DoNQ</w:t>
            </w:r>
            <w:proofErr w:type="spellEnd"/>
            <w:r w:rsidRPr="000C465B">
              <w:rPr>
                <w:sz w:val="20"/>
                <w:szCs w:val="20"/>
              </w:rPr>
              <w:t xml:space="preserve">, (for example, count for a package labeled by weight) may be more useful to a consumer if it is located closer to the </w:t>
            </w:r>
            <w:proofErr w:type="spellStart"/>
            <w:r w:rsidRPr="000C465B">
              <w:rPr>
                <w:sz w:val="20"/>
                <w:szCs w:val="20"/>
              </w:rPr>
              <w:t>DoNQ</w:t>
            </w:r>
            <w:proofErr w:type="spellEnd"/>
            <w:r w:rsidRPr="000C465B">
              <w:rPr>
                <w:sz w:val="20"/>
                <w:szCs w:val="20"/>
              </w:rPr>
              <w:t xml:space="preserve"> since the consumer will look for and benefit from having all the net quantity-related information in one general area of the product label.  Mixing fonts and using icons as part of the added expression can be effective ways to help facilitate conveying additional information in a manner that is clearly separate from </w:t>
            </w:r>
            <w:proofErr w:type="gramStart"/>
            <w:r w:rsidRPr="000C465B">
              <w:rPr>
                <w:sz w:val="20"/>
                <w:szCs w:val="20"/>
              </w:rPr>
              <w:t xml:space="preserve">the </w:t>
            </w:r>
            <w:proofErr w:type="spellStart"/>
            <w:r w:rsidRPr="000C465B">
              <w:rPr>
                <w:sz w:val="20"/>
                <w:szCs w:val="20"/>
              </w:rPr>
              <w:t>DoNQ</w:t>
            </w:r>
            <w:proofErr w:type="spellEnd"/>
            <w:proofErr w:type="gramEnd"/>
            <w:r w:rsidRPr="000C465B">
              <w:rPr>
                <w:sz w:val="20"/>
                <w:szCs w:val="20"/>
              </w:rPr>
              <w:t xml:space="preserve">.   In the end, the manufacturer electing to provide additional information is responsible for ensuring the combination of the expression content and detail, size, location, font, and contrast provide information in addition to the </w:t>
            </w:r>
            <w:proofErr w:type="spellStart"/>
            <w:r w:rsidRPr="000C465B">
              <w:rPr>
                <w:sz w:val="20"/>
                <w:szCs w:val="20"/>
              </w:rPr>
              <w:t>DoNQ</w:t>
            </w:r>
            <w:proofErr w:type="spellEnd"/>
            <w:r w:rsidRPr="000C465B">
              <w:rPr>
                <w:sz w:val="20"/>
                <w:szCs w:val="20"/>
              </w:rPr>
              <w:t xml:space="preserve"> for the typical consumer.   </w:t>
            </w:r>
          </w:p>
          <w:p w14:paraId="0F58F51C" w14:textId="77777777" w:rsidR="000C465B" w:rsidRPr="000C465B" w:rsidRDefault="000C465B" w:rsidP="000C465B">
            <w:pPr>
              <w:spacing w:after="0"/>
              <w:rPr>
                <w:sz w:val="20"/>
                <w:szCs w:val="20"/>
              </w:rPr>
            </w:pPr>
          </w:p>
          <w:p w14:paraId="62BFDA48" w14:textId="77777777" w:rsidR="000C465B" w:rsidRPr="000C465B" w:rsidRDefault="000C465B" w:rsidP="000C465B">
            <w:pPr>
              <w:spacing w:after="0"/>
              <w:rPr>
                <w:sz w:val="20"/>
                <w:szCs w:val="20"/>
              </w:rPr>
            </w:pPr>
            <w:r w:rsidRPr="000C465B">
              <w:rPr>
                <w:sz w:val="20"/>
                <w:szCs w:val="20"/>
              </w:rPr>
              <w:t xml:space="preserve">When a comparative statement is planned, the manufacturer needs to determine where and how this information is best provided for the benefit of the consumer.  Since comparisons can have multiple words, which may differ in font and contrast, a manufacturer must fully consider the location and font of each individual word/term of the expression as well as the overall statement in total in to assess how this might affect the information present in the required </w:t>
            </w:r>
            <w:proofErr w:type="spellStart"/>
            <w:proofErr w:type="gramStart"/>
            <w:r w:rsidRPr="000C465B">
              <w:rPr>
                <w:sz w:val="20"/>
                <w:szCs w:val="20"/>
              </w:rPr>
              <w:t>DoNQ</w:t>
            </w:r>
            <w:proofErr w:type="spellEnd"/>
            <w:r w:rsidRPr="000C465B">
              <w:rPr>
                <w:sz w:val="20"/>
                <w:szCs w:val="20"/>
              </w:rPr>
              <w:t xml:space="preserve"> .</w:t>
            </w:r>
            <w:proofErr w:type="gramEnd"/>
            <w:r w:rsidRPr="000C465B">
              <w:rPr>
                <w:sz w:val="20"/>
                <w:szCs w:val="20"/>
              </w:rPr>
              <w:t xml:space="preserve">  </w:t>
            </w:r>
          </w:p>
          <w:p w14:paraId="7525F550" w14:textId="77777777" w:rsidR="000C465B" w:rsidRPr="000C465B" w:rsidRDefault="000C465B" w:rsidP="000C465B">
            <w:pPr>
              <w:spacing w:after="0"/>
              <w:rPr>
                <w:sz w:val="20"/>
                <w:szCs w:val="20"/>
              </w:rPr>
            </w:pPr>
          </w:p>
          <w:p w14:paraId="4C40F340" w14:textId="77777777" w:rsidR="000C465B" w:rsidRPr="000C465B" w:rsidRDefault="000C465B" w:rsidP="000C465B">
            <w:pPr>
              <w:spacing w:after="0"/>
              <w:rPr>
                <w:sz w:val="20"/>
                <w:szCs w:val="20"/>
              </w:rPr>
            </w:pPr>
            <w:r w:rsidRPr="000C465B">
              <w:rPr>
                <w:sz w:val="20"/>
                <w:szCs w:val="20"/>
              </w:rPr>
              <w:t>Examples that help illustrate recommended practices for voluntarily added quantity expressions are provided in Appendix 2.</w:t>
            </w:r>
          </w:p>
          <w:p w14:paraId="72C0BB62" w14:textId="77777777" w:rsidR="000C465B" w:rsidRPr="000C465B" w:rsidRDefault="000C465B" w:rsidP="000C465B">
            <w:pPr>
              <w:spacing w:after="0"/>
              <w:rPr>
                <w:sz w:val="20"/>
                <w:szCs w:val="20"/>
              </w:rPr>
            </w:pPr>
            <w:r w:rsidRPr="000C465B">
              <w:rPr>
                <w:sz w:val="20"/>
                <w:szCs w:val="20"/>
              </w:rPr>
              <w:t xml:space="preserve"> </w:t>
            </w:r>
          </w:p>
        </w:tc>
      </w:tr>
      <w:tr w:rsidR="000C465B" w:rsidRPr="000C465B" w14:paraId="1D0931D8" w14:textId="77777777" w:rsidTr="005F0F3E">
        <w:tc>
          <w:tcPr>
            <w:tcW w:w="2221" w:type="dxa"/>
          </w:tcPr>
          <w:p w14:paraId="77514545" w14:textId="77777777" w:rsidR="000C465B" w:rsidRPr="000C465B" w:rsidRDefault="000C465B" w:rsidP="000C465B">
            <w:pPr>
              <w:spacing w:after="0"/>
              <w:jc w:val="left"/>
              <w:rPr>
                <w:sz w:val="20"/>
                <w:szCs w:val="20"/>
              </w:rPr>
            </w:pPr>
            <w:r w:rsidRPr="000C465B">
              <w:rPr>
                <w:sz w:val="20"/>
                <w:szCs w:val="20"/>
              </w:rPr>
              <w:lastRenderedPageBreak/>
              <w:t>6. Expression information must be   relevant to the consumer purchasing or using the product.</w:t>
            </w:r>
          </w:p>
          <w:p w14:paraId="03DB54B7" w14:textId="77777777" w:rsidR="000C465B" w:rsidRPr="000C465B" w:rsidRDefault="000C465B" w:rsidP="000C465B">
            <w:pPr>
              <w:spacing w:after="0"/>
              <w:jc w:val="left"/>
              <w:rPr>
                <w:sz w:val="20"/>
                <w:szCs w:val="20"/>
              </w:rPr>
            </w:pPr>
          </w:p>
          <w:p w14:paraId="104DB2A5" w14:textId="77777777" w:rsidR="000C465B" w:rsidRPr="000C465B" w:rsidRDefault="000C465B" w:rsidP="000C465B">
            <w:pPr>
              <w:spacing w:after="0"/>
              <w:jc w:val="left"/>
              <w:rPr>
                <w:i/>
                <w:iCs/>
                <w:sz w:val="20"/>
                <w:szCs w:val="20"/>
              </w:rPr>
            </w:pPr>
            <w:r w:rsidRPr="000C465B">
              <w:rPr>
                <w:i/>
                <w:iCs/>
                <w:sz w:val="20"/>
                <w:szCs w:val="20"/>
              </w:rPr>
              <w:t>Are the conditions of use well defined and do the statements reflect real-life usage expectations?</w:t>
            </w:r>
          </w:p>
          <w:p w14:paraId="0FCB2655" w14:textId="77777777" w:rsidR="000C465B" w:rsidRPr="000C465B" w:rsidRDefault="000C465B" w:rsidP="000C465B">
            <w:pPr>
              <w:spacing w:after="0"/>
              <w:jc w:val="left"/>
              <w:rPr>
                <w:sz w:val="20"/>
                <w:szCs w:val="20"/>
              </w:rPr>
            </w:pPr>
          </w:p>
          <w:p w14:paraId="7F8A3BCE" w14:textId="77777777" w:rsidR="000C465B" w:rsidRPr="000C465B" w:rsidRDefault="000C465B" w:rsidP="000C465B">
            <w:pPr>
              <w:spacing w:after="0"/>
              <w:jc w:val="left"/>
              <w:rPr>
                <w:sz w:val="20"/>
                <w:szCs w:val="20"/>
              </w:rPr>
            </w:pPr>
            <w:r w:rsidRPr="000C465B">
              <w:rPr>
                <w:sz w:val="20"/>
                <w:szCs w:val="20"/>
              </w:rPr>
              <w:t>(Applies to all categories)</w:t>
            </w:r>
          </w:p>
          <w:p w14:paraId="75253F20" w14:textId="77777777" w:rsidR="000C465B" w:rsidRPr="000C465B" w:rsidRDefault="000C465B" w:rsidP="000C465B">
            <w:pPr>
              <w:spacing w:after="0"/>
              <w:jc w:val="left"/>
              <w:rPr>
                <w:sz w:val="20"/>
                <w:szCs w:val="20"/>
              </w:rPr>
            </w:pPr>
          </w:p>
          <w:p w14:paraId="30F3A10B" w14:textId="77777777" w:rsidR="000C465B" w:rsidRPr="000C465B" w:rsidRDefault="000C465B" w:rsidP="000C465B">
            <w:pPr>
              <w:spacing w:after="0"/>
              <w:jc w:val="left"/>
              <w:rPr>
                <w:sz w:val="20"/>
                <w:szCs w:val="20"/>
              </w:rPr>
            </w:pPr>
            <w:r w:rsidRPr="000C465B">
              <w:rPr>
                <w:sz w:val="20"/>
                <w:szCs w:val="20"/>
              </w:rPr>
              <w:t>Important for derived unit statements and comparative statements based on derived units</w:t>
            </w:r>
          </w:p>
          <w:p w14:paraId="0D75E490" w14:textId="77777777" w:rsidR="000C465B" w:rsidRPr="000C465B" w:rsidRDefault="000C465B" w:rsidP="000C465B">
            <w:pPr>
              <w:spacing w:after="0"/>
              <w:jc w:val="left"/>
              <w:rPr>
                <w:sz w:val="20"/>
                <w:szCs w:val="20"/>
              </w:rPr>
            </w:pPr>
          </w:p>
          <w:p w14:paraId="7ECE1950" w14:textId="77777777" w:rsidR="000C465B" w:rsidRPr="000C465B" w:rsidRDefault="000C465B" w:rsidP="000C465B">
            <w:pPr>
              <w:spacing w:after="0"/>
              <w:jc w:val="left"/>
              <w:rPr>
                <w:sz w:val="20"/>
                <w:szCs w:val="20"/>
              </w:rPr>
            </w:pPr>
          </w:p>
        </w:tc>
        <w:tc>
          <w:tcPr>
            <w:tcW w:w="7129" w:type="dxa"/>
          </w:tcPr>
          <w:p w14:paraId="43AE0A53" w14:textId="77777777" w:rsidR="000C465B" w:rsidRPr="000C465B" w:rsidRDefault="000C465B" w:rsidP="000C465B">
            <w:pPr>
              <w:spacing w:after="0"/>
              <w:rPr>
                <w:sz w:val="20"/>
                <w:szCs w:val="20"/>
              </w:rPr>
            </w:pPr>
            <w:r w:rsidRPr="000C465B">
              <w:rPr>
                <w:bCs/>
                <w:sz w:val="20"/>
                <w:szCs w:val="20"/>
              </w:rPr>
              <w:t xml:space="preserve">Voluntary expressions should provide information that a consumer purchasing the product is likely to want or need to know prior to purchase.  Similarly, the voluntarily added information provided should reasonably relate </w:t>
            </w:r>
            <w:r w:rsidRPr="000C465B">
              <w:rPr>
                <w:sz w:val="20"/>
                <w:szCs w:val="20"/>
              </w:rPr>
              <w:t xml:space="preserve">to how a normal user would use the product.  </w:t>
            </w:r>
          </w:p>
          <w:p w14:paraId="06CEDA2A" w14:textId="77777777" w:rsidR="000C465B" w:rsidRPr="000C465B" w:rsidRDefault="000C465B" w:rsidP="000C465B">
            <w:pPr>
              <w:spacing w:after="0"/>
              <w:rPr>
                <w:sz w:val="20"/>
                <w:szCs w:val="20"/>
              </w:rPr>
            </w:pPr>
          </w:p>
          <w:p w14:paraId="48941FBA" w14:textId="77777777" w:rsidR="000C465B" w:rsidRPr="000C465B" w:rsidRDefault="000C465B" w:rsidP="000C465B">
            <w:pPr>
              <w:spacing w:after="0"/>
              <w:rPr>
                <w:sz w:val="20"/>
                <w:szCs w:val="20"/>
              </w:rPr>
            </w:pPr>
            <w:r w:rsidRPr="000C465B">
              <w:rPr>
                <w:sz w:val="20"/>
                <w:szCs w:val="20"/>
              </w:rPr>
              <w:t xml:space="preserve">Statements about reconstitution can help educate consumers about product quantity, especially when similar products are present in different product forms such as ready-to-use liquids, liquid concentrates, and solids.  For example, an expression containing information about the amount of product a consumer can expect when package contents are </w:t>
            </w:r>
            <w:proofErr w:type="gramStart"/>
            <w:r w:rsidRPr="000C465B">
              <w:rPr>
                <w:sz w:val="20"/>
                <w:szCs w:val="20"/>
              </w:rPr>
              <w:t>reconstituted</w:t>
            </w:r>
            <w:proofErr w:type="gramEnd"/>
            <w:r w:rsidRPr="000C465B">
              <w:rPr>
                <w:sz w:val="20"/>
                <w:szCs w:val="20"/>
              </w:rPr>
              <w:t xml:space="preserve"> should relate to the purpose of that product.  Knowing the contents of a package reliably prepares 5 gallons or 10 gallons of drink can be useful when a consumer is planning to provide beverages for a large group or has a dispenser with a 5-gallon capacity.  </w:t>
            </w:r>
          </w:p>
          <w:p w14:paraId="7591EB53" w14:textId="77777777" w:rsidR="000C465B" w:rsidRPr="000C465B" w:rsidRDefault="000C465B" w:rsidP="000C465B">
            <w:pPr>
              <w:spacing w:after="0"/>
              <w:rPr>
                <w:sz w:val="20"/>
                <w:szCs w:val="20"/>
              </w:rPr>
            </w:pPr>
          </w:p>
          <w:p w14:paraId="79FDB74D" w14:textId="77777777" w:rsidR="000C465B" w:rsidRPr="000C465B" w:rsidRDefault="000C465B" w:rsidP="000C465B">
            <w:pPr>
              <w:spacing w:after="0"/>
              <w:rPr>
                <w:sz w:val="20"/>
                <w:szCs w:val="20"/>
              </w:rPr>
            </w:pPr>
            <w:r w:rsidRPr="000C465B">
              <w:rPr>
                <w:sz w:val="20"/>
                <w:szCs w:val="20"/>
              </w:rPr>
              <w:t xml:space="preserve">Similarly, an expression providing information in terms of a recognizable derived unit is more helpful and relevant to a consumer when the product is used in a regular and consistent manner by most users.  For example, providing health or medicinal information based on “uses” or “doses” can be useful to consumers as they consider how long they might need to want to use the product.  Similarly, providing laundry product information based on “loads” can be useful in helping consumers relate to varying degrees of product concentration, especially when a dosing cup is provided to reinforce the quantity expression.  Generally, a derived unit expression should have a logical or research-based rationale for why this information is useful to consumers.  </w:t>
            </w:r>
          </w:p>
          <w:p w14:paraId="156DF166" w14:textId="77777777" w:rsidR="000C465B" w:rsidRPr="000C465B" w:rsidRDefault="000C465B" w:rsidP="000C465B">
            <w:pPr>
              <w:spacing w:after="0"/>
              <w:rPr>
                <w:sz w:val="20"/>
                <w:szCs w:val="20"/>
              </w:rPr>
            </w:pPr>
          </w:p>
          <w:p w14:paraId="35D2833D" w14:textId="77777777" w:rsidR="000C465B" w:rsidRPr="000C465B" w:rsidRDefault="000C465B" w:rsidP="000C465B">
            <w:pPr>
              <w:spacing w:after="0"/>
              <w:rPr>
                <w:sz w:val="20"/>
                <w:szCs w:val="20"/>
              </w:rPr>
            </w:pPr>
            <w:r w:rsidRPr="000C465B">
              <w:rPr>
                <w:sz w:val="20"/>
                <w:szCs w:val="20"/>
              </w:rPr>
              <w:t xml:space="preserve">On the other hand, statements such as “Makes 60 Waffles” or “Washes 18 Floors” may be less helpful or useful due to variability in factors associated with making waffles such as ingredients, equipment, and actual size, or with the size of rooms in a house, variation in product concentration, differences in expected performance.   In these instances, the relevance of the declaration seems less uniform, and the specificity of the expression is less likely to apply broadly to a large subset of consumers.  </w:t>
            </w:r>
          </w:p>
          <w:p w14:paraId="680182F0" w14:textId="77777777" w:rsidR="000C465B" w:rsidRPr="000C465B" w:rsidRDefault="000C465B" w:rsidP="000C465B">
            <w:pPr>
              <w:spacing w:after="0"/>
              <w:rPr>
                <w:sz w:val="20"/>
                <w:szCs w:val="20"/>
              </w:rPr>
            </w:pPr>
          </w:p>
        </w:tc>
      </w:tr>
      <w:tr w:rsidR="000C465B" w:rsidRPr="000C465B" w14:paraId="42041DC0" w14:textId="77777777" w:rsidTr="005F0F3E">
        <w:tc>
          <w:tcPr>
            <w:tcW w:w="2221" w:type="dxa"/>
          </w:tcPr>
          <w:p w14:paraId="04C9DA3A" w14:textId="77777777" w:rsidR="000C465B" w:rsidRPr="000C465B" w:rsidRDefault="000C465B" w:rsidP="000C465B">
            <w:pPr>
              <w:spacing w:after="0"/>
              <w:jc w:val="left"/>
              <w:rPr>
                <w:sz w:val="20"/>
                <w:szCs w:val="20"/>
              </w:rPr>
            </w:pPr>
            <w:r w:rsidRPr="000C465B">
              <w:rPr>
                <w:sz w:val="20"/>
                <w:szCs w:val="20"/>
              </w:rPr>
              <w:lastRenderedPageBreak/>
              <w:t>7. Expressions should not conflict with units of Legal Metrology</w:t>
            </w:r>
          </w:p>
          <w:p w14:paraId="4EC5A3BC" w14:textId="77777777" w:rsidR="000C465B" w:rsidRPr="000C465B" w:rsidRDefault="000C465B" w:rsidP="000C465B">
            <w:pPr>
              <w:spacing w:after="0"/>
              <w:jc w:val="left"/>
              <w:rPr>
                <w:sz w:val="20"/>
                <w:szCs w:val="20"/>
              </w:rPr>
            </w:pPr>
          </w:p>
          <w:p w14:paraId="0F2733C6" w14:textId="77777777" w:rsidR="000C465B" w:rsidRPr="000C465B" w:rsidRDefault="000C465B" w:rsidP="000C465B">
            <w:pPr>
              <w:spacing w:after="0"/>
              <w:jc w:val="left"/>
              <w:rPr>
                <w:i/>
                <w:iCs/>
                <w:sz w:val="20"/>
                <w:szCs w:val="20"/>
              </w:rPr>
            </w:pPr>
            <w:r w:rsidRPr="000C465B">
              <w:rPr>
                <w:i/>
                <w:iCs/>
                <w:sz w:val="20"/>
                <w:szCs w:val="20"/>
              </w:rPr>
              <w:t xml:space="preserve">Is the expression consistent with units of Legal Metrology? </w:t>
            </w:r>
          </w:p>
          <w:p w14:paraId="6DF9E98D" w14:textId="77777777" w:rsidR="000C465B" w:rsidRPr="000C465B" w:rsidRDefault="000C465B" w:rsidP="000C465B">
            <w:pPr>
              <w:spacing w:after="0"/>
              <w:jc w:val="left"/>
              <w:rPr>
                <w:i/>
                <w:iCs/>
                <w:sz w:val="20"/>
                <w:szCs w:val="20"/>
              </w:rPr>
            </w:pPr>
            <w:r w:rsidRPr="000C465B">
              <w:rPr>
                <w:i/>
                <w:iCs/>
                <w:sz w:val="20"/>
                <w:szCs w:val="20"/>
              </w:rPr>
              <w:t>Is the expression exaggerating or minimizing a unit of measure?</w:t>
            </w:r>
          </w:p>
          <w:p w14:paraId="2781B006" w14:textId="77777777" w:rsidR="000C465B" w:rsidRPr="000C465B" w:rsidRDefault="000C465B" w:rsidP="000C465B">
            <w:pPr>
              <w:spacing w:after="0"/>
              <w:jc w:val="left"/>
              <w:rPr>
                <w:sz w:val="20"/>
                <w:szCs w:val="20"/>
              </w:rPr>
            </w:pPr>
          </w:p>
          <w:p w14:paraId="354A9BF0" w14:textId="77777777" w:rsidR="000C465B" w:rsidRPr="000C465B" w:rsidRDefault="000C465B" w:rsidP="000C465B">
            <w:pPr>
              <w:spacing w:after="0"/>
              <w:jc w:val="left"/>
              <w:rPr>
                <w:i/>
                <w:iCs/>
                <w:sz w:val="20"/>
                <w:szCs w:val="20"/>
              </w:rPr>
            </w:pPr>
            <w:r w:rsidRPr="000C465B">
              <w:rPr>
                <w:i/>
                <w:iCs/>
                <w:sz w:val="20"/>
                <w:szCs w:val="20"/>
              </w:rPr>
              <w:t>Does the expression have the potential to create confusion?</w:t>
            </w:r>
          </w:p>
          <w:p w14:paraId="0A4D2427" w14:textId="77777777" w:rsidR="000C465B" w:rsidRPr="000C465B" w:rsidRDefault="000C465B" w:rsidP="000C465B">
            <w:pPr>
              <w:spacing w:after="0"/>
              <w:jc w:val="left"/>
              <w:rPr>
                <w:sz w:val="20"/>
                <w:szCs w:val="20"/>
              </w:rPr>
            </w:pPr>
          </w:p>
          <w:p w14:paraId="4C70971A" w14:textId="77777777" w:rsidR="000C465B" w:rsidRPr="000C465B" w:rsidRDefault="000C465B" w:rsidP="000C465B">
            <w:pPr>
              <w:spacing w:after="0"/>
              <w:jc w:val="left"/>
              <w:rPr>
                <w:sz w:val="20"/>
                <w:szCs w:val="20"/>
              </w:rPr>
            </w:pPr>
            <w:r w:rsidRPr="000C465B">
              <w:rPr>
                <w:sz w:val="20"/>
                <w:szCs w:val="20"/>
              </w:rPr>
              <w:t>(Applies to Derived Unit Expressions (DUE’s), Comparative Quantity Representations (CQR’s) and Comparative Performance Representations (CPR’s)</w:t>
            </w:r>
          </w:p>
        </w:tc>
        <w:tc>
          <w:tcPr>
            <w:tcW w:w="7129" w:type="dxa"/>
          </w:tcPr>
          <w:p w14:paraId="16619D5C" w14:textId="77777777" w:rsidR="000C465B" w:rsidRPr="000C465B" w:rsidRDefault="000C465B" w:rsidP="000C465B">
            <w:pPr>
              <w:spacing w:after="0"/>
              <w:rPr>
                <w:sz w:val="20"/>
                <w:szCs w:val="20"/>
              </w:rPr>
            </w:pPr>
            <w:r w:rsidRPr="000C465B">
              <w:rPr>
                <w:sz w:val="20"/>
                <w:szCs w:val="20"/>
              </w:rPr>
              <w:t xml:space="preserve">Voluntary expressions that provide quantity-related information in terms of derived units should ensure the expressions do not conflict with or redefine a unit of legal metrology.   Units of legal metrology such as ounce, pound, ton, pint, quart, cup, liter, foot, inch, yard, bushel, etc., have precise definitions, and incorporating these terms into the definition of a derived unit requires careful consideration to ensure the derived unit is clear and non-misleading.  </w:t>
            </w:r>
          </w:p>
          <w:p w14:paraId="39DE8EE4" w14:textId="77777777" w:rsidR="000C465B" w:rsidRPr="000C465B" w:rsidRDefault="000C465B" w:rsidP="000C465B">
            <w:pPr>
              <w:spacing w:after="0"/>
              <w:rPr>
                <w:sz w:val="20"/>
                <w:szCs w:val="20"/>
              </w:rPr>
            </w:pPr>
          </w:p>
          <w:p w14:paraId="2A1C8AB6" w14:textId="77777777" w:rsidR="000C465B" w:rsidRPr="000C465B" w:rsidRDefault="000C465B" w:rsidP="000C465B">
            <w:pPr>
              <w:spacing w:after="0"/>
              <w:rPr>
                <w:sz w:val="20"/>
                <w:szCs w:val="20"/>
              </w:rPr>
            </w:pPr>
            <w:r w:rsidRPr="000C465B">
              <w:rPr>
                <w:sz w:val="20"/>
                <w:szCs w:val="20"/>
              </w:rPr>
              <w:t>Voluntary expressions should avoid practices that could create confusion regarding existing units of measure.  For example, federal Law prohibits any term qualifying a unit of weight, measure, or count that tends to exaggerate the amount of product in a container, such as “jumbo quart” or “full gallon”.  In addition to complying with this requirement, manufacturers should also avoid other practices that may create confusion regarding existing units of measure, such as using a “10-inch foot”.    Statements of this type provide no added value to consumers and can be viewed as misleading.</w:t>
            </w:r>
          </w:p>
          <w:p w14:paraId="24021F57" w14:textId="77777777" w:rsidR="000C465B" w:rsidRPr="000C465B" w:rsidRDefault="000C465B" w:rsidP="000C465B">
            <w:pPr>
              <w:spacing w:after="0"/>
              <w:rPr>
                <w:sz w:val="20"/>
                <w:szCs w:val="20"/>
              </w:rPr>
            </w:pPr>
          </w:p>
          <w:p w14:paraId="0079216E" w14:textId="77777777" w:rsidR="000C465B" w:rsidRPr="000C465B" w:rsidRDefault="000C465B" w:rsidP="000C465B">
            <w:pPr>
              <w:spacing w:after="0"/>
              <w:rPr>
                <w:sz w:val="20"/>
                <w:szCs w:val="20"/>
              </w:rPr>
            </w:pPr>
          </w:p>
        </w:tc>
      </w:tr>
      <w:tr w:rsidR="000C465B" w:rsidRPr="000C465B" w14:paraId="74A6FA76" w14:textId="77777777" w:rsidTr="005F0F3E">
        <w:tc>
          <w:tcPr>
            <w:tcW w:w="2221" w:type="dxa"/>
          </w:tcPr>
          <w:p w14:paraId="32F62FB6" w14:textId="77777777" w:rsidR="000C465B" w:rsidRPr="000C465B" w:rsidRDefault="000C465B" w:rsidP="000C465B">
            <w:pPr>
              <w:spacing w:after="0"/>
              <w:jc w:val="left"/>
              <w:rPr>
                <w:sz w:val="20"/>
                <w:szCs w:val="20"/>
              </w:rPr>
            </w:pPr>
            <w:r w:rsidRPr="000C465B">
              <w:rPr>
                <w:sz w:val="20"/>
                <w:szCs w:val="20"/>
              </w:rPr>
              <w:t xml:space="preserve">8. Expressions containing reconstituted product information must provide directions for reconstitution on the product label.  </w:t>
            </w:r>
          </w:p>
          <w:p w14:paraId="299119B5" w14:textId="77777777" w:rsidR="000C465B" w:rsidRPr="000C465B" w:rsidRDefault="000C465B" w:rsidP="000C465B">
            <w:pPr>
              <w:spacing w:after="0"/>
              <w:jc w:val="left"/>
              <w:rPr>
                <w:sz w:val="20"/>
                <w:szCs w:val="20"/>
              </w:rPr>
            </w:pPr>
          </w:p>
          <w:p w14:paraId="3E93FE42" w14:textId="77777777" w:rsidR="000C465B" w:rsidRPr="000C465B" w:rsidRDefault="000C465B" w:rsidP="000C465B">
            <w:pPr>
              <w:spacing w:after="0"/>
              <w:jc w:val="left"/>
              <w:rPr>
                <w:sz w:val="20"/>
                <w:szCs w:val="20"/>
              </w:rPr>
            </w:pPr>
            <w:r w:rsidRPr="000C465B">
              <w:rPr>
                <w:sz w:val="20"/>
                <w:szCs w:val="20"/>
              </w:rPr>
              <w:t>If an expression states how much product the package can make, the directions for how to prepare the product must be provided on the label.</w:t>
            </w:r>
          </w:p>
          <w:p w14:paraId="4E8E0B15" w14:textId="77777777" w:rsidR="000C465B" w:rsidRPr="000C465B" w:rsidRDefault="000C465B" w:rsidP="000C465B">
            <w:pPr>
              <w:spacing w:after="0"/>
              <w:jc w:val="left"/>
              <w:rPr>
                <w:sz w:val="20"/>
                <w:szCs w:val="20"/>
              </w:rPr>
            </w:pPr>
          </w:p>
          <w:p w14:paraId="3A4C0E0E" w14:textId="77777777" w:rsidR="000C465B" w:rsidRPr="000C465B" w:rsidRDefault="000C465B" w:rsidP="000C465B">
            <w:pPr>
              <w:spacing w:after="0"/>
              <w:jc w:val="left"/>
              <w:rPr>
                <w:sz w:val="20"/>
                <w:szCs w:val="20"/>
              </w:rPr>
            </w:pPr>
            <w:r w:rsidRPr="000C465B">
              <w:rPr>
                <w:sz w:val="20"/>
                <w:szCs w:val="20"/>
              </w:rPr>
              <w:t xml:space="preserve">(Applies to REQ’s) </w:t>
            </w:r>
          </w:p>
        </w:tc>
        <w:tc>
          <w:tcPr>
            <w:tcW w:w="7129" w:type="dxa"/>
          </w:tcPr>
          <w:p w14:paraId="12C3F85E" w14:textId="77777777" w:rsidR="000C465B" w:rsidRPr="000C465B" w:rsidRDefault="000C465B" w:rsidP="000C465B">
            <w:pPr>
              <w:spacing w:after="0"/>
              <w:rPr>
                <w:sz w:val="20"/>
                <w:szCs w:val="20"/>
              </w:rPr>
            </w:pPr>
            <w:r w:rsidRPr="000C465B">
              <w:rPr>
                <w:sz w:val="20"/>
                <w:szCs w:val="20"/>
              </w:rPr>
              <w:t xml:space="preserve">When a Reconstituted Expression of Quantity (REQ) is present on the Principal Display Panel (PDP), the manufacturer also must provide information on the package label clearly detailing how the product is recommended to be reconstituted for consumer inspection prior to product purchase. Consumers should be able to tell what other products, ingredients, or equipment will be needed to prepare the product for use. A consumer should be able to readily view and accurately understand the directions to reconstitute the product prior to making a purchase decision.  </w:t>
            </w:r>
          </w:p>
          <w:p w14:paraId="031BFA5B" w14:textId="77777777" w:rsidR="000C465B" w:rsidRPr="000C465B" w:rsidRDefault="000C465B" w:rsidP="000C465B">
            <w:pPr>
              <w:spacing w:after="0"/>
              <w:rPr>
                <w:sz w:val="20"/>
                <w:szCs w:val="20"/>
              </w:rPr>
            </w:pPr>
          </w:p>
          <w:p w14:paraId="63601E1E" w14:textId="77777777" w:rsidR="000C465B" w:rsidRPr="000C465B" w:rsidRDefault="000C465B" w:rsidP="000C465B">
            <w:pPr>
              <w:spacing w:after="0"/>
              <w:rPr>
                <w:sz w:val="20"/>
                <w:szCs w:val="20"/>
              </w:rPr>
            </w:pPr>
            <w:r w:rsidRPr="000C465B">
              <w:rPr>
                <w:sz w:val="20"/>
                <w:szCs w:val="20"/>
              </w:rPr>
              <w:t xml:space="preserve">The information detailing the reconstitution directions should be located on the outer package (not on the bottom of the package) for consumer inspection prior to product purchase.  The location, size and appearance of this accompanying information should be sized appropriately to ensure a consumer can readily find this information either before purchase or during use.  </w:t>
            </w:r>
          </w:p>
          <w:p w14:paraId="7970536B" w14:textId="77777777" w:rsidR="000C465B" w:rsidRPr="000C465B" w:rsidRDefault="000C465B" w:rsidP="000C465B">
            <w:pPr>
              <w:spacing w:after="0"/>
              <w:rPr>
                <w:sz w:val="20"/>
                <w:szCs w:val="20"/>
              </w:rPr>
            </w:pPr>
          </w:p>
          <w:p w14:paraId="653D1DA4" w14:textId="77777777" w:rsidR="000C465B" w:rsidRPr="000C465B" w:rsidRDefault="000C465B" w:rsidP="000C465B">
            <w:pPr>
              <w:spacing w:after="0"/>
              <w:rPr>
                <w:sz w:val="20"/>
                <w:szCs w:val="20"/>
              </w:rPr>
            </w:pPr>
            <w:r w:rsidRPr="000C465B">
              <w:rPr>
                <w:bCs/>
                <w:sz w:val="20"/>
                <w:szCs w:val="20"/>
              </w:rPr>
              <w:t xml:space="preserve">A package can provide reconstitution details for how to prepare the entire package contents or a portion of the contents.  For example, when a product </w:t>
            </w:r>
            <w:proofErr w:type="gramStart"/>
            <w:r w:rsidRPr="000C465B">
              <w:rPr>
                <w:bCs/>
                <w:sz w:val="20"/>
                <w:szCs w:val="20"/>
              </w:rPr>
              <w:t>states</w:t>
            </w:r>
            <w:proofErr w:type="gramEnd"/>
            <w:r w:rsidRPr="000C465B">
              <w:rPr>
                <w:bCs/>
                <w:sz w:val="20"/>
                <w:szCs w:val="20"/>
              </w:rPr>
              <w:t xml:space="preserve"> “Makes 64 quarts”, providing consumers with directions for making 2 quarts is encouraged since it is more practical for most consumers not to make all 64 quarts at one time in one container.</w:t>
            </w:r>
          </w:p>
        </w:tc>
      </w:tr>
      <w:tr w:rsidR="000C465B" w:rsidRPr="000C465B" w14:paraId="10301057" w14:textId="77777777" w:rsidTr="005F0F3E">
        <w:trPr>
          <w:trHeight w:val="70"/>
        </w:trPr>
        <w:tc>
          <w:tcPr>
            <w:tcW w:w="2221" w:type="dxa"/>
          </w:tcPr>
          <w:p w14:paraId="44E3718F" w14:textId="77777777" w:rsidR="000C465B" w:rsidRPr="000C465B" w:rsidRDefault="000C465B" w:rsidP="000C465B">
            <w:pPr>
              <w:spacing w:after="0"/>
              <w:jc w:val="left"/>
              <w:rPr>
                <w:sz w:val="20"/>
                <w:szCs w:val="20"/>
              </w:rPr>
            </w:pPr>
            <w:r w:rsidRPr="000C465B">
              <w:rPr>
                <w:sz w:val="20"/>
                <w:szCs w:val="20"/>
              </w:rPr>
              <w:t>9. Expressions containing Derived Units must provide a definition of that unit on the package label.</w:t>
            </w:r>
          </w:p>
          <w:p w14:paraId="64885BFB" w14:textId="77777777" w:rsidR="000C465B" w:rsidRPr="000C465B" w:rsidRDefault="000C465B" w:rsidP="000C465B">
            <w:pPr>
              <w:spacing w:after="0"/>
              <w:jc w:val="left"/>
              <w:rPr>
                <w:sz w:val="20"/>
                <w:szCs w:val="20"/>
              </w:rPr>
            </w:pPr>
          </w:p>
          <w:p w14:paraId="5E3D8EA3" w14:textId="77777777" w:rsidR="000C465B" w:rsidRPr="000C465B" w:rsidRDefault="000C465B" w:rsidP="000C465B">
            <w:pPr>
              <w:spacing w:after="0"/>
              <w:jc w:val="left"/>
              <w:rPr>
                <w:sz w:val="20"/>
                <w:szCs w:val="20"/>
              </w:rPr>
            </w:pPr>
            <w:r w:rsidRPr="000C465B">
              <w:rPr>
                <w:sz w:val="20"/>
                <w:szCs w:val="20"/>
              </w:rPr>
              <w:t xml:space="preserve">If an expression conveys a quantity in   terms of a Unit that is not defined in Legal Metrology, the Unit must be adequately </w:t>
            </w:r>
            <w:r w:rsidRPr="000C465B">
              <w:rPr>
                <w:sz w:val="20"/>
                <w:szCs w:val="20"/>
              </w:rPr>
              <w:lastRenderedPageBreak/>
              <w:t>defined on the label. information</w:t>
            </w:r>
          </w:p>
          <w:p w14:paraId="7A95F6FA" w14:textId="77777777" w:rsidR="000C465B" w:rsidRPr="000C465B" w:rsidRDefault="000C465B" w:rsidP="000C465B">
            <w:pPr>
              <w:spacing w:after="0"/>
              <w:jc w:val="left"/>
              <w:rPr>
                <w:sz w:val="20"/>
                <w:szCs w:val="20"/>
              </w:rPr>
            </w:pPr>
          </w:p>
          <w:p w14:paraId="6630C702" w14:textId="77777777" w:rsidR="000C465B" w:rsidRPr="000C465B" w:rsidRDefault="000C465B" w:rsidP="000C465B">
            <w:pPr>
              <w:spacing w:after="0"/>
              <w:jc w:val="left"/>
              <w:rPr>
                <w:sz w:val="20"/>
                <w:szCs w:val="20"/>
              </w:rPr>
            </w:pPr>
            <w:r w:rsidRPr="000C465B">
              <w:rPr>
                <w:sz w:val="20"/>
                <w:szCs w:val="20"/>
              </w:rPr>
              <w:t>(Applies to Derived Unit Expressions (DUE’s), Comparative Quantity Representations (CQR’s) and Comparative Performance Representations (CPR’s)</w:t>
            </w:r>
          </w:p>
        </w:tc>
        <w:tc>
          <w:tcPr>
            <w:tcW w:w="7129" w:type="dxa"/>
          </w:tcPr>
          <w:p w14:paraId="784F9108" w14:textId="77777777" w:rsidR="000C465B" w:rsidRPr="000C465B" w:rsidRDefault="000C465B" w:rsidP="000C465B">
            <w:pPr>
              <w:spacing w:after="0"/>
              <w:rPr>
                <w:sz w:val="20"/>
                <w:szCs w:val="20"/>
              </w:rPr>
            </w:pPr>
            <w:r w:rsidRPr="000C465B">
              <w:rPr>
                <w:sz w:val="20"/>
                <w:szCs w:val="20"/>
              </w:rPr>
              <w:lastRenderedPageBreak/>
              <w:t xml:space="preserve">A consumer should be able to readily view and accurately understand a derived unit statement prior to making a purchase decision.  Since a derived unit is not a recognized unit of Legal Metrology, information that defines, and, if necessary, explains the derived unit to ensure consumer understanding should be provided.   </w:t>
            </w:r>
          </w:p>
          <w:p w14:paraId="1F7BE308" w14:textId="77777777" w:rsidR="000C465B" w:rsidRPr="000C465B" w:rsidRDefault="000C465B" w:rsidP="000C465B">
            <w:pPr>
              <w:spacing w:after="0"/>
              <w:rPr>
                <w:sz w:val="20"/>
                <w:szCs w:val="20"/>
              </w:rPr>
            </w:pPr>
          </w:p>
          <w:p w14:paraId="6EC17EF3" w14:textId="77777777" w:rsidR="000C465B" w:rsidRPr="000C465B" w:rsidRDefault="000C465B" w:rsidP="000C465B">
            <w:pPr>
              <w:spacing w:after="0"/>
              <w:rPr>
                <w:sz w:val="20"/>
                <w:szCs w:val="20"/>
              </w:rPr>
            </w:pPr>
            <w:r w:rsidRPr="000C465B">
              <w:rPr>
                <w:sz w:val="20"/>
                <w:szCs w:val="20"/>
              </w:rPr>
              <w:t xml:space="preserve">The information defining and explaining the derived unit should be located on the outer package (not on the bottom of the package) for consumer inspection prior to product purchase.  The location, size, and appearance of this accompanying information should be consistent with the required regulatory language, such as the required product responsible party statement.  Consistent with such requirements, the information must be legible and may be placed on the side or back panels of the package.  It may have a </w:t>
            </w:r>
            <w:r w:rsidRPr="000C465B">
              <w:rPr>
                <w:sz w:val="20"/>
                <w:szCs w:val="20"/>
              </w:rPr>
              <w:lastRenderedPageBreak/>
              <w:t>font smaller than that required for the Declaration of Net Quantity (</w:t>
            </w:r>
            <w:proofErr w:type="spellStart"/>
            <w:r w:rsidRPr="000C465B">
              <w:rPr>
                <w:sz w:val="20"/>
                <w:szCs w:val="20"/>
              </w:rPr>
              <w:t>DoNQ</w:t>
            </w:r>
            <w:proofErr w:type="spellEnd"/>
            <w:r w:rsidRPr="000C465B">
              <w:rPr>
                <w:sz w:val="20"/>
                <w:szCs w:val="20"/>
              </w:rPr>
              <w:t xml:space="preserve">), which is often larger than other required text. </w:t>
            </w:r>
          </w:p>
        </w:tc>
      </w:tr>
      <w:tr w:rsidR="000C465B" w:rsidRPr="000C465B" w14:paraId="1D83E329" w14:textId="77777777" w:rsidTr="005F0F3E">
        <w:trPr>
          <w:cantSplit/>
        </w:trPr>
        <w:tc>
          <w:tcPr>
            <w:tcW w:w="2221" w:type="dxa"/>
          </w:tcPr>
          <w:p w14:paraId="1EEF87FD" w14:textId="77777777" w:rsidR="000C465B" w:rsidRPr="000C465B" w:rsidRDefault="000C465B" w:rsidP="000C465B">
            <w:pPr>
              <w:spacing w:after="0"/>
              <w:jc w:val="left"/>
              <w:rPr>
                <w:sz w:val="20"/>
                <w:szCs w:val="20"/>
              </w:rPr>
            </w:pPr>
          </w:p>
          <w:p w14:paraId="6640B918" w14:textId="77777777" w:rsidR="000C465B" w:rsidRPr="000C465B" w:rsidRDefault="000C465B" w:rsidP="000C465B">
            <w:pPr>
              <w:spacing w:after="0"/>
              <w:jc w:val="left"/>
              <w:rPr>
                <w:sz w:val="20"/>
                <w:szCs w:val="20"/>
              </w:rPr>
            </w:pPr>
            <w:r w:rsidRPr="000C465B">
              <w:rPr>
                <w:sz w:val="20"/>
                <w:szCs w:val="20"/>
              </w:rPr>
              <w:t xml:space="preserve">10. Expressions that employ the same Derived Unit term must use the same definition for the Derived Unit. </w:t>
            </w:r>
          </w:p>
          <w:p w14:paraId="5C09B2CC" w14:textId="77777777" w:rsidR="000C465B" w:rsidRPr="000C465B" w:rsidRDefault="000C465B" w:rsidP="000C465B">
            <w:pPr>
              <w:spacing w:after="0"/>
              <w:jc w:val="left"/>
              <w:rPr>
                <w:sz w:val="20"/>
                <w:szCs w:val="20"/>
              </w:rPr>
            </w:pPr>
          </w:p>
          <w:p w14:paraId="7B1D1738" w14:textId="77777777" w:rsidR="000C465B" w:rsidRPr="000C465B" w:rsidRDefault="000C465B" w:rsidP="000C465B">
            <w:pPr>
              <w:spacing w:after="0"/>
              <w:jc w:val="left"/>
              <w:rPr>
                <w:sz w:val="20"/>
                <w:szCs w:val="20"/>
              </w:rPr>
            </w:pPr>
            <w:r w:rsidRPr="000C465B">
              <w:rPr>
                <w:sz w:val="20"/>
                <w:szCs w:val="20"/>
              </w:rPr>
              <w:t xml:space="preserve">The definition for that  </w:t>
            </w:r>
          </w:p>
          <w:p w14:paraId="2610BAC1" w14:textId="77777777" w:rsidR="000C465B" w:rsidRPr="000C465B" w:rsidRDefault="000C465B" w:rsidP="000C465B">
            <w:pPr>
              <w:spacing w:after="0"/>
              <w:jc w:val="left"/>
              <w:rPr>
                <w:sz w:val="20"/>
                <w:szCs w:val="20"/>
              </w:rPr>
            </w:pPr>
            <w:r w:rsidRPr="000C465B">
              <w:rPr>
                <w:sz w:val="20"/>
                <w:szCs w:val="20"/>
              </w:rPr>
              <w:t>Derived Unit</w:t>
            </w:r>
          </w:p>
          <w:p w14:paraId="6AD937E1" w14:textId="77777777" w:rsidR="000C465B" w:rsidRPr="000C465B" w:rsidRDefault="000C465B" w:rsidP="000C465B">
            <w:pPr>
              <w:spacing w:after="0"/>
              <w:jc w:val="left"/>
              <w:rPr>
                <w:sz w:val="20"/>
                <w:szCs w:val="20"/>
              </w:rPr>
            </w:pPr>
            <w:r w:rsidRPr="000C465B">
              <w:rPr>
                <w:sz w:val="20"/>
                <w:szCs w:val="20"/>
              </w:rPr>
              <w:t>must be consistent across similar products using consistent terms amongst similar products.</w:t>
            </w:r>
          </w:p>
          <w:p w14:paraId="2A41B4AA" w14:textId="77777777" w:rsidR="000C465B" w:rsidRPr="000C465B" w:rsidRDefault="000C465B" w:rsidP="000C465B">
            <w:pPr>
              <w:spacing w:after="0"/>
              <w:jc w:val="left"/>
              <w:rPr>
                <w:sz w:val="20"/>
                <w:szCs w:val="20"/>
              </w:rPr>
            </w:pPr>
          </w:p>
          <w:p w14:paraId="35BCB666" w14:textId="77777777" w:rsidR="000C465B" w:rsidRPr="000C465B" w:rsidRDefault="000C465B" w:rsidP="000C465B">
            <w:pPr>
              <w:spacing w:after="0"/>
              <w:jc w:val="left"/>
              <w:rPr>
                <w:i/>
                <w:iCs/>
                <w:sz w:val="20"/>
                <w:szCs w:val="20"/>
              </w:rPr>
            </w:pPr>
            <w:r w:rsidRPr="000C465B">
              <w:rPr>
                <w:i/>
                <w:iCs/>
                <w:sz w:val="20"/>
                <w:szCs w:val="20"/>
              </w:rPr>
              <w:t>Is the statement based on a consistent metric and meaning within a product category?</w:t>
            </w:r>
          </w:p>
          <w:p w14:paraId="23AE3C53" w14:textId="77777777" w:rsidR="000C465B" w:rsidRPr="000C465B" w:rsidRDefault="000C465B" w:rsidP="000C465B">
            <w:pPr>
              <w:spacing w:after="0"/>
              <w:jc w:val="left"/>
              <w:rPr>
                <w:sz w:val="20"/>
                <w:szCs w:val="20"/>
              </w:rPr>
            </w:pPr>
          </w:p>
          <w:p w14:paraId="6E4D0AC0" w14:textId="77777777" w:rsidR="000C465B" w:rsidRPr="000C465B" w:rsidRDefault="000C465B" w:rsidP="000C465B">
            <w:pPr>
              <w:spacing w:after="0"/>
              <w:jc w:val="left"/>
              <w:rPr>
                <w:sz w:val="20"/>
                <w:szCs w:val="20"/>
              </w:rPr>
            </w:pPr>
            <w:r w:rsidRPr="000C465B">
              <w:rPr>
                <w:sz w:val="20"/>
                <w:szCs w:val="20"/>
              </w:rPr>
              <w:t>Important for derived unit statements and comparative statements based on derived units</w:t>
            </w:r>
          </w:p>
          <w:p w14:paraId="1CA25659" w14:textId="77777777" w:rsidR="000C465B" w:rsidRPr="000C465B" w:rsidRDefault="000C465B" w:rsidP="000C465B">
            <w:pPr>
              <w:spacing w:after="0"/>
              <w:jc w:val="left"/>
              <w:rPr>
                <w:sz w:val="20"/>
                <w:szCs w:val="20"/>
              </w:rPr>
            </w:pPr>
          </w:p>
          <w:p w14:paraId="1AD74BB5" w14:textId="77777777" w:rsidR="000C465B" w:rsidRPr="000C465B" w:rsidRDefault="000C465B" w:rsidP="000C465B">
            <w:pPr>
              <w:spacing w:after="0"/>
              <w:jc w:val="left"/>
              <w:rPr>
                <w:sz w:val="20"/>
                <w:szCs w:val="20"/>
              </w:rPr>
            </w:pPr>
            <w:r w:rsidRPr="000C465B">
              <w:rPr>
                <w:sz w:val="20"/>
                <w:szCs w:val="20"/>
              </w:rPr>
              <w:t>(Applies to Derived Unit Expressions (DUE’s), Comparative Quantity Representations (CQR’s) and Comparative Performance Representations (CPR’s)</w:t>
            </w:r>
          </w:p>
          <w:p w14:paraId="50801B25" w14:textId="77777777" w:rsidR="000C465B" w:rsidRPr="000C465B" w:rsidRDefault="000C465B" w:rsidP="000C465B">
            <w:pPr>
              <w:spacing w:after="0"/>
              <w:jc w:val="center"/>
              <w:rPr>
                <w:sz w:val="20"/>
                <w:szCs w:val="20"/>
              </w:rPr>
            </w:pPr>
          </w:p>
          <w:p w14:paraId="5D9E43B7" w14:textId="77777777" w:rsidR="000C465B" w:rsidRPr="000C465B" w:rsidRDefault="000C465B" w:rsidP="000C465B">
            <w:pPr>
              <w:spacing w:after="0"/>
              <w:jc w:val="center"/>
              <w:rPr>
                <w:sz w:val="20"/>
                <w:szCs w:val="20"/>
              </w:rPr>
            </w:pPr>
          </w:p>
        </w:tc>
        <w:tc>
          <w:tcPr>
            <w:tcW w:w="7129" w:type="dxa"/>
          </w:tcPr>
          <w:p w14:paraId="1B98A531" w14:textId="77777777" w:rsidR="000C465B" w:rsidRPr="000C465B" w:rsidRDefault="000C465B" w:rsidP="000C465B">
            <w:pPr>
              <w:spacing w:after="0"/>
              <w:rPr>
                <w:sz w:val="20"/>
                <w:szCs w:val="20"/>
              </w:rPr>
            </w:pPr>
          </w:p>
          <w:p w14:paraId="4A05F6E2" w14:textId="77777777" w:rsidR="000C465B" w:rsidRPr="000C465B" w:rsidRDefault="000C465B" w:rsidP="000C465B">
            <w:pPr>
              <w:spacing w:after="0"/>
              <w:rPr>
                <w:sz w:val="20"/>
                <w:szCs w:val="20"/>
              </w:rPr>
            </w:pPr>
            <w:r w:rsidRPr="000C465B">
              <w:rPr>
                <w:sz w:val="20"/>
                <w:szCs w:val="20"/>
              </w:rPr>
              <w:t xml:space="preserve">For statements that are not based on “units” of Legal Metrology, consumers need confidence that expressions appearing on similar and competing product packages can be applied consistently to facilitate value comparisons. Inconsistent definitions for the same “derived unit” or the use of different “derived units” by products in the same product category have the potential to confuse or mislead consumers.  </w:t>
            </w:r>
          </w:p>
          <w:p w14:paraId="61DD0AC6" w14:textId="77777777" w:rsidR="000C465B" w:rsidRPr="000C465B" w:rsidRDefault="000C465B" w:rsidP="000C465B">
            <w:pPr>
              <w:spacing w:after="0"/>
              <w:rPr>
                <w:sz w:val="20"/>
                <w:szCs w:val="20"/>
              </w:rPr>
            </w:pPr>
          </w:p>
          <w:p w14:paraId="77F3437D" w14:textId="77777777" w:rsidR="000C465B" w:rsidRPr="000C465B" w:rsidRDefault="000C465B" w:rsidP="000C465B">
            <w:pPr>
              <w:spacing w:after="0"/>
              <w:rPr>
                <w:sz w:val="20"/>
                <w:szCs w:val="20"/>
              </w:rPr>
            </w:pPr>
            <w:r w:rsidRPr="000C465B">
              <w:rPr>
                <w:sz w:val="20"/>
                <w:szCs w:val="20"/>
              </w:rPr>
              <w:t xml:space="preserve">Manufacturers using expressions containing derived units are responsible for ensuring that they help consumers and </w:t>
            </w:r>
            <w:proofErr w:type="gramStart"/>
            <w:r w:rsidRPr="000C465B">
              <w:rPr>
                <w:sz w:val="20"/>
                <w:szCs w:val="20"/>
              </w:rPr>
              <w:t>aid in</w:t>
            </w:r>
            <w:proofErr w:type="gramEnd"/>
            <w:r w:rsidRPr="000C465B">
              <w:rPr>
                <w:sz w:val="20"/>
                <w:szCs w:val="20"/>
              </w:rPr>
              <w:t xml:space="preserve"> value comparison and purchase decisions. When different definitions are used for similar products, individual companies and trade groups must work together to develop and implement consistent definitions.  </w:t>
            </w:r>
          </w:p>
          <w:p w14:paraId="4A711263" w14:textId="77777777" w:rsidR="000C465B" w:rsidRPr="000C465B" w:rsidRDefault="000C465B" w:rsidP="000C465B">
            <w:pPr>
              <w:spacing w:after="0"/>
              <w:rPr>
                <w:sz w:val="20"/>
                <w:szCs w:val="20"/>
              </w:rPr>
            </w:pPr>
          </w:p>
          <w:p w14:paraId="6EDB4318" w14:textId="77777777" w:rsidR="000C465B" w:rsidRPr="000C465B" w:rsidRDefault="000C465B" w:rsidP="000C465B">
            <w:pPr>
              <w:spacing w:after="0"/>
              <w:rPr>
                <w:sz w:val="20"/>
                <w:szCs w:val="20"/>
              </w:rPr>
            </w:pPr>
            <w:r w:rsidRPr="000C465B">
              <w:rPr>
                <w:sz w:val="20"/>
                <w:szCs w:val="20"/>
              </w:rPr>
              <w:t xml:space="preserve">For example, if competing laundry detergent packages declare the number of “loads”, consumers can rely on this declaration only if the term “loads” is defined in a common way, even if one product is a liquid, a second is a liquid concentrate, and a third is a powder.   The uniform, common definition can be defined based on common product attributes--such as a delivered concentration or a degree or recognized performance, a defined quantity of product, or another consumer-related parameter.  The key attributes of a derived unit </w:t>
            </w:r>
            <w:proofErr w:type="gramStart"/>
            <w:r w:rsidRPr="000C465B">
              <w:rPr>
                <w:sz w:val="20"/>
                <w:szCs w:val="20"/>
              </w:rPr>
              <w:t>that</w:t>
            </w:r>
            <w:proofErr w:type="gramEnd"/>
            <w:r w:rsidRPr="000C465B">
              <w:rPr>
                <w:sz w:val="20"/>
                <w:szCs w:val="20"/>
              </w:rPr>
              <w:t xml:space="preserve"> they must be objective, measurable, and verifiable by a third party.  </w:t>
            </w:r>
          </w:p>
          <w:p w14:paraId="6CA9D578" w14:textId="77777777" w:rsidR="000C465B" w:rsidRPr="000C465B" w:rsidRDefault="000C465B" w:rsidP="000C465B">
            <w:pPr>
              <w:spacing w:after="0"/>
              <w:rPr>
                <w:sz w:val="20"/>
                <w:szCs w:val="20"/>
              </w:rPr>
            </w:pPr>
          </w:p>
          <w:p w14:paraId="4A6F5035" w14:textId="77777777" w:rsidR="000C465B" w:rsidRPr="000C465B" w:rsidRDefault="000C465B" w:rsidP="000C465B">
            <w:pPr>
              <w:spacing w:after="0"/>
              <w:rPr>
                <w:sz w:val="20"/>
                <w:szCs w:val="20"/>
              </w:rPr>
            </w:pPr>
            <w:r w:rsidRPr="000C465B">
              <w:rPr>
                <w:sz w:val="20"/>
                <w:szCs w:val="20"/>
              </w:rPr>
              <w:t xml:space="preserve">Multiple definitions of a derived unit between similar products or competing products neutralize the potential benefit provided by recognizing derived units, and the prevention of multiple definitions should be aggressively enforced and policed within product categories to promote consistency and uniformity.  Similarly, the creation of </w:t>
            </w:r>
            <w:proofErr w:type="gramStart"/>
            <w:r w:rsidRPr="000C465B">
              <w:rPr>
                <w:sz w:val="20"/>
                <w:szCs w:val="20"/>
              </w:rPr>
              <w:t>similar-but-different</w:t>
            </w:r>
            <w:proofErr w:type="gramEnd"/>
            <w:r w:rsidRPr="000C465B">
              <w:rPr>
                <w:sz w:val="20"/>
                <w:szCs w:val="20"/>
              </w:rPr>
              <w:t xml:space="preserve"> </w:t>
            </w:r>
            <w:proofErr w:type="gramStart"/>
            <w:r w:rsidRPr="000C465B">
              <w:rPr>
                <w:sz w:val="20"/>
                <w:szCs w:val="20"/>
              </w:rPr>
              <w:t>derived units</w:t>
            </w:r>
            <w:proofErr w:type="gramEnd"/>
            <w:r w:rsidRPr="000C465B">
              <w:rPr>
                <w:sz w:val="20"/>
                <w:szCs w:val="20"/>
              </w:rPr>
              <w:t xml:space="preserve"> should also be avoided generally.  For example, company A should not create an “A-dose”, and company B should not create a “B-dose” to compete against other products bearing the term “dose”.     </w:t>
            </w:r>
          </w:p>
          <w:p w14:paraId="2B64E596" w14:textId="77777777" w:rsidR="000C465B" w:rsidRPr="000C465B" w:rsidRDefault="000C465B" w:rsidP="000C465B">
            <w:pPr>
              <w:spacing w:after="0"/>
              <w:rPr>
                <w:sz w:val="20"/>
                <w:szCs w:val="20"/>
              </w:rPr>
            </w:pPr>
          </w:p>
          <w:p w14:paraId="58C86749" w14:textId="77777777" w:rsidR="000C465B" w:rsidRPr="000C465B" w:rsidRDefault="000C465B" w:rsidP="000C465B">
            <w:pPr>
              <w:spacing w:after="0"/>
              <w:rPr>
                <w:sz w:val="20"/>
                <w:szCs w:val="20"/>
              </w:rPr>
            </w:pPr>
            <w:r w:rsidRPr="000C465B">
              <w:rPr>
                <w:sz w:val="20"/>
                <w:szCs w:val="20"/>
              </w:rPr>
              <w:t xml:space="preserve">Consumers need confidence that comparative statements are based on consistent terms to facilitate value comparison.  Using inconsistent terms in comparative claims has the potential to confuse or mislead consumers.  </w:t>
            </w:r>
          </w:p>
          <w:p w14:paraId="1B2F336A" w14:textId="77777777" w:rsidR="000C465B" w:rsidRPr="000C465B" w:rsidRDefault="000C465B" w:rsidP="000C465B">
            <w:pPr>
              <w:spacing w:after="0"/>
              <w:rPr>
                <w:sz w:val="20"/>
                <w:szCs w:val="20"/>
              </w:rPr>
            </w:pPr>
          </w:p>
          <w:p w14:paraId="7CD41F74" w14:textId="77777777" w:rsidR="000C465B" w:rsidRPr="000C465B" w:rsidRDefault="000C465B" w:rsidP="000C465B">
            <w:pPr>
              <w:spacing w:after="0"/>
              <w:rPr>
                <w:sz w:val="20"/>
                <w:szCs w:val="20"/>
              </w:rPr>
            </w:pPr>
          </w:p>
          <w:p w14:paraId="70C79CF3" w14:textId="77777777" w:rsidR="000C465B" w:rsidRPr="000C465B" w:rsidRDefault="000C465B" w:rsidP="000C465B">
            <w:pPr>
              <w:spacing w:after="0"/>
              <w:rPr>
                <w:sz w:val="20"/>
                <w:szCs w:val="20"/>
              </w:rPr>
            </w:pPr>
          </w:p>
          <w:p w14:paraId="34DD0133" w14:textId="77777777" w:rsidR="000C465B" w:rsidRPr="000C465B" w:rsidRDefault="000C465B" w:rsidP="000C465B">
            <w:pPr>
              <w:spacing w:after="0"/>
              <w:rPr>
                <w:sz w:val="20"/>
                <w:szCs w:val="20"/>
              </w:rPr>
            </w:pPr>
          </w:p>
        </w:tc>
      </w:tr>
      <w:tr w:rsidR="000C465B" w:rsidRPr="000C465B" w14:paraId="2F4DD858" w14:textId="77777777" w:rsidTr="005F0F3E">
        <w:trPr>
          <w:cantSplit/>
        </w:trPr>
        <w:tc>
          <w:tcPr>
            <w:tcW w:w="2221" w:type="dxa"/>
          </w:tcPr>
          <w:p w14:paraId="67AE695E" w14:textId="77777777" w:rsidR="000C465B" w:rsidRPr="000C465B" w:rsidRDefault="000C465B" w:rsidP="000C465B">
            <w:pPr>
              <w:spacing w:after="0"/>
              <w:jc w:val="left"/>
              <w:rPr>
                <w:sz w:val="20"/>
                <w:szCs w:val="20"/>
              </w:rPr>
            </w:pPr>
          </w:p>
          <w:p w14:paraId="290D344F" w14:textId="77777777" w:rsidR="000C465B" w:rsidRPr="000C465B" w:rsidRDefault="000C465B" w:rsidP="000C465B">
            <w:pPr>
              <w:spacing w:after="0"/>
              <w:jc w:val="left"/>
              <w:rPr>
                <w:sz w:val="20"/>
                <w:szCs w:val="20"/>
              </w:rPr>
            </w:pPr>
            <w:r w:rsidRPr="000C465B">
              <w:rPr>
                <w:sz w:val="20"/>
                <w:szCs w:val="20"/>
              </w:rPr>
              <w:t>11. Comparative Expressions which contain a reference to a unit of Legal Metrology must be complete and balanced statements and must appear entirely in the upper 70% of the PDP.</w:t>
            </w:r>
          </w:p>
          <w:p w14:paraId="7A9C8985" w14:textId="77777777" w:rsidR="000C465B" w:rsidRPr="000C465B" w:rsidRDefault="000C465B" w:rsidP="000C465B">
            <w:pPr>
              <w:spacing w:after="0"/>
              <w:jc w:val="left"/>
              <w:rPr>
                <w:sz w:val="20"/>
                <w:szCs w:val="20"/>
              </w:rPr>
            </w:pPr>
          </w:p>
          <w:p w14:paraId="6254B6D0" w14:textId="77777777" w:rsidR="000C465B" w:rsidRPr="000C465B" w:rsidRDefault="000C465B" w:rsidP="000C465B">
            <w:pPr>
              <w:spacing w:after="0"/>
              <w:jc w:val="left"/>
              <w:rPr>
                <w:sz w:val="20"/>
                <w:szCs w:val="20"/>
              </w:rPr>
            </w:pPr>
            <w:r w:rsidRPr="000C465B">
              <w:rPr>
                <w:sz w:val="20"/>
                <w:szCs w:val="20"/>
              </w:rPr>
              <w:t xml:space="preserve">(Applies to CQRs) </w:t>
            </w:r>
          </w:p>
          <w:p w14:paraId="66F6415F" w14:textId="77777777" w:rsidR="000C465B" w:rsidRPr="000C465B" w:rsidRDefault="000C465B" w:rsidP="000C465B">
            <w:pPr>
              <w:spacing w:after="0"/>
              <w:jc w:val="left"/>
              <w:rPr>
                <w:sz w:val="20"/>
                <w:szCs w:val="20"/>
              </w:rPr>
            </w:pPr>
          </w:p>
        </w:tc>
        <w:tc>
          <w:tcPr>
            <w:tcW w:w="7129" w:type="dxa"/>
          </w:tcPr>
          <w:p w14:paraId="1036C45D" w14:textId="77777777" w:rsidR="000C465B" w:rsidRPr="000C465B" w:rsidRDefault="000C465B" w:rsidP="000C465B">
            <w:pPr>
              <w:spacing w:after="0"/>
              <w:rPr>
                <w:bCs/>
                <w:sz w:val="20"/>
                <w:szCs w:val="20"/>
              </w:rPr>
            </w:pPr>
          </w:p>
          <w:p w14:paraId="2017D803" w14:textId="77777777" w:rsidR="000C465B" w:rsidRPr="000C465B" w:rsidRDefault="000C465B" w:rsidP="000C465B">
            <w:pPr>
              <w:spacing w:after="0"/>
              <w:rPr>
                <w:bCs/>
                <w:sz w:val="20"/>
                <w:szCs w:val="20"/>
              </w:rPr>
            </w:pPr>
            <w:proofErr w:type="gramStart"/>
            <w:r w:rsidRPr="000C465B">
              <w:rPr>
                <w:bCs/>
                <w:sz w:val="20"/>
                <w:szCs w:val="20"/>
              </w:rPr>
              <w:t>Manufacturer</w:t>
            </w:r>
            <w:proofErr w:type="gramEnd"/>
            <w:r w:rsidRPr="000C465B">
              <w:rPr>
                <w:bCs/>
                <w:sz w:val="20"/>
                <w:szCs w:val="20"/>
              </w:rPr>
              <w:t xml:space="preserve"> interest in making comparative statements on their packages has increased as new product technologies have been incorporated into products, resulting in better or longer performance, greater product efficiency, more concentrated products, and lighter-weight products.  Traditional comparisons based solely on use of product net content declarations may not provide consumers with sufficient information necessary for consumers to make a fully informed decision.  Comparative statements are one means by which manufacturers can provide information about new product forms and performance to consumers.  They are also a means by which manufacturers can compare their products to competing products.   </w:t>
            </w:r>
          </w:p>
          <w:p w14:paraId="4DC6B5B8" w14:textId="77777777" w:rsidR="000C465B" w:rsidRPr="000C465B" w:rsidRDefault="000C465B" w:rsidP="000C465B">
            <w:pPr>
              <w:spacing w:after="0"/>
              <w:rPr>
                <w:bCs/>
                <w:sz w:val="20"/>
                <w:szCs w:val="20"/>
              </w:rPr>
            </w:pPr>
          </w:p>
          <w:p w14:paraId="5B362A62" w14:textId="77777777" w:rsidR="000C465B" w:rsidRPr="000C465B" w:rsidRDefault="000C465B" w:rsidP="000C465B">
            <w:pPr>
              <w:spacing w:after="0"/>
              <w:rPr>
                <w:bCs/>
                <w:sz w:val="20"/>
                <w:szCs w:val="20"/>
              </w:rPr>
            </w:pPr>
            <w:r w:rsidRPr="000C465B">
              <w:rPr>
                <w:bCs/>
                <w:sz w:val="20"/>
                <w:szCs w:val="20"/>
              </w:rPr>
              <w:t xml:space="preserve">Manufacturers must carefully consider using comparative statements on the Principal Display panel to ensure the message is complete, clear, correct, </w:t>
            </w:r>
          </w:p>
          <w:p w14:paraId="4804E9F0" w14:textId="77777777" w:rsidR="000C465B" w:rsidRPr="000C465B" w:rsidRDefault="000C465B" w:rsidP="000C465B">
            <w:pPr>
              <w:spacing w:after="0"/>
              <w:rPr>
                <w:bCs/>
                <w:sz w:val="20"/>
                <w:szCs w:val="20"/>
              </w:rPr>
            </w:pPr>
            <w:r w:rsidRPr="000C465B">
              <w:rPr>
                <w:bCs/>
                <w:sz w:val="20"/>
                <w:szCs w:val="20"/>
              </w:rPr>
              <w:t xml:space="preserve">relevant, and non-misleading. They also need to ensure that consumers do not interpret a CQR (or parts thereof) as the required </w:t>
            </w:r>
            <w:proofErr w:type="spellStart"/>
            <w:r w:rsidRPr="000C465B">
              <w:rPr>
                <w:bCs/>
                <w:sz w:val="20"/>
                <w:szCs w:val="20"/>
              </w:rPr>
              <w:t>DoNQ</w:t>
            </w:r>
            <w:proofErr w:type="spellEnd"/>
            <w:r w:rsidRPr="000C465B">
              <w:rPr>
                <w:bCs/>
                <w:sz w:val="20"/>
                <w:szCs w:val="20"/>
              </w:rPr>
              <w:t xml:space="preserve">. </w:t>
            </w:r>
          </w:p>
          <w:p w14:paraId="7F8F6B15" w14:textId="77777777" w:rsidR="000C465B" w:rsidRPr="000C465B" w:rsidRDefault="000C465B" w:rsidP="000C465B">
            <w:pPr>
              <w:spacing w:after="0"/>
              <w:rPr>
                <w:bCs/>
                <w:sz w:val="20"/>
                <w:szCs w:val="20"/>
              </w:rPr>
            </w:pPr>
          </w:p>
          <w:p w14:paraId="3C0C0F19" w14:textId="77777777" w:rsidR="000C465B" w:rsidRPr="000C465B" w:rsidRDefault="000C465B" w:rsidP="000C465B">
            <w:pPr>
              <w:spacing w:after="0"/>
              <w:rPr>
                <w:sz w:val="20"/>
                <w:szCs w:val="20"/>
              </w:rPr>
            </w:pPr>
            <w:r w:rsidRPr="000C465B">
              <w:rPr>
                <w:bCs/>
                <w:sz w:val="20"/>
                <w:szCs w:val="20"/>
              </w:rPr>
              <w:t>Comparative Quantity Representations may provide consumers with important information but also have the potential to confuse or mislead consumers about products.  These statements can vary in length, word choice, use of icons and pictograms, the quantity(</w:t>
            </w:r>
            <w:proofErr w:type="spellStart"/>
            <w:r w:rsidRPr="000C465B">
              <w:rPr>
                <w:bCs/>
                <w:sz w:val="20"/>
                <w:szCs w:val="20"/>
              </w:rPr>
              <w:t>ies</w:t>
            </w:r>
            <w:proofErr w:type="spellEnd"/>
            <w:r w:rsidRPr="000C465B">
              <w:rPr>
                <w:bCs/>
                <w:sz w:val="20"/>
                <w:szCs w:val="20"/>
              </w:rPr>
              <w:t xml:space="preserve">) being compared, and can use limitless choices of fonts, colors, and contrasts to emphasize all or certain parts of a comparative statement.   </w:t>
            </w:r>
            <w:r w:rsidRPr="000C465B">
              <w:rPr>
                <w:sz w:val="20"/>
                <w:szCs w:val="20"/>
              </w:rPr>
              <w:t xml:space="preserve">A manufacturer must carefully consider how the CQR content, location, font, and contrast will appear in conjunction with the package’s required </w:t>
            </w:r>
            <w:proofErr w:type="spellStart"/>
            <w:r w:rsidRPr="000C465B">
              <w:rPr>
                <w:sz w:val="20"/>
                <w:szCs w:val="20"/>
              </w:rPr>
              <w:t>DoNQ</w:t>
            </w:r>
            <w:proofErr w:type="spellEnd"/>
            <w:r w:rsidRPr="000C465B">
              <w:rPr>
                <w:sz w:val="20"/>
                <w:szCs w:val="20"/>
              </w:rPr>
              <w:t xml:space="preserve"> to help facilitate consumers ability to make accurate value comparisons.  This is specifically true for a CQR since the weight or measure terms appearing in a CQR have the potential to be interpreted as </w:t>
            </w:r>
            <w:proofErr w:type="spellStart"/>
            <w:proofErr w:type="gramStart"/>
            <w:r w:rsidRPr="000C465B">
              <w:rPr>
                <w:sz w:val="20"/>
                <w:szCs w:val="20"/>
              </w:rPr>
              <w:t>aDeclaration</w:t>
            </w:r>
            <w:proofErr w:type="spellEnd"/>
            <w:proofErr w:type="gramEnd"/>
            <w:r w:rsidRPr="000C465B">
              <w:rPr>
                <w:sz w:val="20"/>
                <w:szCs w:val="20"/>
              </w:rPr>
              <w:t xml:space="preserve"> of Net Quantity.    </w:t>
            </w:r>
          </w:p>
          <w:p w14:paraId="35ABFF56" w14:textId="77777777" w:rsidR="000C465B" w:rsidRPr="000C465B" w:rsidRDefault="000C465B" w:rsidP="000C465B">
            <w:pPr>
              <w:spacing w:after="0"/>
              <w:rPr>
                <w:sz w:val="20"/>
                <w:szCs w:val="20"/>
              </w:rPr>
            </w:pPr>
          </w:p>
          <w:p w14:paraId="226F4423" w14:textId="77777777" w:rsidR="000C465B" w:rsidRPr="000C465B" w:rsidRDefault="000C465B" w:rsidP="000C465B">
            <w:pPr>
              <w:spacing w:after="0"/>
              <w:rPr>
                <w:sz w:val="20"/>
                <w:szCs w:val="20"/>
              </w:rPr>
            </w:pPr>
            <w:r w:rsidRPr="000C465B">
              <w:rPr>
                <w:sz w:val="20"/>
                <w:szCs w:val="20"/>
              </w:rPr>
              <w:t>To help ensure CQRs (or portions of the comparative statement) which contain references to units of Legal Metrology are not misinterpreted as net content information, the following is recommended:</w:t>
            </w:r>
          </w:p>
          <w:p w14:paraId="2195A78B" w14:textId="77777777" w:rsidR="000C465B" w:rsidRPr="000C465B" w:rsidRDefault="000C465B" w:rsidP="000C465B">
            <w:pPr>
              <w:spacing w:after="0"/>
              <w:rPr>
                <w:sz w:val="20"/>
                <w:szCs w:val="20"/>
              </w:rPr>
            </w:pPr>
          </w:p>
          <w:p w14:paraId="05493526" w14:textId="77777777" w:rsidR="000C465B" w:rsidRPr="000C465B" w:rsidRDefault="000C465B" w:rsidP="007169B6">
            <w:pPr>
              <w:numPr>
                <w:ilvl w:val="0"/>
                <w:numId w:val="84"/>
              </w:numPr>
              <w:spacing w:after="0"/>
              <w:contextualSpacing/>
              <w:jc w:val="left"/>
              <w:rPr>
                <w:rFonts w:eastAsia="Times New Roman"/>
                <w:sz w:val="20"/>
                <w:szCs w:val="20"/>
              </w:rPr>
            </w:pPr>
            <w:r w:rsidRPr="000C465B">
              <w:rPr>
                <w:rFonts w:eastAsia="Times New Roman"/>
                <w:sz w:val="20"/>
                <w:szCs w:val="20"/>
              </w:rPr>
              <w:t>A comparative expression comprised of one or more units of Legal Metrology must appear in its entirety in the upper 70% of the PDP or on another panel of the package.  It should not appear in total or part in the lower 30% of the PDP.</w:t>
            </w:r>
          </w:p>
          <w:p w14:paraId="6488A860" w14:textId="77777777" w:rsidR="000C465B" w:rsidRPr="000C465B" w:rsidRDefault="000C465B" w:rsidP="007169B6">
            <w:pPr>
              <w:numPr>
                <w:ilvl w:val="0"/>
                <w:numId w:val="84"/>
              </w:numPr>
              <w:spacing w:after="0"/>
              <w:contextualSpacing/>
              <w:jc w:val="left"/>
              <w:rPr>
                <w:rFonts w:eastAsia="Times New Roman"/>
                <w:sz w:val="20"/>
                <w:szCs w:val="20"/>
              </w:rPr>
            </w:pPr>
            <w:r w:rsidRPr="000C465B">
              <w:rPr>
                <w:rFonts w:eastAsia="Times New Roman"/>
                <w:sz w:val="20"/>
                <w:szCs w:val="20"/>
              </w:rPr>
              <w:t xml:space="preserve">A comparative expression comprised of one of more units of Legal Metrology must be a complete statement with clear and explicit reference to the products that are being compared.  For example, “This product provides 40% more product than the </w:t>
            </w:r>
            <w:proofErr w:type="gramStart"/>
            <w:r w:rsidRPr="000C465B">
              <w:rPr>
                <w:rFonts w:eastAsia="Times New Roman"/>
                <w:sz w:val="20"/>
                <w:szCs w:val="20"/>
              </w:rPr>
              <w:t>20 ounce</w:t>
            </w:r>
            <w:proofErr w:type="gramEnd"/>
            <w:r w:rsidRPr="000C465B">
              <w:rPr>
                <w:rFonts w:eastAsia="Times New Roman"/>
                <w:sz w:val="20"/>
                <w:szCs w:val="20"/>
              </w:rPr>
              <w:t xml:space="preserve"> size”.  Just saying “40% more product” is not a complete statement.  Use of asterisks and asterisked statements located elsewhere on the label are not recommended as means to provide a complete statement.  If a statement appears on the PDP, it must be a complete statement on the PDP.</w:t>
            </w:r>
          </w:p>
          <w:p w14:paraId="69B06634" w14:textId="77777777" w:rsidR="000C465B" w:rsidRPr="000C465B" w:rsidRDefault="000C465B" w:rsidP="000C465B">
            <w:pPr>
              <w:spacing w:after="0"/>
              <w:rPr>
                <w:bCs/>
                <w:sz w:val="20"/>
                <w:szCs w:val="20"/>
              </w:rPr>
            </w:pPr>
          </w:p>
        </w:tc>
      </w:tr>
      <w:tr w:rsidR="000C465B" w:rsidRPr="000C465B" w14:paraId="2074509D" w14:textId="77777777" w:rsidTr="005F0F3E">
        <w:trPr>
          <w:cantSplit/>
        </w:trPr>
        <w:tc>
          <w:tcPr>
            <w:tcW w:w="2221" w:type="dxa"/>
          </w:tcPr>
          <w:p w14:paraId="587180AF" w14:textId="77777777" w:rsidR="000C465B" w:rsidRPr="000C465B" w:rsidRDefault="000C465B" w:rsidP="000C465B">
            <w:pPr>
              <w:spacing w:after="0"/>
              <w:jc w:val="left"/>
              <w:rPr>
                <w:sz w:val="20"/>
                <w:szCs w:val="20"/>
              </w:rPr>
            </w:pPr>
          </w:p>
        </w:tc>
        <w:tc>
          <w:tcPr>
            <w:tcW w:w="7129" w:type="dxa"/>
          </w:tcPr>
          <w:p w14:paraId="156295D0" w14:textId="77777777" w:rsidR="000C465B" w:rsidRPr="000C465B" w:rsidRDefault="000C465B" w:rsidP="007169B6">
            <w:pPr>
              <w:numPr>
                <w:ilvl w:val="0"/>
                <w:numId w:val="84"/>
              </w:numPr>
              <w:spacing w:before="240" w:after="100" w:afterAutospacing="1"/>
              <w:contextualSpacing/>
              <w:jc w:val="left"/>
              <w:rPr>
                <w:rFonts w:eastAsia="Times New Roman"/>
                <w:sz w:val="20"/>
                <w:szCs w:val="20"/>
              </w:rPr>
            </w:pPr>
            <w:r w:rsidRPr="000C465B">
              <w:rPr>
                <w:rFonts w:eastAsia="Times New Roman"/>
                <w:sz w:val="20"/>
                <w:szCs w:val="20"/>
              </w:rPr>
              <w:t xml:space="preserve">Information gathered on comparative products should use the same testing methodology as that used for the package bearing the CQR, unless it is not technically feasible and an alternate objective test method is used. </w:t>
            </w:r>
          </w:p>
          <w:p w14:paraId="021A170C" w14:textId="77777777" w:rsidR="000C465B" w:rsidRPr="000C465B" w:rsidRDefault="000C465B" w:rsidP="000C465B">
            <w:pPr>
              <w:spacing w:before="240" w:after="100" w:afterAutospacing="1"/>
              <w:ind w:left="720"/>
              <w:contextualSpacing/>
              <w:jc w:val="left"/>
              <w:rPr>
                <w:rFonts w:eastAsia="Times New Roman"/>
                <w:sz w:val="20"/>
                <w:szCs w:val="20"/>
              </w:rPr>
            </w:pPr>
            <w:r w:rsidRPr="000C465B">
              <w:rPr>
                <w:rFonts w:eastAsia="Times New Roman"/>
                <w:sz w:val="20"/>
                <w:szCs w:val="20"/>
              </w:rPr>
              <w:t xml:space="preserve"> </w:t>
            </w:r>
          </w:p>
          <w:p w14:paraId="3DF2C99A" w14:textId="77777777" w:rsidR="000C465B" w:rsidRPr="000C465B" w:rsidRDefault="000C465B" w:rsidP="007169B6">
            <w:pPr>
              <w:numPr>
                <w:ilvl w:val="0"/>
                <w:numId w:val="84"/>
              </w:numPr>
              <w:spacing w:before="240" w:after="100" w:afterAutospacing="1"/>
              <w:contextualSpacing/>
              <w:jc w:val="left"/>
              <w:rPr>
                <w:rFonts w:eastAsia="Times New Roman"/>
                <w:sz w:val="20"/>
                <w:szCs w:val="20"/>
              </w:rPr>
            </w:pPr>
            <w:r w:rsidRPr="000C465B">
              <w:rPr>
                <w:rFonts w:eastAsia="Times New Roman"/>
                <w:sz w:val="20"/>
                <w:szCs w:val="20"/>
              </w:rPr>
              <w:t xml:space="preserve">While a CQR is not required to name another brand, it is the manufacturer's responsibility to ensure the CQR statement is accurate and valid. Although CQR accuracy is often easy to assess since the CQR and </w:t>
            </w:r>
            <w:proofErr w:type="spellStart"/>
            <w:r w:rsidRPr="000C465B">
              <w:rPr>
                <w:rFonts w:eastAsia="Times New Roman"/>
                <w:sz w:val="20"/>
                <w:szCs w:val="20"/>
              </w:rPr>
              <w:t>DoNQ</w:t>
            </w:r>
            <w:proofErr w:type="spellEnd"/>
            <w:r w:rsidRPr="000C465B">
              <w:rPr>
                <w:rFonts w:eastAsia="Times New Roman"/>
                <w:sz w:val="20"/>
                <w:szCs w:val="20"/>
              </w:rPr>
              <w:t xml:space="preserve"> are both present on the PDP, CQR statements are still required to be accurate and verifiable, should be supported by manufacturer data, and are subject to external evaluation and confirmation.</w:t>
            </w:r>
          </w:p>
          <w:p w14:paraId="262CF32A" w14:textId="77777777" w:rsidR="000C465B" w:rsidRPr="000C465B" w:rsidRDefault="000C465B" w:rsidP="000C465B">
            <w:pPr>
              <w:spacing w:before="240" w:after="100" w:afterAutospacing="1"/>
              <w:ind w:left="720"/>
              <w:contextualSpacing/>
              <w:jc w:val="left"/>
              <w:rPr>
                <w:rFonts w:eastAsia="Times New Roman"/>
                <w:sz w:val="20"/>
                <w:szCs w:val="20"/>
              </w:rPr>
            </w:pPr>
          </w:p>
          <w:p w14:paraId="2579510D" w14:textId="77777777" w:rsidR="000C465B" w:rsidRPr="000C465B" w:rsidRDefault="000C465B" w:rsidP="007169B6">
            <w:pPr>
              <w:numPr>
                <w:ilvl w:val="0"/>
                <w:numId w:val="84"/>
              </w:numPr>
              <w:spacing w:before="240" w:after="100" w:afterAutospacing="1"/>
              <w:contextualSpacing/>
              <w:jc w:val="left"/>
              <w:rPr>
                <w:rFonts w:eastAsia="Times New Roman"/>
                <w:sz w:val="20"/>
                <w:szCs w:val="20"/>
              </w:rPr>
            </w:pPr>
            <w:r w:rsidRPr="000C465B">
              <w:rPr>
                <w:rFonts w:eastAsia="Times New Roman"/>
                <w:sz w:val="20"/>
                <w:szCs w:val="20"/>
              </w:rPr>
              <w:t xml:space="preserve">A comparative expression comprised of one or more units of Legal Metrology must provide equal emphasis on the units of measure.  For example, “This </w:t>
            </w:r>
            <w:r w:rsidRPr="000C465B">
              <w:rPr>
                <w:rFonts w:eastAsia="Times New Roman"/>
                <w:b/>
                <w:color w:val="FF0000"/>
                <w:sz w:val="20"/>
                <w:szCs w:val="20"/>
              </w:rPr>
              <w:t>46 OZ</w:t>
            </w:r>
            <w:r w:rsidRPr="000C465B">
              <w:rPr>
                <w:rFonts w:eastAsia="Times New Roman"/>
                <w:sz w:val="20"/>
                <w:szCs w:val="20"/>
              </w:rPr>
              <w:t xml:space="preserve"> package provides over 100% more product than our </w:t>
            </w:r>
            <w:r w:rsidRPr="000C465B">
              <w:rPr>
                <w:rFonts w:eastAsia="Times New Roman"/>
                <w:b/>
                <w:color w:val="FF0000"/>
                <w:sz w:val="20"/>
                <w:szCs w:val="20"/>
              </w:rPr>
              <w:t>22 OZ</w:t>
            </w:r>
            <w:r w:rsidRPr="000C465B">
              <w:rPr>
                <w:rFonts w:eastAsia="Times New Roman"/>
                <w:sz w:val="20"/>
                <w:szCs w:val="20"/>
              </w:rPr>
              <w:t xml:space="preserve"> package”.   </w:t>
            </w:r>
          </w:p>
          <w:p w14:paraId="3A271B71" w14:textId="77777777" w:rsidR="000C465B" w:rsidRPr="000C465B" w:rsidRDefault="000C465B" w:rsidP="000C465B">
            <w:pPr>
              <w:spacing w:before="240" w:after="100" w:afterAutospacing="1"/>
              <w:ind w:left="720"/>
              <w:contextualSpacing/>
              <w:jc w:val="left"/>
              <w:rPr>
                <w:rFonts w:eastAsia="Times New Roman"/>
                <w:sz w:val="20"/>
                <w:szCs w:val="20"/>
              </w:rPr>
            </w:pPr>
          </w:p>
          <w:p w14:paraId="09548EFA" w14:textId="77777777" w:rsidR="000C465B" w:rsidRPr="000C465B" w:rsidRDefault="000C465B" w:rsidP="007169B6">
            <w:pPr>
              <w:numPr>
                <w:ilvl w:val="0"/>
                <w:numId w:val="84"/>
              </w:numPr>
              <w:spacing w:before="240" w:after="100" w:afterAutospacing="1"/>
              <w:contextualSpacing/>
              <w:jc w:val="left"/>
              <w:rPr>
                <w:rFonts w:eastAsia="Times New Roman"/>
                <w:sz w:val="20"/>
                <w:szCs w:val="20"/>
              </w:rPr>
            </w:pPr>
            <w:r w:rsidRPr="000C465B">
              <w:rPr>
                <w:rFonts w:eastAsia="Times New Roman"/>
                <w:sz w:val="20"/>
                <w:szCs w:val="20"/>
              </w:rPr>
              <w:t xml:space="preserve">While asterisks may be used in conjunction with a CQR, asterisked information should be used to provide a reference for the basis of the expression and not explain what the CQR really means.  A CQR needs to be able to stand on its own.  </w:t>
            </w:r>
          </w:p>
          <w:p w14:paraId="0BFDC6E5" w14:textId="77777777" w:rsidR="000C465B" w:rsidRPr="000C465B" w:rsidRDefault="000C465B" w:rsidP="000C465B">
            <w:pPr>
              <w:spacing w:before="240" w:after="100" w:afterAutospacing="1"/>
              <w:ind w:left="720"/>
              <w:contextualSpacing/>
              <w:jc w:val="left"/>
              <w:rPr>
                <w:rFonts w:eastAsia="Times New Roman"/>
                <w:sz w:val="20"/>
                <w:szCs w:val="20"/>
              </w:rPr>
            </w:pPr>
          </w:p>
          <w:p w14:paraId="21C3E9E7" w14:textId="77777777" w:rsidR="000C465B" w:rsidRPr="000C465B" w:rsidRDefault="000C465B" w:rsidP="007169B6">
            <w:pPr>
              <w:numPr>
                <w:ilvl w:val="0"/>
                <w:numId w:val="84"/>
              </w:numPr>
              <w:spacing w:before="240" w:after="100" w:afterAutospacing="1"/>
              <w:contextualSpacing/>
              <w:jc w:val="left"/>
              <w:rPr>
                <w:rFonts w:eastAsia="Times New Roman"/>
                <w:sz w:val="20"/>
                <w:szCs w:val="20"/>
              </w:rPr>
            </w:pPr>
            <w:r w:rsidRPr="000C465B">
              <w:rPr>
                <w:rFonts w:eastAsia="Times New Roman"/>
                <w:sz w:val="20"/>
                <w:szCs w:val="20"/>
              </w:rPr>
              <w:t xml:space="preserve">To aid in verification, it is critically important that comparative statements be complete and include correct references to the package and the comparative product(s) to which this package is being compared.  For example, a CQR should be a complete statement that makes clear the quantity being compared, the product used in comparison and, if the comparison appears unusual, enough context to ensure the statement is reasonably clear.  A consumer’s first reaction to a CQR should not be, “that statement is unclear or doesn’t make sense”. </w:t>
            </w:r>
          </w:p>
          <w:p w14:paraId="73F10AEC" w14:textId="77777777" w:rsidR="000C465B" w:rsidRPr="000C465B" w:rsidRDefault="000C465B" w:rsidP="000C465B">
            <w:pPr>
              <w:spacing w:before="240" w:after="100" w:afterAutospacing="1"/>
              <w:ind w:left="720"/>
              <w:contextualSpacing/>
              <w:jc w:val="left"/>
              <w:rPr>
                <w:rFonts w:eastAsia="Times New Roman"/>
                <w:sz w:val="20"/>
                <w:szCs w:val="20"/>
              </w:rPr>
            </w:pPr>
          </w:p>
          <w:p w14:paraId="013CEEEF" w14:textId="77777777" w:rsidR="000C465B" w:rsidRPr="000C465B" w:rsidRDefault="000C465B" w:rsidP="007169B6">
            <w:pPr>
              <w:numPr>
                <w:ilvl w:val="0"/>
                <w:numId w:val="84"/>
              </w:numPr>
              <w:spacing w:before="240" w:after="100" w:afterAutospacing="1"/>
              <w:contextualSpacing/>
              <w:jc w:val="left"/>
              <w:rPr>
                <w:rFonts w:eastAsia="Times New Roman"/>
                <w:sz w:val="20"/>
                <w:szCs w:val="20"/>
              </w:rPr>
            </w:pPr>
            <w:r w:rsidRPr="000C465B">
              <w:rPr>
                <w:rFonts w:eastAsia="Times New Roman"/>
                <w:sz w:val="20"/>
                <w:szCs w:val="20"/>
              </w:rPr>
              <w:t xml:space="preserve">When using a CQR, the comparative product should be another product currently marketed in that general marketplace or the previously marketed version to the same or similar product to make the representation relevant to the consumer.  </w:t>
            </w:r>
            <w:proofErr w:type="gramStart"/>
            <w:r w:rsidRPr="000C465B">
              <w:rPr>
                <w:rFonts w:eastAsia="Times New Roman"/>
                <w:sz w:val="20"/>
                <w:szCs w:val="20"/>
              </w:rPr>
              <w:t>Comparing</w:t>
            </w:r>
            <w:proofErr w:type="gramEnd"/>
            <w:r w:rsidRPr="000C465B">
              <w:rPr>
                <w:rFonts w:eastAsia="Times New Roman"/>
                <w:sz w:val="20"/>
                <w:szCs w:val="20"/>
              </w:rPr>
              <w:t xml:space="preserve"> to a product marketed five years ago provides little value for most consumers. </w:t>
            </w:r>
          </w:p>
          <w:p w14:paraId="19A6E938" w14:textId="77777777" w:rsidR="000C465B" w:rsidRPr="000C465B" w:rsidRDefault="000C465B" w:rsidP="000C465B">
            <w:pPr>
              <w:spacing w:before="240" w:after="0"/>
              <w:jc w:val="left"/>
              <w:rPr>
                <w:sz w:val="20"/>
                <w:szCs w:val="20"/>
              </w:rPr>
            </w:pPr>
            <w:r w:rsidRPr="000C465B">
              <w:rPr>
                <w:sz w:val="20"/>
                <w:szCs w:val="20"/>
              </w:rPr>
              <w:t xml:space="preserve"> </w:t>
            </w:r>
          </w:p>
          <w:p w14:paraId="334DCB22" w14:textId="77777777" w:rsidR="000C465B" w:rsidRPr="000C465B" w:rsidRDefault="000C465B" w:rsidP="000C465B">
            <w:pPr>
              <w:spacing w:before="240" w:after="0"/>
              <w:jc w:val="left"/>
              <w:rPr>
                <w:sz w:val="20"/>
                <w:szCs w:val="20"/>
              </w:rPr>
            </w:pPr>
            <w:r w:rsidRPr="000C465B">
              <w:rPr>
                <w:bCs/>
                <w:sz w:val="20"/>
                <w:szCs w:val="20"/>
              </w:rPr>
              <w:t xml:space="preserve">Manufacturers are responsible for ensuring comparative expressions are complete and clear. </w:t>
            </w:r>
            <w:r w:rsidRPr="000C465B">
              <w:rPr>
                <w:sz w:val="20"/>
                <w:szCs w:val="20"/>
              </w:rPr>
              <w:t xml:space="preserve">          </w:t>
            </w:r>
          </w:p>
          <w:p w14:paraId="4A76A8C3" w14:textId="77777777" w:rsidR="000C465B" w:rsidRPr="000C465B" w:rsidRDefault="000C465B" w:rsidP="000C465B">
            <w:pPr>
              <w:spacing w:before="240" w:after="0"/>
              <w:jc w:val="left"/>
              <w:rPr>
                <w:sz w:val="20"/>
                <w:szCs w:val="20"/>
              </w:rPr>
            </w:pPr>
          </w:p>
          <w:p w14:paraId="45351506" w14:textId="77777777" w:rsidR="000C465B" w:rsidRPr="000C465B" w:rsidRDefault="000C465B" w:rsidP="000C465B">
            <w:pPr>
              <w:spacing w:before="240" w:after="0"/>
              <w:rPr>
                <w:bCs/>
                <w:sz w:val="20"/>
                <w:szCs w:val="20"/>
              </w:rPr>
            </w:pPr>
          </w:p>
        </w:tc>
      </w:tr>
      <w:tr w:rsidR="000C465B" w:rsidRPr="000C465B" w14:paraId="4BEEA5C4" w14:textId="77777777" w:rsidTr="005F0F3E">
        <w:trPr>
          <w:cantSplit/>
        </w:trPr>
        <w:tc>
          <w:tcPr>
            <w:tcW w:w="2221" w:type="dxa"/>
          </w:tcPr>
          <w:p w14:paraId="29454AD0" w14:textId="77777777" w:rsidR="000C465B" w:rsidRPr="000C465B" w:rsidRDefault="000C465B" w:rsidP="000C465B">
            <w:pPr>
              <w:spacing w:after="0"/>
              <w:jc w:val="left"/>
              <w:rPr>
                <w:sz w:val="20"/>
                <w:szCs w:val="20"/>
              </w:rPr>
            </w:pPr>
          </w:p>
          <w:p w14:paraId="6253D4BE" w14:textId="77777777" w:rsidR="000C465B" w:rsidRPr="000C465B" w:rsidRDefault="000C465B" w:rsidP="000C465B">
            <w:pPr>
              <w:spacing w:after="0"/>
              <w:jc w:val="left"/>
              <w:rPr>
                <w:sz w:val="20"/>
                <w:szCs w:val="20"/>
              </w:rPr>
            </w:pPr>
            <w:r w:rsidRPr="000C465B">
              <w:rPr>
                <w:sz w:val="20"/>
                <w:szCs w:val="20"/>
              </w:rPr>
              <w:t xml:space="preserve">12. Comparative </w:t>
            </w:r>
            <w:proofErr w:type="gramStart"/>
            <w:r w:rsidRPr="000C465B">
              <w:rPr>
                <w:sz w:val="20"/>
                <w:szCs w:val="20"/>
              </w:rPr>
              <w:t>expression</w:t>
            </w:r>
            <w:proofErr w:type="gramEnd"/>
            <w:r w:rsidRPr="000C465B">
              <w:rPr>
                <w:sz w:val="20"/>
                <w:szCs w:val="20"/>
              </w:rPr>
              <w:t xml:space="preserve"> which </w:t>
            </w:r>
            <w:proofErr w:type="gramStart"/>
            <w:r w:rsidRPr="000C465B">
              <w:rPr>
                <w:sz w:val="20"/>
                <w:szCs w:val="20"/>
              </w:rPr>
              <w:t>does</w:t>
            </w:r>
            <w:proofErr w:type="gramEnd"/>
            <w:r w:rsidRPr="000C465B">
              <w:rPr>
                <w:sz w:val="20"/>
                <w:szCs w:val="20"/>
              </w:rPr>
              <w:t xml:space="preserve"> not contain a reference to recognized units of Legal Metrology   must be balanced and complete.</w:t>
            </w:r>
          </w:p>
          <w:p w14:paraId="45156C4B" w14:textId="77777777" w:rsidR="000C465B" w:rsidRPr="000C465B" w:rsidRDefault="000C465B" w:rsidP="000C465B">
            <w:pPr>
              <w:spacing w:after="0"/>
              <w:jc w:val="left"/>
              <w:rPr>
                <w:sz w:val="20"/>
                <w:szCs w:val="20"/>
              </w:rPr>
            </w:pPr>
          </w:p>
          <w:p w14:paraId="61E848F8" w14:textId="77777777" w:rsidR="000C465B" w:rsidRPr="000C465B" w:rsidRDefault="000C465B" w:rsidP="000C465B">
            <w:pPr>
              <w:spacing w:after="0"/>
              <w:jc w:val="left"/>
              <w:rPr>
                <w:sz w:val="20"/>
                <w:szCs w:val="20"/>
              </w:rPr>
            </w:pPr>
            <w:proofErr w:type="gramStart"/>
            <w:r w:rsidRPr="000C465B">
              <w:rPr>
                <w:sz w:val="20"/>
                <w:szCs w:val="20"/>
              </w:rPr>
              <w:t>Applies to</w:t>
            </w:r>
            <w:proofErr w:type="gramEnd"/>
            <w:r w:rsidRPr="000C465B">
              <w:rPr>
                <w:sz w:val="20"/>
                <w:szCs w:val="20"/>
              </w:rPr>
              <w:t xml:space="preserve"> Comparative Performance Representations (CPR’s) </w:t>
            </w:r>
          </w:p>
          <w:p w14:paraId="27443620" w14:textId="77777777" w:rsidR="000C465B" w:rsidRPr="000C465B" w:rsidRDefault="000C465B" w:rsidP="000C465B">
            <w:pPr>
              <w:spacing w:after="0"/>
              <w:jc w:val="left"/>
              <w:rPr>
                <w:sz w:val="20"/>
                <w:szCs w:val="20"/>
              </w:rPr>
            </w:pPr>
          </w:p>
        </w:tc>
        <w:tc>
          <w:tcPr>
            <w:tcW w:w="7129" w:type="dxa"/>
          </w:tcPr>
          <w:p w14:paraId="7EDD2FE7" w14:textId="77777777" w:rsidR="000C465B" w:rsidRPr="000C465B" w:rsidRDefault="000C465B" w:rsidP="000C465B">
            <w:pPr>
              <w:spacing w:after="0"/>
              <w:rPr>
                <w:bCs/>
                <w:sz w:val="20"/>
                <w:szCs w:val="20"/>
              </w:rPr>
            </w:pPr>
          </w:p>
          <w:p w14:paraId="0683BFA9" w14:textId="77777777" w:rsidR="000C465B" w:rsidRPr="000C465B" w:rsidRDefault="000C465B" w:rsidP="000C465B">
            <w:pPr>
              <w:spacing w:after="0"/>
              <w:rPr>
                <w:bCs/>
                <w:sz w:val="20"/>
                <w:szCs w:val="20"/>
              </w:rPr>
            </w:pPr>
            <w:proofErr w:type="gramStart"/>
            <w:r w:rsidRPr="000C465B">
              <w:rPr>
                <w:bCs/>
                <w:sz w:val="20"/>
                <w:szCs w:val="20"/>
              </w:rPr>
              <w:t>Manufacturer</w:t>
            </w:r>
            <w:proofErr w:type="gramEnd"/>
            <w:r w:rsidRPr="000C465B">
              <w:rPr>
                <w:bCs/>
                <w:sz w:val="20"/>
                <w:szCs w:val="20"/>
              </w:rPr>
              <w:t xml:space="preserve"> interest in making comparative statements on their packages has increased as new product technologies have been incorporated into products, resulting in better or longer performance, greater product efficiency, more concentrated products, and lighter-weight products.  Traditional comparisons based solely on use of product net content declarations may not provide consumers with sufficient information necessary for consumers to make a fully informed decision.  Comparative statements are one means by which manufacturers can provide information about new product forms and performance to consumers.  They are also a means by which manufacturers can compare their products to competing products.   </w:t>
            </w:r>
          </w:p>
          <w:p w14:paraId="075C6AEC" w14:textId="77777777" w:rsidR="000C465B" w:rsidRPr="000C465B" w:rsidRDefault="000C465B" w:rsidP="000C465B">
            <w:pPr>
              <w:spacing w:after="0"/>
              <w:jc w:val="left"/>
              <w:rPr>
                <w:sz w:val="20"/>
                <w:szCs w:val="20"/>
              </w:rPr>
            </w:pPr>
          </w:p>
          <w:p w14:paraId="7F7E9FDF" w14:textId="77777777" w:rsidR="000C465B" w:rsidRPr="000C465B" w:rsidRDefault="000C465B" w:rsidP="000C465B">
            <w:pPr>
              <w:spacing w:after="0"/>
              <w:rPr>
                <w:bCs/>
                <w:sz w:val="20"/>
                <w:szCs w:val="20"/>
              </w:rPr>
            </w:pPr>
            <w:r w:rsidRPr="000C465B">
              <w:rPr>
                <w:bCs/>
                <w:sz w:val="20"/>
                <w:szCs w:val="20"/>
              </w:rPr>
              <w:t xml:space="preserve">Manufacturers must carefully consider using Comparative Performance Representations (CPR’s) on the Principal Display (PDP) panel to ensure the message is complete, clear, correct, relevant, and non-misleading.  </w:t>
            </w:r>
          </w:p>
          <w:p w14:paraId="37C81A6F" w14:textId="77777777" w:rsidR="000C465B" w:rsidRPr="000C465B" w:rsidRDefault="000C465B" w:rsidP="000C465B">
            <w:pPr>
              <w:spacing w:after="0"/>
              <w:jc w:val="left"/>
              <w:rPr>
                <w:sz w:val="20"/>
                <w:szCs w:val="20"/>
              </w:rPr>
            </w:pPr>
          </w:p>
          <w:p w14:paraId="12AAE7DF" w14:textId="77777777" w:rsidR="000C465B" w:rsidRPr="000C465B" w:rsidRDefault="000C465B" w:rsidP="000C465B">
            <w:pPr>
              <w:spacing w:after="0"/>
              <w:rPr>
                <w:sz w:val="20"/>
                <w:szCs w:val="20"/>
              </w:rPr>
            </w:pPr>
            <w:r w:rsidRPr="000C465B">
              <w:rPr>
                <w:bCs/>
                <w:sz w:val="20"/>
                <w:szCs w:val="20"/>
              </w:rPr>
              <w:t>Comparative Performance Representations may provide consumers with important information regarding how well or long a product might perform but also have the potential to confuse or mislead consumers about products.  These statements can vary in length, word choice, use of icons and pictograms, the quantity(</w:t>
            </w:r>
            <w:proofErr w:type="spellStart"/>
            <w:r w:rsidRPr="000C465B">
              <w:rPr>
                <w:bCs/>
                <w:sz w:val="20"/>
                <w:szCs w:val="20"/>
              </w:rPr>
              <w:t>ies</w:t>
            </w:r>
            <w:proofErr w:type="spellEnd"/>
            <w:r w:rsidRPr="000C465B">
              <w:rPr>
                <w:bCs/>
                <w:sz w:val="20"/>
                <w:szCs w:val="20"/>
              </w:rPr>
              <w:t xml:space="preserve">) being compared, and can use limitless choices of fonts, colors, and contrasts to emphasize all or certain parts of a comparative statement.   </w:t>
            </w:r>
            <w:r w:rsidRPr="000C465B">
              <w:rPr>
                <w:sz w:val="20"/>
                <w:szCs w:val="20"/>
              </w:rPr>
              <w:t>A manufacturer must carefully consider how the CPR content, location, font, and contrast will appear in conjunction with the package’s required Declaration of Net Quantity (</w:t>
            </w:r>
            <w:proofErr w:type="spellStart"/>
            <w:r w:rsidRPr="000C465B">
              <w:rPr>
                <w:sz w:val="20"/>
                <w:szCs w:val="20"/>
              </w:rPr>
              <w:t>DoNQ</w:t>
            </w:r>
            <w:proofErr w:type="spellEnd"/>
            <w:r w:rsidRPr="000C465B">
              <w:rPr>
                <w:sz w:val="20"/>
                <w:szCs w:val="20"/>
              </w:rPr>
              <w:t xml:space="preserve">) and other expressions to help facilitate consumers' ability to make accurate value comparisons.  </w:t>
            </w:r>
          </w:p>
          <w:p w14:paraId="418E1DCB" w14:textId="77777777" w:rsidR="000C465B" w:rsidRPr="000C465B" w:rsidRDefault="000C465B" w:rsidP="000C465B">
            <w:pPr>
              <w:spacing w:after="0"/>
              <w:rPr>
                <w:sz w:val="20"/>
                <w:szCs w:val="20"/>
              </w:rPr>
            </w:pPr>
          </w:p>
          <w:p w14:paraId="0419CF0A" w14:textId="77777777" w:rsidR="000C465B" w:rsidRPr="000C465B" w:rsidRDefault="000C465B" w:rsidP="000C465B">
            <w:pPr>
              <w:spacing w:after="0"/>
              <w:rPr>
                <w:sz w:val="20"/>
                <w:szCs w:val="20"/>
              </w:rPr>
            </w:pPr>
            <w:r w:rsidRPr="000C465B">
              <w:rPr>
                <w:sz w:val="20"/>
                <w:szCs w:val="20"/>
              </w:rPr>
              <w:t xml:space="preserve">To help ensure </w:t>
            </w:r>
            <w:proofErr w:type="gramStart"/>
            <w:r w:rsidRPr="000C465B">
              <w:rPr>
                <w:sz w:val="20"/>
                <w:szCs w:val="20"/>
              </w:rPr>
              <w:t>CPR’s</w:t>
            </w:r>
            <w:proofErr w:type="gramEnd"/>
            <w:r w:rsidRPr="000C465B">
              <w:rPr>
                <w:sz w:val="20"/>
                <w:szCs w:val="20"/>
              </w:rPr>
              <w:t xml:space="preserve"> are clear and not misinterpreted, the following is recommended:</w:t>
            </w:r>
          </w:p>
          <w:p w14:paraId="6D286163" w14:textId="77777777" w:rsidR="000C465B" w:rsidRPr="000C465B" w:rsidRDefault="000C465B" w:rsidP="000C465B">
            <w:pPr>
              <w:spacing w:after="0"/>
              <w:rPr>
                <w:sz w:val="20"/>
                <w:szCs w:val="20"/>
              </w:rPr>
            </w:pPr>
          </w:p>
          <w:p w14:paraId="412CF9FE" w14:textId="77777777" w:rsidR="000C465B" w:rsidRPr="000C465B" w:rsidRDefault="000C465B" w:rsidP="007169B6">
            <w:pPr>
              <w:numPr>
                <w:ilvl w:val="0"/>
                <w:numId w:val="79"/>
              </w:numPr>
              <w:spacing w:after="0"/>
              <w:contextualSpacing/>
              <w:jc w:val="left"/>
              <w:rPr>
                <w:rFonts w:eastAsia="Times New Roman"/>
                <w:sz w:val="20"/>
                <w:szCs w:val="20"/>
              </w:rPr>
            </w:pPr>
            <w:r w:rsidRPr="000C465B">
              <w:rPr>
                <w:rFonts w:eastAsia="Times New Roman"/>
                <w:sz w:val="20"/>
                <w:szCs w:val="20"/>
              </w:rPr>
              <w:t xml:space="preserve">A comparative performance representation must be a complete statement with clear and explicit reference to the products that are being compared.  For example, “This new 20-ounce package provides the same number of uses as our old 46-ounce package.” or “This 20-ounce concentrate provides 100% more uses over our 20-ounce unconcentrated product”.   Just saying “100% more uses.” is not a complete statement.  The use of asterisks and asterisked statements located elsewhere on the label are not recommended </w:t>
            </w:r>
            <w:proofErr w:type="gramStart"/>
            <w:r w:rsidRPr="000C465B">
              <w:rPr>
                <w:rFonts w:eastAsia="Times New Roman"/>
                <w:sz w:val="20"/>
                <w:szCs w:val="20"/>
              </w:rPr>
              <w:t>as a means to</w:t>
            </w:r>
            <w:proofErr w:type="gramEnd"/>
            <w:r w:rsidRPr="000C465B">
              <w:rPr>
                <w:rFonts w:eastAsia="Times New Roman"/>
                <w:sz w:val="20"/>
                <w:szCs w:val="20"/>
              </w:rPr>
              <w:t xml:space="preserve"> provide a complete statement.  If a statement appears on the PDP, it must be a complete statement on the PDP.</w:t>
            </w:r>
          </w:p>
          <w:p w14:paraId="757F55D2" w14:textId="77777777" w:rsidR="000C465B" w:rsidRPr="000C465B" w:rsidRDefault="000C465B" w:rsidP="007169B6">
            <w:pPr>
              <w:numPr>
                <w:ilvl w:val="0"/>
                <w:numId w:val="79"/>
              </w:numPr>
              <w:spacing w:after="0"/>
              <w:contextualSpacing/>
              <w:jc w:val="left"/>
              <w:rPr>
                <w:rFonts w:eastAsia="Times New Roman"/>
                <w:sz w:val="20"/>
                <w:szCs w:val="20"/>
              </w:rPr>
            </w:pPr>
            <w:r w:rsidRPr="000C465B">
              <w:rPr>
                <w:rFonts w:eastAsia="Times New Roman"/>
                <w:sz w:val="20"/>
                <w:szCs w:val="20"/>
              </w:rPr>
              <w:t>Information gathered on comparative products should use the same testing methodology as that used for the package bearing the CPR, Information gathered on comparative products should use the same testing methodology as that used for the package bearing the CPR,</w:t>
            </w:r>
          </w:p>
          <w:p w14:paraId="310C3D3F" w14:textId="77777777" w:rsidR="000C465B" w:rsidRPr="000C465B" w:rsidRDefault="000C465B" w:rsidP="000C465B">
            <w:pPr>
              <w:spacing w:after="0"/>
              <w:rPr>
                <w:sz w:val="20"/>
                <w:szCs w:val="20"/>
              </w:rPr>
            </w:pPr>
          </w:p>
          <w:p w14:paraId="3D96595A" w14:textId="77777777" w:rsidR="000C465B" w:rsidRPr="000C465B" w:rsidRDefault="000C465B" w:rsidP="000C465B">
            <w:pPr>
              <w:spacing w:after="0"/>
              <w:jc w:val="left"/>
              <w:rPr>
                <w:sz w:val="20"/>
                <w:szCs w:val="20"/>
              </w:rPr>
            </w:pPr>
          </w:p>
        </w:tc>
      </w:tr>
      <w:tr w:rsidR="000C465B" w:rsidRPr="000C465B" w14:paraId="75901F26" w14:textId="77777777" w:rsidTr="005F0F3E">
        <w:trPr>
          <w:cantSplit/>
        </w:trPr>
        <w:tc>
          <w:tcPr>
            <w:tcW w:w="2221" w:type="dxa"/>
          </w:tcPr>
          <w:p w14:paraId="1D5A2267" w14:textId="77777777" w:rsidR="000C465B" w:rsidRPr="000C465B" w:rsidRDefault="000C465B" w:rsidP="000C465B">
            <w:pPr>
              <w:spacing w:after="0"/>
              <w:jc w:val="left"/>
              <w:rPr>
                <w:sz w:val="20"/>
                <w:szCs w:val="20"/>
              </w:rPr>
            </w:pPr>
          </w:p>
        </w:tc>
        <w:tc>
          <w:tcPr>
            <w:tcW w:w="7129" w:type="dxa"/>
          </w:tcPr>
          <w:p w14:paraId="25E686DC" w14:textId="77777777" w:rsidR="000C465B" w:rsidRPr="000C465B" w:rsidRDefault="000C465B" w:rsidP="007169B6">
            <w:pPr>
              <w:numPr>
                <w:ilvl w:val="0"/>
                <w:numId w:val="79"/>
              </w:numPr>
              <w:spacing w:after="0"/>
              <w:contextualSpacing/>
              <w:jc w:val="left"/>
              <w:rPr>
                <w:rFonts w:eastAsia="Times New Roman"/>
                <w:sz w:val="20"/>
                <w:szCs w:val="20"/>
              </w:rPr>
            </w:pPr>
            <w:r w:rsidRPr="000C465B">
              <w:rPr>
                <w:rFonts w:eastAsia="Times New Roman"/>
                <w:sz w:val="20"/>
                <w:szCs w:val="20"/>
              </w:rPr>
              <w:t xml:space="preserve">While a CPR is not required to name another brand, it is the manufacturer's responsibility to ensure the CPR statement is accurate and valid. Although CPR accuracy is often easy to assess since the CPR and </w:t>
            </w:r>
            <w:proofErr w:type="spellStart"/>
            <w:r w:rsidRPr="000C465B">
              <w:rPr>
                <w:rFonts w:eastAsia="Times New Roman"/>
                <w:sz w:val="20"/>
                <w:szCs w:val="20"/>
              </w:rPr>
              <w:t>DoNQ</w:t>
            </w:r>
            <w:proofErr w:type="spellEnd"/>
            <w:r w:rsidRPr="000C465B">
              <w:rPr>
                <w:rFonts w:eastAsia="Times New Roman"/>
                <w:sz w:val="20"/>
                <w:szCs w:val="20"/>
              </w:rPr>
              <w:t xml:space="preserve"> are both present on the PDP, CPR statements are still required to be accurate and verifiable, should be supported by manufacturer data, and are subject to external evaluation and confirmation.</w:t>
            </w:r>
          </w:p>
          <w:p w14:paraId="17D07DAA" w14:textId="77777777" w:rsidR="000C465B" w:rsidRPr="000C465B" w:rsidRDefault="000C465B" w:rsidP="007169B6">
            <w:pPr>
              <w:numPr>
                <w:ilvl w:val="0"/>
                <w:numId w:val="79"/>
              </w:numPr>
              <w:spacing w:after="0"/>
              <w:contextualSpacing/>
              <w:jc w:val="left"/>
              <w:rPr>
                <w:rFonts w:eastAsia="Times New Roman"/>
                <w:sz w:val="20"/>
                <w:szCs w:val="20"/>
              </w:rPr>
            </w:pPr>
            <w:r w:rsidRPr="000C465B">
              <w:rPr>
                <w:rFonts w:eastAsia="Times New Roman"/>
                <w:sz w:val="20"/>
                <w:szCs w:val="20"/>
              </w:rPr>
              <w:t xml:space="preserve">A comparative expression comprised of one or more units must provide equal emphasis on the units of measure.  For example, “This </w:t>
            </w:r>
            <w:r w:rsidRPr="000C465B">
              <w:rPr>
                <w:rFonts w:eastAsia="Times New Roman"/>
                <w:b/>
                <w:color w:val="FF0000"/>
                <w:sz w:val="20"/>
                <w:szCs w:val="20"/>
              </w:rPr>
              <w:t>40 Load</w:t>
            </w:r>
            <w:r w:rsidRPr="000C465B">
              <w:rPr>
                <w:rFonts w:eastAsia="Times New Roman"/>
                <w:sz w:val="20"/>
                <w:szCs w:val="20"/>
              </w:rPr>
              <w:t xml:space="preserve"> package provides double the uses as our </w:t>
            </w:r>
            <w:r w:rsidRPr="000C465B">
              <w:rPr>
                <w:rFonts w:eastAsia="Times New Roman"/>
                <w:b/>
                <w:color w:val="FF0000"/>
                <w:sz w:val="20"/>
                <w:szCs w:val="20"/>
              </w:rPr>
              <w:t>20 Load</w:t>
            </w:r>
            <w:r w:rsidRPr="000C465B">
              <w:rPr>
                <w:rFonts w:eastAsia="Times New Roman"/>
                <w:sz w:val="20"/>
                <w:szCs w:val="20"/>
              </w:rPr>
              <w:t xml:space="preserve"> package”.    </w:t>
            </w:r>
          </w:p>
          <w:p w14:paraId="3471B122" w14:textId="77777777" w:rsidR="000C465B" w:rsidRPr="000C465B" w:rsidRDefault="000C465B" w:rsidP="007169B6">
            <w:pPr>
              <w:numPr>
                <w:ilvl w:val="0"/>
                <w:numId w:val="79"/>
              </w:numPr>
              <w:spacing w:after="0"/>
              <w:contextualSpacing/>
              <w:jc w:val="left"/>
              <w:rPr>
                <w:rFonts w:eastAsia="Times New Roman"/>
                <w:sz w:val="20"/>
                <w:szCs w:val="20"/>
              </w:rPr>
            </w:pPr>
            <w:r w:rsidRPr="000C465B">
              <w:rPr>
                <w:rFonts w:eastAsia="Times New Roman"/>
                <w:sz w:val="20"/>
                <w:szCs w:val="20"/>
              </w:rPr>
              <w:t xml:space="preserve">While asterisks may be used in conjunction with a CPR, asterisked information should be used to provide a reference for the basis of the expression and not explain what the CPR really means.  A CPR needs to be able to stand on its own.  </w:t>
            </w:r>
          </w:p>
          <w:p w14:paraId="08A53F0B" w14:textId="77777777" w:rsidR="000C465B" w:rsidRPr="000C465B" w:rsidRDefault="000C465B" w:rsidP="007169B6">
            <w:pPr>
              <w:numPr>
                <w:ilvl w:val="0"/>
                <w:numId w:val="79"/>
              </w:numPr>
              <w:spacing w:after="0"/>
              <w:contextualSpacing/>
              <w:jc w:val="left"/>
              <w:rPr>
                <w:rFonts w:eastAsia="Times New Roman"/>
                <w:sz w:val="20"/>
                <w:szCs w:val="20"/>
              </w:rPr>
            </w:pPr>
            <w:r w:rsidRPr="000C465B">
              <w:rPr>
                <w:rFonts w:eastAsia="Times New Roman"/>
                <w:sz w:val="20"/>
                <w:szCs w:val="20"/>
              </w:rPr>
              <w:t xml:space="preserve">To aid in verification, it is critically important that comparative statements be complete and include correct references to the package and the comparative product(s) to which this package is being compared.  For example, a CPR should be a complete statement that makes clear the quantity being compared, the product used in comparison and, if the comparison appears unusual, enough context to ensure the statement is reasonably clear.  A consumer’s first reaction to a CPR should not be, “that statement is unclear or doesn’t make sense”.  </w:t>
            </w:r>
          </w:p>
          <w:p w14:paraId="46704CBB" w14:textId="77777777" w:rsidR="000C465B" w:rsidRPr="000C465B" w:rsidRDefault="000C465B" w:rsidP="007169B6">
            <w:pPr>
              <w:numPr>
                <w:ilvl w:val="0"/>
                <w:numId w:val="79"/>
              </w:numPr>
              <w:spacing w:after="0"/>
              <w:contextualSpacing/>
              <w:jc w:val="left"/>
              <w:rPr>
                <w:rFonts w:eastAsia="Times New Roman"/>
                <w:sz w:val="20"/>
                <w:szCs w:val="20"/>
              </w:rPr>
            </w:pPr>
            <w:r w:rsidRPr="000C465B">
              <w:rPr>
                <w:rFonts w:eastAsia="Times New Roman"/>
                <w:sz w:val="20"/>
                <w:szCs w:val="20"/>
              </w:rPr>
              <w:t xml:space="preserve">When using a CPR, the comparative product should be another product currently marketed in that general marketplace or the previously marketed version to the same or similar product to make the representation relevant to the consumer.  </w:t>
            </w:r>
            <w:proofErr w:type="gramStart"/>
            <w:r w:rsidRPr="000C465B">
              <w:rPr>
                <w:rFonts w:eastAsia="Times New Roman"/>
                <w:sz w:val="20"/>
                <w:szCs w:val="20"/>
              </w:rPr>
              <w:t>Comparing</w:t>
            </w:r>
            <w:proofErr w:type="gramEnd"/>
            <w:r w:rsidRPr="000C465B">
              <w:rPr>
                <w:rFonts w:eastAsia="Times New Roman"/>
                <w:sz w:val="20"/>
                <w:szCs w:val="20"/>
              </w:rPr>
              <w:t xml:space="preserve"> to a product marketed five years ago provides little value for most consumers.  </w:t>
            </w:r>
          </w:p>
          <w:p w14:paraId="5D3C8390" w14:textId="77777777" w:rsidR="000C465B" w:rsidRPr="000C465B" w:rsidRDefault="000C465B" w:rsidP="000C465B">
            <w:pPr>
              <w:spacing w:after="0"/>
              <w:jc w:val="left"/>
              <w:rPr>
                <w:bCs/>
                <w:sz w:val="20"/>
                <w:szCs w:val="20"/>
              </w:rPr>
            </w:pPr>
            <w:r w:rsidRPr="000C465B">
              <w:rPr>
                <w:sz w:val="20"/>
                <w:szCs w:val="20"/>
              </w:rPr>
              <w:t xml:space="preserve">         </w:t>
            </w:r>
          </w:p>
        </w:tc>
      </w:tr>
    </w:tbl>
    <w:p w14:paraId="3507EDF7" w14:textId="77777777" w:rsidR="000C465B" w:rsidRPr="000C465B" w:rsidRDefault="000C465B" w:rsidP="000C465B">
      <w:pPr>
        <w:spacing w:after="200" w:line="276" w:lineRule="auto"/>
        <w:jc w:val="center"/>
        <w:rPr>
          <w:rFonts w:ascii="Calibri" w:hAnsi="Calibri"/>
          <w:sz w:val="22"/>
        </w:rPr>
      </w:pPr>
    </w:p>
    <w:p w14:paraId="0C40EBA2" w14:textId="77777777" w:rsidR="000C465B" w:rsidRPr="000C465B" w:rsidRDefault="000C465B" w:rsidP="000C465B">
      <w:pPr>
        <w:spacing w:after="200" w:line="276" w:lineRule="auto"/>
        <w:jc w:val="center"/>
        <w:rPr>
          <w:rFonts w:ascii="Calibri" w:hAnsi="Calibri"/>
          <w:b/>
          <w:sz w:val="40"/>
          <w:szCs w:val="40"/>
        </w:rPr>
      </w:pPr>
    </w:p>
    <w:p w14:paraId="319C6398" w14:textId="77777777" w:rsidR="000C465B" w:rsidRPr="000C465B" w:rsidRDefault="000C465B" w:rsidP="000C465B">
      <w:pPr>
        <w:spacing w:after="200" w:line="276" w:lineRule="auto"/>
        <w:jc w:val="center"/>
        <w:rPr>
          <w:rFonts w:ascii="Calibri" w:hAnsi="Calibri"/>
          <w:b/>
          <w:sz w:val="40"/>
          <w:szCs w:val="40"/>
        </w:rPr>
      </w:pPr>
    </w:p>
    <w:p w14:paraId="57A58B78" w14:textId="77777777" w:rsidR="000C465B" w:rsidRPr="000C465B" w:rsidRDefault="000C465B" w:rsidP="000C465B">
      <w:pPr>
        <w:spacing w:after="200" w:line="276" w:lineRule="auto"/>
        <w:jc w:val="center"/>
        <w:rPr>
          <w:rFonts w:ascii="Calibri" w:hAnsi="Calibri"/>
          <w:b/>
          <w:sz w:val="40"/>
          <w:szCs w:val="40"/>
        </w:rPr>
      </w:pPr>
    </w:p>
    <w:p w14:paraId="04E45EDA" w14:textId="77777777" w:rsidR="000C465B" w:rsidRPr="000C465B" w:rsidRDefault="000C465B" w:rsidP="000C465B">
      <w:pPr>
        <w:spacing w:after="200" w:line="276" w:lineRule="auto"/>
        <w:jc w:val="center"/>
        <w:rPr>
          <w:rFonts w:ascii="Calibri" w:hAnsi="Calibri"/>
          <w:b/>
          <w:sz w:val="40"/>
          <w:szCs w:val="40"/>
        </w:rPr>
      </w:pPr>
    </w:p>
    <w:p w14:paraId="48178605" w14:textId="77777777" w:rsidR="000C465B" w:rsidRPr="000C465B" w:rsidRDefault="000C465B" w:rsidP="000C465B">
      <w:pPr>
        <w:spacing w:after="200" w:line="276" w:lineRule="auto"/>
        <w:jc w:val="center"/>
        <w:rPr>
          <w:rFonts w:ascii="Calibri" w:hAnsi="Calibri"/>
          <w:b/>
          <w:sz w:val="40"/>
          <w:szCs w:val="40"/>
        </w:rPr>
      </w:pPr>
    </w:p>
    <w:p w14:paraId="497D49D4" w14:textId="77777777" w:rsidR="000C465B" w:rsidRPr="000C465B" w:rsidRDefault="000C465B" w:rsidP="000C465B">
      <w:pPr>
        <w:spacing w:after="200" w:line="276" w:lineRule="auto"/>
        <w:jc w:val="center"/>
        <w:rPr>
          <w:rFonts w:ascii="Calibri" w:hAnsi="Calibri"/>
          <w:b/>
          <w:sz w:val="40"/>
          <w:szCs w:val="40"/>
        </w:rPr>
      </w:pPr>
    </w:p>
    <w:p w14:paraId="242F8849" w14:textId="77777777" w:rsidR="00810BDD" w:rsidRDefault="00810BDD">
      <w:pPr>
        <w:spacing w:after="0"/>
        <w:jc w:val="left"/>
        <w:rPr>
          <w:b/>
          <w:sz w:val="36"/>
          <w:szCs w:val="36"/>
        </w:rPr>
      </w:pPr>
      <w:r>
        <w:rPr>
          <w:b/>
          <w:sz w:val="36"/>
          <w:szCs w:val="36"/>
        </w:rPr>
        <w:br w:type="page"/>
      </w:r>
    </w:p>
    <w:p w14:paraId="668625F3" w14:textId="00ED219F" w:rsidR="000C465B" w:rsidRPr="000C465B" w:rsidRDefault="000C465B" w:rsidP="000C465B">
      <w:pPr>
        <w:spacing w:after="200" w:line="276" w:lineRule="auto"/>
        <w:jc w:val="center"/>
        <w:rPr>
          <w:b/>
          <w:sz w:val="36"/>
          <w:szCs w:val="36"/>
        </w:rPr>
      </w:pPr>
      <w:bookmarkStart w:id="891" w:name="Enforcement"/>
      <w:bookmarkEnd w:id="891"/>
      <w:r w:rsidRPr="000C465B">
        <w:rPr>
          <w:b/>
          <w:sz w:val="36"/>
          <w:szCs w:val="36"/>
        </w:rPr>
        <w:lastRenderedPageBreak/>
        <w:t>Enforcement</w:t>
      </w:r>
    </w:p>
    <w:p w14:paraId="436AD69C" w14:textId="77777777" w:rsidR="000C465B" w:rsidRPr="000C465B" w:rsidRDefault="000C465B" w:rsidP="000C465B">
      <w:pPr>
        <w:spacing w:after="0"/>
        <w:rPr>
          <w:rFonts w:eastAsia="Times New Roman"/>
          <w:szCs w:val="20"/>
        </w:rPr>
      </w:pPr>
      <w:r w:rsidRPr="000C465B">
        <w:rPr>
          <w:rFonts w:eastAsia="Times New Roman"/>
          <w:szCs w:val="20"/>
        </w:rPr>
        <w:t>Voluntarily added quantity-related expressions are distinct from the Declaration of Net Quantity (</w:t>
      </w:r>
      <w:proofErr w:type="spellStart"/>
      <w:r w:rsidRPr="000C465B">
        <w:rPr>
          <w:rFonts w:eastAsia="Times New Roman"/>
          <w:szCs w:val="20"/>
        </w:rPr>
        <w:t>DoNQ</w:t>
      </w:r>
      <w:proofErr w:type="spellEnd"/>
      <w:r w:rsidRPr="000C465B">
        <w:rPr>
          <w:rFonts w:eastAsia="Times New Roman"/>
          <w:szCs w:val="20"/>
        </w:rPr>
        <w:t xml:space="preserve">) and therefore require a different enforcement strategy. The </w:t>
      </w:r>
      <w:proofErr w:type="spellStart"/>
      <w:r w:rsidRPr="000C465B">
        <w:rPr>
          <w:rFonts w:eastAsia="Times New Roman"/>
          <w:szCs w:val="20"/>
        </w:rPr>
        <w:t>DoNQ</w:t>
      </w:r>
      <w:proofErr w:type="spellEnd"/>
      <w:r w:rsidRPr="000C465B">
        <w:rPr>
          <w:rFonts w:eastAsia="Times New Roman"/>
          <w:szCs w:val="20"/>
        </w:rPr>
        <w:t xml:space="preserve"> is mandatory and is enforced using practices developed over many decades and set out in extensive detail in applicable laws, regulations, and guidance. In contrast, as a type of voluntary label claim, voluntary statements are enforced in the same way as other voluntary claims.  </w:t>
      </w:r>
    </w:p>
    <w:p w14:paraId="74B7F7C2" w14:textId="77777777" w:rsidR="000C465B" w:rsidRPr="000C465B" w:rsidRDefault="000C465B" w:rsidP="000C465B">
      <w:pPr>
        <w:spacing w:after="0"/>
        <w:rPr>
          <w:rFonts w:eastAsia="Times New Roman"/>
          <w:szCs w:val="20"/>
        </w:rPr>
      </w:pPr>
      <w:r w:rsidRPr="000C465B">
        <w:rPr>
          <w:rFonts w:eastAsia="Times New Roman"/>
          <w:szCs w:val="20"/>
        </w:rPr>
        <w:t> </w:t>
      </w:r>
    </w:p>
    <w:p w14:paraId="50A8CC8E" w14:textId="77777777" w:rsidR="000C465B" w:rsidRPr="000C465B" w:rsidRDefault="000C465B" w:rsidP="000C465B">
      <w:pPr>
        <w:spacing w:after="0"/>
        <w:rPr>
          <w:rFonts w:eastAsia="Times New Roman"/>
          <w:szCs w:val="20"/>
        </w:rPr>
      </w:pPr>
      <w:r w:rsidRPr="000C465B">
        <w:rPr>
          <w:rFonts w:eastAsia="Times New Roman"/>
          <w:szCs w:val="20"/>
        </w:rPr>
        <w:t>Importantly, voluntary statements are subject to a wide range of legal and regulatory requirements. Some of these requirements are general in nature, and some are specific to net contents.  An example of a general requirement is the FDA's prohibition of false or misleading statements of any kind on food labels. Specific prohibitions are set out in many state laws and regulations, such as laws that prohibit misrepresentations relating to quantity. For example, Florida law provides that "no person shall sell or offer or exposure for sale less than the quantity he or she represents."  Wisconsin law prohibits representations “</w:t>
      </w:r>
      <w:r w:rsidRPr="000C465B">
        <w:rPr>
          <w:szCs w:val="20"/>
        </w:rPr>
        <w:t>in any manner a false quantity or price in connection with the purchase or sale, or any advertising thereof, of any commodity, thing or service.”</w:t>
      </w:r>
    </w:p>
    <w:p w14:paraId="76BC3FD2" w14:textId="77777777" w:rsidR="000C465B" w:rsidRPr="000C465B" w:rsidRDefault="000C465B" w:rsidP="000C465B">
      <w:pPr>
        <w:spacing w:after="0"/>
        <w:rPr>
          <w:rFonts w:eastAsia="Times New Roman"/>
          <w:szCs w:val="20"/>
        </w:rPr>
      </w:pPr>
      <w:r w:rsidRPr="000C465B">
        <w:rPr>
          <w:rFonts w:eastAsia="Times New Roman"/>
          <w:szCs w:val="20"/>
        </w:rPr>
        <w:t> </w:t>
      </w:r>
    </w:p>
    <w:p w14:paraId="2EE94C22" w14:textId="77777777" w:rsidR="000C465B" w:rsidRPr="000C465B" w:rsidRDefault="000C465B" w:rsidP="000C465B">
      <w:pPr>
        <w:spacing w:after="0"/>
        <w:rPr>
          <w:rFonts w:eastAsia="Times New Roman"/>
          <w:szCs w:val="20"/>
        </w:rPr>
      </w:pPr>
      <w:r w:rsidRPr="000C465B">
        <w:rPr>
          <w:rFonts w:eastAsia="Times New Roman"/>
          <w:szCs w:val="20"/>
        </w:rPr>
        <w:t>These and other requirements for voluntary statements are legal obligations and companies must be prepared to demonstrate compliance as necessary. Enforcement practices that are selected will depend on the situation and may include a range of tactics:</w:t>
      </w:r>
    </w:p>
    <w:p w14:paraId="471A7D1B" w14:textId="77777777" w:rsidR="000C465B" w:rsidRPr="000C465B" w:rsidRDefault="000C465B" w:rsidP="000C465B">
      <w:pPr>
        <w:spacing w:after="0"/>
        <w:jc w:val="left"/>
        <w:rPr>
          <w:rFonts w:eastAsia="Times New Roman"/>
          <w:szCs w:val="20"/>
        </w:rPr>
      </w:pPr>
      <w:r w:rsidRPr="000C465B">
        <w:rPr>
          <w:rFonts w:eastAsia="Times New Roman"/>
          <w:szCs w:val="20"/>
        </w:rPr>
        <w:t> </w:t>
      </w:r>
    </w:p>
    <w:p w14:paraId="5E3E5CF5" w14:textId="77777777" w:rsidR="000C465B" w:rsidRPr="000C465B" w:rsidRDefault="000C465B" w:rsidP="007169B6">
      <w:pPr>
        <w:numPr>
          <w:ilvl w:val="0"/>
          <w:numId w:val="74"/>
        </w:numPr>
        <w:tabs>
          <w:tab w:val="num" w:pos="1260"/>
        </w:tabs>
        <w:spacing w:after="0" w:line="276" w:lineRule="auto"/>
        <w:jc w:val="left"/>
        <w:textAlignment w:val="center"/>
        <w:rPr>
          <w:rFonts w:eastAsia="Times New Roman"/>
          <w:szCs w:val="20"/>
        </w:rPr>
      </w:pPr>
      <w:r w:rsidRPr="000C465B">
        <w:rPr>
          <w:rFonts w:eastAsia="Times New Roman"/>
          <w:szCs w:val="20"/>
        </w:rPr>
        <w:t>Informal inquiries (e.g., questions during inspections or via a phone call)</w:t>
      </w:r>
    </w:p>
    <w:p w14:paraId="19810F47" w14:textId="77777777" w:rsidR="000C465B" w:rsidRPr="000C465B" w:rsidRDefault="000C465B" w:rsidP="007169B6">
      <w:pPr>
        <w:numPr>
          <w:ilvl w:val="0"/>
          <w:numId w:val="75"/>
        </w:numPr>
        <w:tabs>
          <w:tab w:val="num" w:pos="1260"/>
        </w:tabs>
        <w:spacing w:after="0" w:line="276" w:lineRule="auto"/>
        <w:ind w:left="1080"/>
        <w:jc w:val="left"/>
        <w:textAlignment w:val="center"/>
        <w:rPr>
          <w:rFonts w:eastAsia="Times New Roman"/>
          <w:szCs w:val="20"/>
        </w:rPr>
      </w:pPr>
      <w:r w:rsidRPr="000C465B">
        <w:rPr>
          <w:rFonts w:eastAsia="Times New Roman"/>
          <w:szCs w:val="20"/>
        </w:rPr>
        <w:t>Written requests to demonstrate compliance (e.g., letters sent to the attention of a company's executives or legal/regulatory departments), which may be initiated by either regulators or by industry in the event of a potential competitive dispute.</w:t>
      </w:r>
    </w:p>
    <w:p w14:paraId="0733DC55" w14:textId="77777777" w:rsidR="000C465B" w:rsidRPr="000C465B" w:rsidRDefault="000C465B" w:rsidP="007169B6">
      <w:pPr>
        <w:numPr>
          <w:ilvl w:val="0"/>
          <w:numId w:val="76"/>
        </w:numPr>
        <w:tabs>
          <w:tab w:val="num" w:pos="1260"/>
        </w:tabs>
        <w:spacing w:after="0" w:line="276" w:lineRule="auto"/>
        <w:ind w:left="1080"/>
        <w:jc w:val="left"/>
        <w:textAlignment w:val="center"/>
        <w:rPr>
          <w:rFonts w:eastAsia="Times New Roman"/>
          <w:szCs w:val="20"/>
        </w:rPr>
      </w:pPr>
      <w:r w:rsidRPr="000C465B">
        <w:rPr>
          <w:rFonts w:eastAsia="Times New Roman"/>
          <w:szCs w:val="20"/>
        </w:rPr>
        <w:t>Written warnings from a regulatory agency that a particular product label is false, misleading, or otherwise violative of a specific requirement.</w:t>
      </w:r>
    </w:p>
    <w:p w14:paraId="6B984B92" w14:textId="77777777" w:rsidR="000C465B" w:rsidRPr="000C465B" w:rsidRDefault="000C465B" w:rsidP="007169B6">
      <w:pPr>
        <w:numPr>
          <w:ilvl w:val="0"/>
          <w:numId w:val="77"/>
        </w:numPr>
        <w:tabs>
          <w:tab w:val="num" w:pos="1260"/>
        </w:tabs>
        <w:spacing w:after="0" w:line="276" w:lineRule="auto"/>
        <w:jc w:val="left"/>
        <w:textAlignment w:val="center"/>
        <w:rPr>
          <w:rFonts w:eastAsia="Times New Roman"/>
          <w:szCs w:val="20"/>
        </w:rPr>
      </w:pPr>
      <w:r w:rsidRPr="000C465B">
        <w:rPr>
          <w:rFonts w:eastAsia="Times New Roman"/>
          <w:szCs w:val="20"/>
        </w:rPr>
        <w:t>Negotiations to resolve labeling concerns, such as a regulatory agency seeking a consent decree or a company asking the National Advertising Division (NAD) to resolve a competitive dispute.</w:t>
      </w:r>
    </w:p>
    <w:p w14:paraId="4C97FDB3" w14:textId="77777777" w:rsidR="000C465B" w:rsidRPr="000C465B" w:rsidRDefault="000C465B" w:rsidP="007169B6">
      <w:pPr>
        <w:numPr>
          <w:ilvl w:val="0"/>
          <w:numId w:val="77"/>
        </w:numPr>
        <w:tabs>
          <w:tab w:val="num" w:pos="1260"/>
        </w:tabs>
        <w:spacing w:after="0" w:line="276" w:lineRule="auto"/>
        <w:jc w:val="left"/>
        <w:textAlignment w:val="center"/>
        <w:rPr>
          <w:rFonts w:eastAsia="Times New Roman"/>
          <w:szCs w:val="20"/>
        </w:rPr>
      </w:pPr>
      <w:r w:rsidRPr="000C465B">
        <w:rPr>
          <w:rFonts w:eastAsia="Times New Roman"/>
          <w:szCs w:val="20"/>
        </w:rPr>
        <w:t>Formal legal challenges, such as product seizures or stop-sale orders, where the relevant requirements for such actions are met.</w:t>
      </w:r>
    </w:p>
    <w:p w14:paraId="7DEC97F6" w14:textId="77777777" w:rsidR="000C465B" w:rsidRPr="000C465B" w:rsidRDefault="000C465B" w:rsidP="000C465B">
      <w:pPr>
        <w:spacing w:after="0"/>
        <w:jc w:val="left"/>
        <w:rPr>
          <w:rFonts w:eastAsia="Times New Roman"/>
          <w:szCs w:val="20"/>
        </w:rPr>
      </w:pPr>
      <w:r w:rsidRPr="000C465B">
        <w:rPr>
          <w:rFonts w:eastAsia="Times New Roman"/>
          <w:szCs w:val="20"/>
        </w:rPr>
        <w:t> </w:t>
      </w:r>
    </w:p>
    <w:p w14:paraId="788EB3B2" w14:textId="77777777" w:rsidR="000C465B" w:rsidRPr="000C465B" w:rsidRDefault="000C465B" w:rsidP="000C465B">
      <w:pPr>
        <w:spacing w:after="0"/>
        <w:jc w:val="left"/>
        <w:rPr>
          <w:rFonts w:eastAsia="Times New Roman"/>
          <w:szCs w:val="20"/>
        </w:rPr>
      </w:pPr>
      <w:r w:rsidRPr="000C465B">
        <w:rPr>
          <w:rFonts w:eastAsia="Times New Roman"/>
          <w:szCs w:val="20"/>
        </w:rPr>
        <w:t>These guidelines are intended to aid in all such compliance efforts as appropriate. For example:</w:t>
      </w:r>
    </w:p>
    <w:p w14:paraId="1590B345" w14:textId="77777777" w:rsidR="000C465B" w:rsidRPr="000C465B" w:rsidRDefault="000C465B" w:rsidP="000C465B">
      <w:pPr>
        <w:spacing w:after="0"/>
        <w:jc w:val="left"/>
        <w:rPr>
          <w:rFonts w:eastAsia="Times New Roman"/>
          <w:szCs w:val="20"/>
        </w:rPr>
      </w:pPr>
    </w:p>
    <w:p w14:paraId="6B3A1E6D" w14:textId="77777777" w:rsidR="000C465B" w:rsidRPr="000C465B" w:rsidRDefault="000C465B" w:rsidP="007169B6">
      <w:pPr>
        <w:numPr>
          <w:ilvl w:val="0"/>
          <w:numId w:val="78"/>
        </w:numPr>
        <w:spacing w:after="0" w:line="276" w:lineRule="auto"/>
        <w:contextualSpacing/>
        <w:jc w:val="left"/>
        <w:rPr>
          <w:rFonts w:eastAsia="Times New Roman"/>
          <w:szCs w:val="20"/>
        </w:rPr>
      </w:pPr>
      <w:r w:rsidRPr="000C465B">
        <w:rPr>
          <w:rFonts w:eastAsia="Times New Roman"/>
          <w:szCs w:val="20"/>
        </w:rPr>
        <w:t xml:space="preserve">A regulatory agency may provide the guidelines as a resource to help educate a company about legal requirements and best practices for clear and non-misleading statements.  </w:t>
      </w:r>
    </w:p>
    <w:p w14:paraId="2FAE3CED" w14:textId="77777777" w:rsidR="000C465B" w:rsidRPr="000C465B" w:rsidRDefault="000C465B" w:rsidP="007169B6">
      <w:pPr>
        <w:numPr>
          <w:ilvl w:val="0"/>
          <w:numId w:val="78"/>
        </w:numPr>
        <w:spacing w:after="0" w:line="276" w:lineRule="auto"/>
        <w:contextualSpacing/>
        <w:jc w:val="left"/>
        <w:rPr>
          <w:rFonts w:eastAsia="Times New Roman"/>
          <w:szCs w:val="20"/>
        </w:rPr>
      </w:pPr>
      <w:r w:rsidRPr="000C465B">
        <w:rPr>
          <w:rFonts w:eastAsia="Times New Roman"/>
          <w:szCs w:val="20"/>
        </w:rPr>
        <w:t xml:space="preserve">A company may provide </w:t>
      </w:r>
      <w:proofErr w:type="gramStart"/>
      <w:r w:rsidRPr="000C465B">
        <w:rPr>
          <w:rFonts w:eastAsia="Times New Roman"/>
          <w:szCs w:val="20"/>
        </w:rPr>
        <w:t>the guidelines</w:t>
      </w:r>
      <w:proofErr w:type="gramEnd"/>
      <w:r w:rsidRPr="000C465B">
        <w:rPr>
          <w:rFonts w:eastAsia="Times New Roman"/>
          <w:szCs w:val="20"/>
        </w:rPr>
        <w:t xml:space="preserve"> to a competitor that is making what is believed to be an unsupported or misleading claim, to help emphasize the seriousness of quantity-related statements.</w:t>
      </w:r>
    </w:p>
    <w:p w14:paraId="4A64175B" w14:textId="77777777" w:rsidR="000C465B" w:rsidRPr="000C465B" w:rsidRDefault="000C465B" w:rsidP="007169B6">
      <w:pPr>
        <w:numPr>
          <w:ilvl w:val="0"/>
          <w:numId w:val="78"/>
        </w:numPr>
        <w:spacing w:after="0" w:line="276" w:lineRule="auto"/>
        <w:contextualSpacing/>
        <w:jc w:val="left"/>
        <w:rPr>
          <w:rFonts w:eastAsia="Times New Roman"/>
          <w:szCs w:val="20"/>
        </w:rPr>
      </w:pPr>
      <w:r w:rsidRPr="000C465B">
        <w:rPr>
          <w:rFonts w:eastAsia="Times New Roman"/>
          <w:szCs w:val="20"/>
        </w:rPr>
        <w:t xml:space="preserve">The guidelines may help define the issues that need to be addressed in a legal negotiation or proceeding. </w:t>
      </w:r>
    </w:p>
    <w:p w14:paraId="7CE0CDEE" w14:textId="77777777" w:rsidR="000C465B" w:rsidRPr="000C465B" w:rsidRDefault="000C465B" w:rsidP="000C465B">
      <w:pPr>
        <w:spacing w:after="0"/>
        <w:ind w:left="720"/>
        <w:contextualSpacing/>
        <w:jc w:val="left"/>
        <w:rPr>
          <w:rFonts w:eastAsia="Times New Roman"/>
          <w:szCs w:val="20"/>
        </w:rPr>
      </w:pPr>
    </w:p>
    <w:p w14:paraId="5749156D" w14:textId="77777777" w:rsidR="000C465B" w:rsidRPr="000C465B" w:rsidRDefault="000C465B" w:rsidP="000C465B">
      <w:pPr>
        <w:spacing w:after="200" w:line="276" w:lineRule="auto"/>
        <w:jc w:val="left"/>
        <w:rPr>
          <w:b/>
          <w:szCs w:val="20"/>
        </w:rPr>
      </w:pPr>
      <w:r w:rsidRPr="000C465B">
        <w:rPr>
          <w:rFonts w:eastAsia="Times New Roman"/>
          <w:szCs w:val="20"/>
        </w:rPr>
        <w:t>Due to the inherent nature and diversity of voluntary statements, the guidelines' specific use will be case-specific.</w:t>
      </w:r>
    </w:p>
    <w:p w14:paraId="29C7DB14" w14:textId="77777777" w:rsidR="000C465B" w:rsidRPr="000C465B" w:rsidRDefault="000C465B" w:rsidP="000C465B">
      <w:pPr>
        <w:spacing w:after="200" w:line="276" w:lineRule="auto"/>
        <w:jc w:val="center"/>
        <w:rPr>
          <w:rFonts w:ascii="Calibri" w:hAnsi="Calibri"/>
          <w:b/>
          <w:bCs/>
          <w:sz w:val="44"/>
          <w:szCs w:val="44"/>
        </w:rPr>
      </w:pPr>
    </w:p>
    <w:p w14:paraId="732C57FE" w14:textId="75580419" w:rsidR="00810BDD" w:rsidRDefault="00810BDD">
      <w:pPr>
        <w:spacing w:after="0"/>
        <w:jc w:val="left"/>
        <w:rPr>
          <w:rFonts w:ascii="Calibri" w:hAnsi="Calibri"/>
          <w:b/>
          <w:bCs/>
          <w:sz w:val="44"/>
          <w:szCs w:val="44"/>
        </w:rPr>
      </w:pPr>
      <w:r>
        <w:rPr>
          <w:rFonts w:ascii="Calibri" w:hAnsi="Calibri"/>
          <w:b/>
          <w:bCs/>
          <w:sz w:val="44"/>
          <w:szCs w:val="44"/>
        </w:rPr>
        <w:br w:type="page"/>
      </w:r>
    </w:p>
    <w:p w14:paraId="0738A14A" w14:textId="09F797F5" w:rsidR="000C465B" w:rsidRPr="00BD6458" w:rsidRDefault="000C465B" w:rsidP="000C465B">
      <w:pPr>
        <w:spacing w:after="0" w:line="276" w:lineRule="auto"/>
        <w:jc w:val="center"/>
        <w:rPr>
          <w:b/>
          <w:bCs/>
          <w:sz w:val="36"/>
          <w:szCs w:val="36"/>
        </w:rPr>
      </w:pPr>
      <w:bookmarkStart w:id="892" w:name="Appendix_1"/>
      <w:r w:rsidRPr="00BD6458">
        <w:rPr>
          <w:b/>
          <w:bCs/>
          <w:sz w:val="36"/>
          <w:szCs w:val="36"/>
        </w:rPr>
        <w:lastRenderedPageBreak/>
        <w:t>Appendix 1</w:t>
      </w:r>
    </w:p>
    <w:bookmarkEnd w:id="892"/>
    <w:p w14:paraId="22904AA8" w14:textId="77777777" w:rsidR="000C465B" w:rsidRPr="000C465B" w:rsidRDefault="000C465B" w:rsidP="000C465B">
      <w:pPr>
        <w:spacing w:after="200" w:line="276" w:lineRule="auto"/>
        <w:jc w:val="center"/>
        <w:rPr>
          <w:b/>
          <w:bCs/>
          <w:sz w:val="36"/>
          <w:szCs w:val="36"/>
        </w:rPr>
      </w:pPr>
      <w:r w:rsidRPr="000C465B">
        <w:rPr>
          <w:b/>
          <w:bCs/>
          <w:sz w:val="36"/>
          <w:szCs w:val="36"/>
        </w:rPr>
        <w:t>Supplemental Statements</w:t>
      </w:r>
    </w:p>
    <w:p w14:paraId="148CE068" w14:textId="77777777" w:rsidR="000C465B" w:rsidRPr="000C465B" w:rsidRDefault="000C465B" w:rsidP="000C465B">
      <w:pPr>
        <w:spacing w:after="200" w:line="276" w:lineRule="auto"/>
        <w:rPr>
          <w:szCs w:val="20"/>
        </w:rPr>
      </w:pPr>
      <w:r w:rsidRPr="000C465B">
        <w:rPr>
          <w:szCs w:val="20"/>
        </w:rPr>
        <w:t>There has been discussion regarding when, where or how added quantity-related information can appear on a package label.  The required Declaration of Net Quantity (</w:t>
      </w:r>
      <w:proofErr w:type="spellStart"/>
      <w:r w:rsidRPr="000C465B">
        <w:rPr>
          <w:szCs w:val="20"/>
        </w:rPr>
        <w:t>DoNQ</w:t>
      </w:r>
      <w:proofErr w:type="spellEnd"/>
      <w:r w:rsidRPr="000C465B">
        <w:rPr>
          <w:szCs w:val="20"/>
        </w:rPr>
        <w:t xml:space="preserve">) statement is specific to its content and location in the Fair Packaging and Labeling Act (FPLA) and in specific product regulations.  Conversely, FPLA and federal agency regulations speak minimally and vaguely to the subject of adding other accurate information to the product label.  </w:t>
      </w:r>
    </w:p>
    <w:p w14:paraId="7B89B34B" w14:textId="77777777" w:rsidR="000C465B" w:rsidRPr="000C465B" w:rsidRDefault="000C465B" w:rsidP="000C465B">
      <w:pPr>
        <w:spacing w:after="200" w:line="276" w:lineRule="auto"/>
        <w:rPr>
          <w:szCs w:val="20"/>
        </w:rPr>
      </w:pPr>
      <w:r w:rsidRPr="000C465B">
        <w:rPr>
          <w:szCs w:val="20"/>
        </w:rPr>
        <w:t xml:space="preserve">This Appendix summarizes the legal/regulatory history regarding use of “supplemental statements” which are mentioned in FPLA, and in agency regulations (such as those promulgated by the Federal Trade Commission (FTC) and the Food and Drug Administration (FDA)).  </w:t>
      </w:r>
    </w:p>
    <w:p w14:paraId="6CB04951" w14:textId="77777777" w:rsidR="000C465B" w:rsidRPr="000C465B" w:rsidRDefault="000C465B" w:rsidP="000C465B">
      <w:pPr>
        <w:spacing w:after="200" w:line="276" w:lineRule="auto"/>
        <w:jc w:val="left"/>
        <w:rPr>
          <w:b/>
          <w:bCs/>
          <w:sz w:val="24"/>
          <w:szCs w:val="24"/>
        </w:rPr>
      </w:pPr>
      <w:r w:rsidRPr="000C465B">
        <w:rPr>
          <w:b/>
          <w:bCs/>
          <w:sz w:val="24"/>
          <w:szCs w:val="24"/>
        </w:rPr>
        <w:t>Fair Packaging and Labeling Act (FPLA)</w:t>
      </w:r>
    </w:p>
    <w:p w14:paraId="41F9990B" w14:textId="77777777" w:rsidR="000C465B" w:rsidRPr="000C465B" w:rsidRDefault="000C465B" w:rsidP="000C465B">
      <w:pPr>
        <w:spacing w:after="200" w:line="276" w:lineRule="auto"/>
        <w:jc w:val="left"/>
        <w:rPr>
          <w:szCs w:val="20"/>
        </w:rPr>
      </w:pPr>
      <w:r w:rsidRPr="000C465B">
        <w:rPr>
          <w:szCs w:val="20"/>
        </w:rPr>
        <w:t>The supplemental statement requirement comes from FPLA Section 4(b):</w:t>
      </w:r>
    </w:p>
    <w:p w14:paraId="1F711523" w14:textId="77777777" w:rsidR="000C465B" w:rsidRPr="000C465B" w:rsidRDefault="000C465B" w:rsidP="000C465B">
      <w:pPr>
        <w:spacing w:after="200" w:line="276" w:lineRule="auto"/>
        <w:ind w:left="720"/>
        <w:jc w:val="left"/>
        <w:rPr>
          <w:b/>
          <w:bCs/>
          <w:szCs w:val="20"/>
        </w:rPr>
      </w:pPr>
      <w:r w:rsidRPr="000C465B">
        <w:rPr>
          <w:b/>
          <w:bCs/>
          <w:szCs w:val="20"/>
        </w:rPr>
        <w:t xml:space="preserve"> “Requirements of labeling; placement, form, and contents of statement of quantity; supplemental statement of quantity</w:t>
      </w:r>
    </w:p>
    <w:p w14:paraId="5044A6E5" w14:textId="77777777" w:rsidR="000C465B" w:rsidRPr="000C465B" w:rsidRDefault="000C465B" w:rsidP="000C465B">
      <w:pPr>
        <w:spacing w:after="200" w:line="276" w:lineRule="auto"/>
        <w:ind w:left="720"/>
        <w:jc w:val="left"/>
        <w:rPr>
          <w:b/>
          <w:bCs/>
          <w:szCs w:val="20"/>
        </w:rPr>
      </w:pPr>
      <w:r w:rsidRPr="000C465B">
        <w:rPr>
          <w:b/>
          <w:bCs/>
          <w:szCs w:val="20"/>
        </w:rPr>
        <w:t xml:space="preserve"> (b) Supplemental statements</w:t>
      </w:r>
    </w:p>
    <w:p w14:paraId="74C38E75" w14:textId="77777777" w:rsidR="000C465B" w:rsidRPr="000C465B" w:rsidRDefault="000C465B" w:rsidP="000C465B">
      <w:pPr>
        <w:spacing w:after="200" w:line="276" w:lineRule="auto"/>
        <w:ind w:left="720"/>
        <w:jc w:val="left"/>
        <w:rPr>
          <w:szCs w:val="20"/>
        </w:rPr>
      </w:pPr>
      <w:r w:rsidRPr="000C465B">
        <w:rPr>
          <w:szCs w:val="20"/>
        </w:rPr>
        <w:t>No person … shall distribute … any packaged consumer commodity if any qualifying words or phrases appear in conjunction with the separate statement of the net quantity of contents required by subsection (a), but nothing … shall prohibit supplemental statements, at other places on the package, describing in nondeceptive terms the net quantity of contents: </w:t>
      </w:r>
      <w:r w:rsidRPr="000C465B">
        <w:rPr>
          <w:i/>
          <w:iCs/>
          <w:szCs w:val="20"/>
        </w:rPr>
        <w:t>Provided</w:t>
      </w:r>
      <w:r w:rsidRPr="000C465B">
        <w:rPr>
          <w:szCs w:val="20"/>
        </w:rPr>
        <w:t>, That such supplemental statements of net quantity of contents shall not include any term qualifying a unit of weight or mass, measure, or count that tends to exaggerate the amount of the commodity contained in the package.” (15 U.S.C. 1453)</w:t>
      </w:r>
    </w:p>
    <w:p w14:paraId="0D3D1498" w14:textId="77777777" w:rsidR="000C465B" w:rsidRPr="000C465B" w:rsidRDefault="000C465B" w:rsidP="000C465B">
      <w:pPr>
        <w:spacing w:after="200" w:line="276" w:lineRule="auto"/>
        <w:jc w:val="left"/>
        <w:rPr>
          <w:szCs w:val="20"/>
        </w:rPr>
      </w:pPr>
      <w:r w:rsidRPr="000C465B">
        <w:rPr>
          <w:szCs w:val="20"/>
        </w:rPr>
        <w:t>There are three parts to this information from FPLA:</w:t>
      </w:r>
    </w:p>
    <w:p w14:paraId="7B4BC8E2" w14:textId="77777777" w:rsidR="000C465B" w:rsidRPr="000C465B" w:rsidRDefault="000C465B" w:rsidP="007169B6">
      <w:pPr>
        <w:numPr>
          <w:ilvl w:val="1"/>
          <w:numId w:val="77"/>
        </w:numPr>
        <w:spacing w:after="0" w:line="276" w:lineRule="auto"/>
        <w:contextualSpacing/>
        <w:jc w:val="left"/>
        <w:rPr>
          <w:rFonts w:eastAsia="Times New Roman"/>
          <w:szCs w:val="20"/>
        </w:rPr>
      </w:pPr>
      <w:r w:rsidRPr="000C465B">
        <w:rPr>
          <w:rFonts w:eastAsia="Times New Roman"/>
          <w:szCs w:val="20"/>
        </w:rPr>
        <w:t>No mandatory language is specified for the supplemental statement.</w:t>
      </w:r>
    </w:p>
    <w:p w14:paraId="256672C0" w14:textId="77777777" w:rsidR="000C465B" w:rsidRPr="000C465B" w:rsidRDefault="000C465B" w:rsidP="007169B6">
      <w:pPr>
        <w:numPr>
          <w:ilvl w:val="1"/>
          <w:numId w:val="77"/>
        </w:numPr>
        <w:spacing w:after="0" w:line="276" w:lineRule="auto"/>
        <w:contextualSpacing/>
        <w:jc w:val="left"/>
        <w:rPr>
          <w:rFonts w:eastAsia="Times New Roman"/>
          <w:szCs w:val="20"/>
        </w:rPr>
      </w:pPr>
      <w:r w:rsidRPr="000C465B">
        <w:rPr>
          <w:rFonts w:eastAsia="Times New Roman"/>
          <w:szCs w:val="20"/>
        </w:rPr>
        <w:t>Supplemental statements are allowed “at other places”.</w:t>
      </w:r>
    </w:p>
    <w:p w14:paraId="664CF1E9" w14:textId="77777777" w:rsidR="000C465B" w:rsidRPr="000C465B" w:rsidRDefault="000C465B" w:rsidP="007169B6">
      <w:pPr>
        <w:numPr>
          <w:ilvl w:val="1"/>
          <w:numId w:val="77"/>
        </w:numPr>
        <w:spacing w:after="0" w:line="276" w:lineRule="auto"/>
        <w:contextualSpacing/>
        <w:jc w:val="left"/>
        <w:rPr>
          <w:rFonts w:eastAsia="Times New Roman"/>
          <w:szCs w:val="20"/>
        </w:rPr>
      </w:pPr>
      <w:r w:rsidRPr="000C465B">
        <w:rPr>
          <w:rFonts w:eastAsia="Times New Roman"/>
          <w:szCs w:val="20"/>
        </w:rPr>
        <w:t>Terms that exaggerate an amount (the net quantity) are not allowed.</w:t>
      </w:r>
    </w:p>
    <w:p w14:paraId="30E96065" w14:textId="77777777" w:rsidR="000C465B" w:rsidRPr="000C465B" w:rsidRDefault="000C465B" w:rsidP="000C465B">
      <w:pPr>
        <w:spacing w:after="0"/>
        <w:ind w:left="2160"/>
        <w:contextualSpacing/>
        <w:jc w:val="left"/>
        <w:rPr>
          <w:rFonts w:eastAsia="Times New Roman"/>
          <w:sz w:val="24"/>
          <w:szCs w:val="24"/>
        </w:rPr>
      </w:pPr>
    </w:p>
    <w:p w14:paraId="0423D9FD" w14:textId="77777777" w:rsidR="000C465B" w:rsidRPr="000C465B" w:rsidRDefault="000C465B" w:rsidP="000C465B">
      <w:pPr>
        <w:spacing w:after="200" w:line="276" w:lineRule="auto"/>
        <w:jc w:val="left"/>
        <w:rPr>
          <w:b/>
          <w:bCs/>
          <w:sz w:val="24"/>
          <w:szCs w:val="24"/>
        </w:rPr>
      </w:pPr>
      <w:r w:rsidRPr="000C465B">
        <w:rPr>
          <w:b/>
          <w:bCs/>
          <w:sz w:val="24"/>
          <w:szCs w:val="24"/>
        </w:rPr>
        <w:t>What is a Supplemental Statement?</w:t>
      </w:r>
    </w:p>
    <w:p w14:paraId="6E6E6379" w14:textId="77777777" w:rsidR="000C465B" w:rsidRPr="000C465B" w:rsidRDefault="000C465B" w:rsidP="000C465B">
      <w:pPr>
        <w:spacing w:after="200" w:line="276" w:lineRule="auto"/>
        <w:rPr>
          <w:szCs w:val="20"/>
        </w:rPr>
      </w:pPr>
      <w:r w:rsidRPr="000C465B">
        <w:rPr>
          <w:szCs w:val="20"/>
        </w:rPr>
        <w:t xml:space="preserve">There is no official definition in the FPLA or regulations promulgated by the Federal Trade Commission (FTC) and the Food and Drug Administration (FDA). U.S. congressional legislative history has provided this example: “6 oz. of fast acting X detergent”, and in the following, Congress has said this is a “supplemental statement” that can be “apart from the required net quantity statement”: </w:t>
      </w:r>
    </w:p>
    <w:p w14:paraId="1BEB0B60" w14:textId="77777777" w:rsidR="000C465B" w:rsidRPr="000C465B" w:rsidRDefault="000C465B" w:rsidP="000C465B">
      <w:pPr>
        <w:spacing w:after="200" w:line="276" w:lineRule="auto"/>
        <w:ind w:left="720"/>
        <w:jc w:val="left"/>
        <w:rPr>
          <w:szCs w:val="20"/>
        </w:rPr>
      </w:pPr>
      <w:r w:rsidRPr="000C465B">
        <w:rPr>
          <w:szCs w:val="20"/>
        </w:rPr>
        <w:t xml:space="preserve">“Subsection 4(b) prohibits the qualification of the separate quantity statement by any modifying words or phrases. However, a supplemental statement of the net quantity of contents set apart from the separate net quantity statemen, required by the bill, may be modified by nondeceptive words or phrases, so long as such words or phrases do not tend to exaggerate the amount of the commodity contained in the package. For example, where a package contains a separate net quantity statement in conformity with promulgated regulations, such as ‘6 oz. net weight,’ the package could also contain in a supplemental statement, apart from the required net quantity statement, the phrase ‘6 oz. of fast acting X detergent’ but could not contain the statement ‘6 jumbo oz. of X detergent’ at any place on the package.” (Senate Report 1186 at 5-6) </w:t>
      </w:r>
    </w:p>
    <w:p w14:paraId="23202370" w14:textId="77777777" w:rsidR="000C465B" w:rsidRPr="000C465B" w:rsidRDefault="000C465B" w:rsidP="000C465B">
      <w:pPr>
        <w:spacing w:after="200" w:line="276" w:lineRule="auto"/>
        <w:jc w:val="left"/>
        <w:rPr>
          <w:b/>
          <w:bCs/>
          <w:sz w:val="24"/>
          <w:szCs w:val="24"/>
        </w:rPr>
      </w:pPr>
      <w:r w:rsidRPr="000C465B">
        <w:rPr>
          <w:b/>
          <w:bCs/>
          <w:sz w:val="24"/>
          <w:szCs w:val="24"/>
        </w:rPr>
        <w:lastRenderedPageBreak/>
        <w:t xml:space="preserve">Food and Drug Administration (FDA) </w:t>
      </w:r>
    </w:p>
    <w:p w14:paraId="22FC570E" w14:textId="77777777" w:rsidR="000C465B" w:rsidRPr="000C465B" w:rsidRDefault="000C465B" w:rsidP="000C465B">
      <w:pPr>
        <w:spacing w:after="200" w:line="276" w:lineRule="auto"/>
        <w:rPr>
          <w:szCs w:val="20"/>
        </w:rPr>
      </w:pPr>
      <w:r w:rsidRPr="000C465B">
        <w:rPr>
          <w:szCs w:val="20"/>
        </w:rPr>
        <w:t>The FDA administers the FPLA with respect to foods, drugs, cosmetics and medical devices. Pursuant to their authority under FPLA, FDA has issued food labeling regulations under Title 21, Chapter 1, Subchapter B in the Code of Federal Regulations. 21 CFR §101.7(o) states:</w:t>
      </w:r>
    </w:p>
    <w:p w14:paraId="45A485FC" w14:textId="77777777" w:rsidR="000C465B" w:rsidRPr="000C465B" w:rsidRDefault="000C465B" w:rsidP="000C465B">
      <w:pPr>
        <w:spacing w:after="200" w:line="276" w:lineRule="auto"/>
        <w:ind w:left="720"/>
        <w:jc w:val="left"/>
        <w:rPr>
          <w:szCs w:val="20"/>
        </w:rPr>
      </w:pPr>
      <w:r w:rsidRPr="000C465B">
        <w:rPr>
          <w:szCs w:val="20"/>
        </w:rPr>
        <w:t xml:space="preserve">“Nothing in this section shall prohibit supplemental statements at locations other than the principal display panel(s) describing in nondeceptive terms the net quantity of contents; </w:t>
      </w:r>
      <w:r w:rsidRPr="000C465B">
        <w:rPr>
          <w:i/>
          <w:iCs/>
          <w:szCs w:val="20"/>
        </w:rPr>
        <w:t>Provided,</w:t>
      </w:r>
      <w:r w:rsidRPr="000C465B">
        <w:rPr>
          <w:szCs w:val="20"/>
        </w:rPr>
        <w:t xml:space="preserve"> that such supplemental statements of net quantity of contents shall not include any term qualifying a unit of weight, measure, or count that tends to exaggerate the amount of the food contained in the package; for example, ‘jumbo quart’ and ‘full gallon’.”</w:t>
      </w:r>
    </w:p>
    <w:p w14:paraId="53B4DC7A" w14:textId="77777777" w:rsidR="000C465B" w:rsidRPr="000C465B" w:rsidRDefault="000C465B" w:rsidP="000C465B">
      <w:pPr>
        <w:spacing w:after="200" w:line="276" w:lineRule="auto"/>
        <w:rPr>
          <w:szCs w:val="20"/>
        </w:rPr>
      </w:pPr>
      <w:r w:rsidRPr="000C465B">
        <w:rPr>
          <w:szCs w:val="20"/>
        </w:rPr>
        <w:t>What this means is that the Declaration of Net Quantity may not contain statements designed to imply that one product is different in quantity from other products that declare the same net contents. What this also means is that Congress wanted the required declaration to be separate from supplemental statements designed to promote product sales. 21 CFR §101.7(o) ensures that such separation exists by permitting supplementary net quantity statements on label panels other than the Principal Display Panel (PDP). However, there is no indication in Senate Report No. 1186, or elsewhere in the legislative history of the FPLA that congressional concern about a "supplementary statement" was intended to encompass other forms of non-misleading information about the quantity of contents other than the one required. To the contrary, the broad congressional policy in Section 2 of the FPLA states:</w:t>
      </w:r>
    </w:p>
    <w:p w14:paraId="5C7B1C8B" w14:textId="77777777" w:rsidR="000C465B" w:rsidRPr="000C465B" w:rsidRDefault="000C465B" w:rsidP="000C465B">
      <w:pPr>
        <w:spacing w:after="200" w:line="276" w:lineRule="auto"/>
        <w:ind w:left="720"/>
        <w:jc w:val="left"/>
        <w:rPr>
          <w:szCs w:val="20"/>
        </w:rPr>
      </w:pPr>
      <w:r w:rsidRPr="000C465B">
        <w:rPr>
          <w:szCs w:val="20"/>
        </w:rPr>
        <w:t>"Packages and labels should enable consumers to obtain accurate information as to the quantity of the contents and should facilitate value comparisons". (15 U.S.C. 1451)</w:t>
      </w:r>
    </w:p>
    <w:p w14:paraId="7A02F3BC" w14:textId="77777777" w:rsidR="000C465B" w:rsidRPr="000C465B" w:rsidRDefault="000C465B" w:rsidP="000C465B">
      <w:pPr>
        <w:spacing w:after="200" w:line="276" w:lineRule="auto"/>
        <w:rPr>
          <w:szCs w:val="20"/>
        </w:rPr>
      </w:pPr>
      <w:r w:rsidRPr="000C465B">
        <w:rPr>
          <w:i/>
          <w:iCs/>
          <w:szCs w:val="20"/>
        </w:rPr>
        <w:t>Note:</w:t>
      </w:r>
      <w:r w:rsidRPr="000C465B">
        <w:rPr>
          <w:szCs w:val="20"/>
        </w:rPr>
        <w:t xml:space="preserve"> Declaration of a statement of net quantity of contents in terms of both drained weight and net weight would not be inconsistent with this policy because such declarations advise consumers of the amount of food and the accompanying packing medium, thereby assisting purchasing decisions. [62 Fed. Reg. 9833-34 (Mar. 4, 1997)]</w:t>
      </w:r>
    </w:p>
    <w:p w14:paraId="5E4D5B12" w14:textId="77777777" w:rsidR="000C465B" w:rsidRPr="000C465B" w:rsidRDefault="000C465B" w:rsidP="000C465B">
      <w:pPr>
        <w:spacing w:after="200" w:line="276" w:lineRule="auto"/>
        <w:jc w:val="left"/>
        <w:rPr>
          <w:b/>
          <w:bCs/>
          <w:sz w:val="24"/>
          <w:szCs w:val="24"/>
        </w:rPr>
      </w:pPr>
      <w:r w:rsidRPr="000C465B">
        <w:rPr>
          <w:b/>
          <w:bCs/>
          <w:sz w:val="24"/>
          <w:szCs w:val="24"/>
        </w:rPr>
        <w:t>Federal Trade Commission (FTC)</w:t>
      </w:r>
    </w:p>
    <w:p w14:paraId="58ABB168" w14:textId="77777777" w:rsidR="000C465B" w:rsidRPr="000C465B" w:rsidRDefault="000C465B" w:rsidP="000C465B">
      <w:pPr>
        <w:spacing w:after="200" w:line="276" w:lineRule="auto"/>
        <w:rPr>
          <w:szCs w:val="20"/>
        </w:rPr>
      </w:pPr>
      <w:r w:rsidRPr="000C465B">
        <w:rPr>
          <w:szCs w:val="20"/>
        </w:rPr>
        <w:t>The FTC administers the FPLA with respect to other “consumer commodities” that are expended in the household. Pursuant to their authority under FPLA, FTC has issued labeling regulations under Title 16, Chapter 1, Subchapter E in the Code of Federal Regulations. 16 CFR §500.24 states:</w:t>
      </w:r>
    </w:p>
    <w:p w14:paraId="4DC1C3E3" w14:textId="77777777" w:rsidR="000C465B" w:rsidRPr="000C465B" w:rsidRDefault="000C465B" w:rsidP="000C465B">
      <w:pPr>
        <w:spacing w:after="200" w:line="276" w:lineRule="auto"/>
        <w:ind w:left="720"/>
        <w:jc w:val="left"/>
        <w:rPr>
          <w:szCs w:val="20"/>
        </w:rPr>
      </w:pPr>
      <w:r w:rsidRPr="000C465B">
        <w:rPr>
          <w:b/>
          <w:bCs/>
          <w:szCs w:val="20"/>
        </w:rPr>
        <w:t>“Supplemental statements.</w:t>
      </w:r>
    </w:p>
    <w:p w14:paraId="1D84C4E4" w14:textId="77777777" w:rsidR="000C465B" w:rsidRPr="000C465B" w:rsidRDefault="000C465B" w:rsidP="000C465B">
      <w:pPr>
        <w:spacing w:after="200" w:line="276" w:lineRule="auto"/>
        <w:ind w:left="720"/>
        <w:jc w:val="left"/>
        <w:rPr>
          <w:szCs w:val="20"/>
        </w:rPr>
      </w:pPr>
      <w:r w:rsidRPr="000C465B">
        <w:rPr>
          <w:szCs w:val="20"/>
        </w:rPr>
        <w:t xml:space="preserve">Nothing contained in the regulations in this part shall prohibit supplemental statements, at locations other than the principal display panel, describing in non-deceptive terms the net quantity of contents … Required combination declarations of net quantity of contents (for example, a combination of net weight or mass plus numerical count, numerical count plus dimensions of the commodity, etc.) are not regarded as supplemental net quantity statements and shall be located on the principal display panel. Dilution directions or other similar directions for use are not regarded as supplemental net quantity statements and may be located on the principal display panel. Size characterizations in compliance with standards promulgated under section 5(c)(1) of the Act may appear on the principal display </w:t>
      </w:r>
      <w:proofErr w:type="gramStart"/>
      <w:r w:rsidRPr="000C465B">
        <w:rPr>
          <w:szCs w:val="20"/>
        </w:rPr>
        <w:t>panel.”</w:t>
      </w:r>
      <w:proofErr w:type="gramEnd"/>
    </w:p>
    <w:p w14:paraId="0982281D" w14:textId="77777777" w:rsidR="000C465B" w:rsidRPr="000C465B" w:rsidRDefault="000C465B" w:rsidP="000C465B">
      <w:pPr>
        <w:spacing w:after="200" w:line="276" w:lineRule="auto"/>
        <w:jc w:val="left"/>
        <w:rPr>
          <w:b/>
          <w:bCs/>
          <w:sz w:val="24"/>
          <w:szCs w:val="24"/>
        </w:rPr>
      </w:pPr>
      <w:r w:rsidRPr="000C465B">
        <w:rPr>
          <w:b/>
          <w:bCs/>
          <w:sz w:val="24"/>
          <w:szCs w:val="24"/>
        </w:rPr>
        <w:t>Uniform Packaging and Labeling Regulation (UPLR)</w:t>
      </w:r>
    </w:p>
    <w:p w14:paraId="6149865F" w14:textId="77777777" w:rsidR="000C465B" w:rsidRPr="000C465B" w:rsidRDefault="000C465B" w:rsidP="000C465B">
      <w:pPr>
        <w:spacing w:after="200" w:line="276" w:lineRule="auto"/>
        <w:rPr>
          <w:szCs w:val="20"/>
        </w:rPr>
      </w:pPr>
      <w:r w:rsidRPr="000C465B">
        <w:rPr>
          <w:szCs w:val="20"/>
        </w:rPr>
        <w:t>The Uniform Packaging and Labeling Regulation (UPLR) was adopted by the National Council on Weights and Measures (NCWM) to provide accurate and adequate information on packages as to the identity and quantity of contents so that purchasers can make price and quantity comparisons to parallel regulations adopted by federal agencies under FPLA. Section 6.12 in NIST Handbook 130 states:</w:t>
      </w:r>
    </w:p>
    <w:p w14:paraId="5CB4E04C" w14:textId="77777777" w:rsidR="000C465B" w:rsidRPr="000C465B" w:rsidRDefault="000C465B" w:rsidP="000C465B">
      <w:pPr>
        <w:spacing w:after="200" w:line="276" w:lineRule="auto"/>
        <w:ind w:left="720"/>
        <w:jc w:val="left"/>
        <w:rPr>
          <w:szCs w:val="20"/>
        </w:rPr>
      </w:pPr>
      <w:r w:rsidRPr="000C465B">
        <w:rPr>
          <w:szCs w:val="20"/>
        </w:rPr>
        <w:lastRenderedPageBreak/>
        <w:t>“</w:t>
      </w:r>
      <w:r w:rsidRPr="000C465B">
        <w:rPr>
          <w:b/>
          <w:bCs/>
          <w:szCs w:val="20"/>
        </w:rPr>
        <w:t>Supplementary Quantity Declarations -</w:t>
      </w:r>
    </w:p>
    <w:p w14:paraId="220DB221" w14:textId="77777777" w:rsidR="000C465B" w:rsidRPr="000C465B" w:rsidRDefault="000C465B" w:rsidP="000C465B">
      <w:pPr>
        <w:spacing w:after="200" w:line="276" w:lineRule="auto"/>
        <w:ind w:left="720"/>
        <w:jc w:val="left"/>
        <w:rPr>
          <w:szCs w:val="20"/>
        </w:rPr>
      </w:pPr>
      <w:r w:rsidRPr="000C465B">
        <w:rPr>
          <w:szCs w:val="20"/>
        </w:rPr>
        <w:t>The required quantity declaration may be supplemented by one or more declarations of weight, measure, or count, such declaration appearing other than on a principal display panel.”</w:t>
      </w:r>
    </w:p>
    <w:p w14:paraId="027772C2" w14:textId="77777777" w:rsidR="000C465B" w:rsidRPr="000C465B" w:rsidRDefault="000C465B" w:rsidP="000C465B">
      <w:pPr>
        <w:spacing w:after="200" w:line="276" w:lineRule="auto"/>
        <w:jc w:val="left"/>
        <w:rPr>
          <w:b/>
          <w:bCs/>
          <w:sz w:val="24"/>
          <w:szCs w:val="24"/>
        </w:rPr>
      </w:pPr>
      <w:r w:rsidRPr="000C465B">
        <w:rPr>
          <w:b/>
          <w:bCs/>
          <w:sz w:val="24"/>
          <w:szCs w:val="24"/>
        </w:rPr>
        <w:t>FDA Interpretations</w:t>
      </w:r>
    </w:p>
    <w:p w14:paraId="3B7A3CFE" w14:textId="77777777" w:rsidR="000C465B" w:rsidRPr="000C465B" w:rsidRDefault="000C465B" w:rsidP="000C465B">
      <w:pPr>
        <w:spacing w:after="200" w:line="276" w:lineRule="auto"/>
        <w:rPr>
          <w:b/>
          <w:bCs/>
          <w:szCs w:val="20"/>
        </w:rPr>
      </w:pPr>
      <w:r w:rsidRPr="000C465B">
        <w:rPr>
          <w:szCs w:val="20"/>
        </w:rPr>
        <w:t xml:space="preserve">In the absence of a definition for supplemental statements, several instances emerged over time which required FDA to declare what is and what is not supplemental.  The first instance is an </w:t>
      </w:r>
      <w:proofErr w:type="gramStart"/>
      <w:r w:rsidRPr="000C465B">
        <w:rPr>
          <w:szCs w:val="20"/>
        </w:rPr>
        <w:t>FDA example</w:t>
      </w:r>
      <w:proofErr w:type="gramEnd"/>
      <w:r w:rsidRPr="000C465B">
        <w:rPr>
          <w:szCs w:val="20"/>
        </w:rPr>
        <w:t xml:space="preserve"> when the regulation was issued, the remaining are cases where FDA expressed an opinion based on a marketplace circumstance.  </w:t>
      </w:r>
    </w:p>
    <w:p w14:paraId="5B829ED0" w14:textId="77777777" w:rsidR="000C465B" w:rsidRPr="000C465B" w:rsidRDefault="000C465B" w:rsidP="007169B6">
      <w:pPr>
        <w:numPr>
          <w:ilvl w:val="0"/>
          <w:numId w:val="82"/>
        </w:numPr>
        <w:spacing w:after="200" w:line="276" w:lineRule="auto"/>
        <w:jc w:val="left"/>
        <w:rPr>
          <w:szCs w:val="20"/>
        </w:rPr>
      </w:pPr>
      <w:r w:rsidRPr="000C465B">
        <w:rPr>
          <w:szCs w:val="20"/>
        </w:rPr>
        <w:t xml:space="preserve">On a commodity requiring a declaration of fluid measure, a weight declaration IS supplemental when it is included as part of the Declaration of Net Quantity Statement. </w:t>
      </w:r>
    </w:p>
    <w:p w14:paraId="3D13676E" w14:textId="77777777" w:rsidR="000C465B" w:rsidRPr="000C465B" w:rsidRDefault="000C465B" w:rsidP="007169B6">
      <w:pPr>
        <w:numPr>
          <w:ilvl w:val="0"/>
          <w:numId w:val="82"/>
        </w:numPr>
        <w:spacing w:after="200" w:line="276" w:lineRule="auto"/>
        <w:jc w:val="left"/>
        <w:rPr>
          <w:szCs w:val="20"/>
        </w:rPr>
      </w:pPr>
      <w:r w:rsidRPr="000C465B">
        <w:rPr>
          <w:szCs w:val="20"/>
        </w:rPr>
        <w:t>On a commodity for which weight or volume is sufficient (e.g., sliced cheese, candy bars at Halloween, where weight is enough), count may be voluntarily added and IS NOT supplemental.</w:t>
      </w:r>
    </w:p>
    <w:p w14:paraId="2C73C6F2" w14:textId="77777777" w:rsidR="000C465B" w:rsidRPr="000C465B" w:rsidRDefault="000C465B" w:rsidP="007169B6">
      <w:pPr>
        <w:numPr>
          <w:ilvl w:val="0"/>
          <w:numId w:val="82"/>
        </w:numPr>
        <w:spacing w:after="200" w:line="276" w:lineRule="auto"/>
        <w:jc w:val="left"/>
        <w:rPr>
          <w:szCs w:val="20"/>
        </w:rPr>
      </w:pPr>
      <w:r w:rsidRPr="000C465B">
        <w:rPr>
          <w:szCs w:val="20"/>
        </w:rPr>
        <w:t>A voluntary declaration of drained weight IS NOT supplemental when combined with a mandatory declaration of the total package weight, including packing liquids.</w:t>
      </w:r>
    </w:p>
    <w:p w14:paraId="70A3FF8A" w14:textId="77777777" w:rsidR="000C465B" w:rsidRPr="000C465B" w:rsidRDefault="000C465B" w:rsidP="007169B6">
      <w:pPr>
        <w:numPr>
          <w:ilvl w:val="0"/>
          <w:numId w:val="82"/>
        </w:numPr>
        <w:spacing w:after="200" w:line="276" w:lineRule="auto"/>
        <w:jc w:val="left"/>
        <w:rPr>
          <w:szCs w:val="20"/>
        </w:rPr>
      </w:pPr>
      <w:r w:rsidRPr="000C465B">
        <w:rPr>
          <w:szCs w:val="20"/>
        </w:rPr>
        <w:t>A reconstitution declaration such as “makes 1 quart” IS NOT supplemental.</w:t>
      </w:r>
    </w:p>
    <w:p w14:paraId="5E8F31DD" w14:textId="77777777" w:rsidR="000C465B" w:rsidRPr="000C465B" w:rsidRDefault="000C465B" w:rsidP="007169B6">
      <w:pPr>
        <w:numPr>
          <w:ilvl w:val="0"/>
          <w:numId w:val="82"/>
        </w:numPr>
        <w:spacing w:after="200" w:line="276" w:lineRule="auto"/>
        <w:jc w:val="left"/>
        <w:rPr>
          <w:szCs w:val="20"/>
        </w:rPr>
      </w:pPr>
      <w:r w:rsidRPr="000C465B">
        <w:rPr>
          <w:szCs w:val="20"/>
        </w:rPr>
        <w:t>Metric labeling WAS NOT supplemental when it was voluntarily provided.  Metric labeling is now required for most products.</w:t>
      </w:r>
    </w:p>
    <w:p w14:paraId="3678D84F" w14:textId="77777777" w:rsidR="000C465B" w:rsidRPr="000C465B" w:rsidRDefault="000C465B" w:rsidP="000C465B">
      <w:pPr>
        <w:spacing w:after="200" w:line="276" w:lineRule="auto"/>
        <w:jc w:val="left"/>
        <w:rPr>
          <w:b/>
          <w:bCs/>
          <w:sz w:val="24"/>
          <w:szCs w:val="24"/>
        </w:rPr>
      </w:pPr>
      <w:r w:rsidRPr="000C465B">
        <w:rPr>
          <w:b/>
          <w:bCs/>
          <w:sz w:val="24"/>
          <w:szCs w:val="24"/>
        </w:rPr>
        <w:t>Metric Labeling</w:t>
      </w:r>
    </w:p>
    <w:p w14:paraId="550F0D30" w14:textId="77777777" w:rsidR="000C465B" w:rsidRPr="000C465B" w:rsidRDefault="000C465B" w:rsidP="000C465B">
      <w:pPr>
        <w:spacing w:after="200" w:line="276" w:lineRule="auto"/>
        <w:jc w:val="left"/>
        <w:rPr>
          <w:szCs w:val="20"/>
        </w:rPr>
      </w:pPr>
      <w:r w:rsidRPr="000C465B">
        <w:rPr>
          <w:szCs w:val="20"/>
        </w:rPr>
        <w:t>Metric labeling is not considered supplemental:</w:t>
      </w:r>
    </w:p>
    <w:p w14:paraId="3D79D702" w14:textId="77777777" w:rsidR="000C465B" w:rsidRPr="000C465B" w:rsidRDefault="000C465B" w:rsidP="000C465B">
      <w:pPr>
        <w:spacing w:after="200" w:line="276" w:lineRule="auto"/>
        <w:ind w:left="720"/>
        <w:jc w:val="left"/>
        <w:rPr>
          <w:szCs w:val="20"/>
        </w:rPr>
      </w:pPr>
      <w:r w:rsidRPr="000C465B">
        <w:rPr>
          <w:szCs w:val="20"/>
        </w:rPr>
        <w:t>“(p) A separate statement of the net quantity of contents in terms of the metric system is not regarded as a supplemental statement and an accurate statement of the net quantity of contents in terms of the metric system of weight or measure may also appear on the principal display panel or on other panels.” [32 Federal Register 10729, 10733 (July 21, 1967)]</w:t>
      </w:r>
    </w:p>
    <w:p w14:paraId="063A4923" w14:textId="77777777" w:rsidR="000C465B" w:rsidRPr="000C465B" w:rsidRDefault="000C465B" w:rsidP="000C465B">
      <w:pPr>
        <w:spacing w:after="200" w:line="276" w:lineRule="auto"/>
        <w:jc w:val="left"/>
        <w:rPr>
          <w:b/>
          <w:bCs/>
          <w:sz w:val="24"/>
          <w:szCs w:val="24"/>
        </w:rPr>
      </w:pPr>
      <w:r w:rsidRPr="000C465B">
        <w:rPr>
          <w:b/>
          <w:bCs/>
          <w:sz w:val="24"/>
          <w:szCs w:val="24"/>
        </w:rPr>
        <w:t>FTC Interpretations</w:t>
      </w:r>
    </w:p>
    <w:p w14:paraId="05147C4A" w14:textId="77777777" w:rsidR="000C465B" w:rsidRPr="000C465B" w:rsidRDefault="000C465B" w:rsidP="000C465B">
      <w:pPr>
        <w:spacing w:after="200" w:line="276" w:lineRule="auto"/>
        <w:jc w:val="left"/>
        <w:rPr>
          <w:b/>
          <w:bCs/>
          <w:szCs w:val="20"/>
        </w:rPr>
      </w:pPr>
      <w:r w:rsidRPr="000C465B">
        <w:rPr>
          <w:szCs w:val="20"/>
        </w:rPr>
        <w:t>FTC has similarly provided interpretations of their regulation since it has been issued.</w:t>
      </w:r>
    </w:p>
    <w:p w14:paraId="1C286FEA" w14:textId="77777777" w:rsidR="000C465B" w:rsidRPr="000C465B" w:rsidRDefault="000C465B" w:rsidP="007169B6">
      <w:pPr>
        <w:numPr>
          <w:ilvl w:val="0"/>
          <w:numId w:val="83"/>
        </w:numPr>
        <w:spacing w:after="200" w:line="276" w:lineRule="auto"/>
        <w:jc w:val="left"/>
        <w:rPr>
          <w:szCs w:val="20"/>
        </w:rPr>
      </w:pPr>
      <w:r w:rsidRPr="000C465B">
        <w:rPr>
          <w:szCs w:val="20"/>
        </w:rPr>
        <w:t xml:space="preserve">Required </w:t>
      </w:r>
      <w:proofErr w:type="gramStart"/>
      <w:r w:rsidRPr="000C465B">
        <w:rPr>
          <w:szCs w:val="20"/>
        </w:rPr>
        <w:t>combination Declarations</w:t>
      </w:r>
      <w:proofErr w:type="gramEnd"/>
      <w:r w:rsidRPr="000C465B">
        <w:rPr>
          <w:szCs w:val="20"/>
        </w:rPr>
        <w:t xml:space="preserve"> of Net Quantity of contents (e.g., net weight plus count) ARE NOT supplemental (seems to </w:t>
      </w:r>
      <w:proofErr w:type="gramStart"/>
      <w:r w:rsidRPr="000C465B">
        <w:rPr>
          <w:szCs w:val="20"/>
        </w:rPr>
        <w:t>be limited to</w:t>
      </w:r>
      <w:proofErr w:type="gramEnd"/>
      <w:r w:rsidRPr="000C465B">
        <w:rPr>
          <w:szCs w:val="20"/>
        </w:rPr>
        <w:t xml:space="preserve"> mandatory and differs from FDA).</w:t>
      </w:r>
    </w:p>
    <w:p w14:paraId="565A256B" w14:textId="77777777" w:rsidR="000C465B" w:rsidRPr="000C465B" w:rsidRDefault="000C465B" w:rsidP="007169B6">
      <w:pPr>
        <w:numPr>
          <w:ilvl w:val="0"/>
          <w:numId w:val="83"/>
        </w:numPr>
        <w:spacing w:after="200" w:line="276" w:lineRule="auto"/>
        <w:jc w:val="left"/>
        <w:rPr>
          <w:szCs w:val="20"/>
        </w:rPr>
      </w:pPr>
      <w:r w:rsidRPr="000C465B">
        <w:rPr>
          <w:szCs w:val="20"/>
        </w:rPr>
        <w:t>Dilution directions or other similar directions for use ARE NOT supplemental.</w:t>
      </w:r>
    </w:p>
    <w:p w14:paraId="5B5A69AA" w14:textId="77777777" w:rsidR="000C465B" w:rsidRPr="000C465B" w:rsidRDefault="000C465B" w:rsidP="007169B6">
      <w:pPr>
        <w:numPr>
          <w:ilvl w:val="0"/>
          <w:numId w:val="83"/>
        </w:numPr>
        <w:spacing w:after="200" w:line="276" w:lineRule="auto"/>
        <w:jc w:val="left"/>
        <w:rPr>
          <w:szCs w:val="20"/>
        </w:rPr>
      </w:pPr>
      <w:r w:rsidRPr="000C465B">
        <w:rPr>
          <w:szCs w:val="20"/>
        </w:rPr>
        <w:t>Size characterizations in compliance with standards promulgated under section 5(c)(1) of the Act ARE NOT supplemental.</w:t>
      </w:r>
    </w:p>
    <w:p w14:paraId="369478E6" w14:textId="77777777" w:rsidR="000C465B" w:rsidRPr="000C465B" w:rsidRDefault="000C465B" w:rsidP="007169B6">
      <w:pPr>
        <w:numPr>
          <w:ilvl w:val="0"/>
          <w:numId w:val="83"/>
        </w:numPr>
        <w:spacing w:after="200" w:line="276" w:lineRule="auto"/>
        <w:jc w:val="left"/>
        <w:rPr>
          <w:szCs w:val="20"/>
        </w:rPr>
      </w:pPr>
      <w:r w:rsidRPr="000C465B">
        <w:rPr>
          <w:szCs w:val="20"/>
        </w:rPr>
        <w:t>Performance claims per letter from Robin Rosen Spector, Attorney, FTC Division of Enforcement, Bureau of Consumer Protection, to Michael Tomenga, Nov. 4, 2010:</w:t>
      </w:r>
    </w:p>
    <w:p w14:paraId="78EED6BC" w14:textId="2EADEB60" w:rsidR="000C465B" w:rsidRPr="00BD6458" w:rsidRDefault="000C465B" w:rsidP="00BD6458">
      <w:pPr>
        <w:numPr>
          <w:ilvl w:val="0"/>
          <w:numId w:val="88"/>
        </w:numPr>
        <w:spacing w:after="200" w:line="276" w:lineRule="auto"/>
      </w:pPr>
      <w:r w:rsidRPr="000C465B">
        <w:rPr>
          <w:szCs w:val="20"/>
        </w:rPr>
        <w:t xml:space="preserve">“Commission staff believes that the ‘lasts the same as’ statement on the Kingsford charcoal packaging does not qualify the package’s unit of weight.  Consumers would </w:t>
      </w:r>
      <w:proofErr w:type="gramStart"/>
      <w:r w:rsidRPr="000C465B">
        <w:rPr>
          <w:szCs w:val="20"/>
        </w:rPr>
        <w:t>likely reasonably</w:t>
      </w:r>
      <w:proofErr w:type="gramEnd"/>
      <w:r w:rsidRPr="000C465B">
        <w:rPr>
          <w:szCs w:val="20"/>
        </w:rPr>
        <w:t xml:space="preserve"> interpret that statement as a performance claim about the product.  The claim appears as a distinct item on the display panel and is separated </w:t>
      </w:r>
      <w:r w:rsidRPr="000C465B">
        <w:rPr>
          <w:szCs w:val="20"/>
        </w:rPr>
        <w:lastRenderedPageBreak/>
        <w:t xml:space="preserve">from the net quantity declaration in accordance with the requirements of the FPLA regulations.  Therefore, we would not recommend that the Commission bring a law enforcement action for violations of the FPLA based on the facts presented in your letter.  Nevertheless, under section 5 of the Federal Trade Commission Act, the company must possess and rely upon reasonable substantiation for the </w:t>
      </w:r>
      <w:proofErr w:type="gramStart"/>
      <w:r w:rsidRPr="000C465B">
        <w:rPr>
          <w:szCs w:val="20"/>
        </w:rPr>
        <w:t>claim</w:t>
      </w:r>
      <w:proofErr w:type="gramEnd"/>
      <w:r w:rsidRPr="000C465B">
        <w:rPr>
          <w:szCs w:val="20"/>
        </w:rPr>
        <w:t xml:space="preserve"> and the claim should not be deceptive. See F</w:t>
      </w:r>
      <w:r w:rsidR="00BD6458">
        <w:rPr>
          <w:szCs w:val="20"/>
        </w:rPr>
        <w:t>T</w:t>
      </w:r>
      <w:r w:rsidRPr="000C465B">
        <w:rPr>
          <w:szCs w:val="20"/>
        </w:rPr>
        <w:t>C Policy Statements on Deception and Substantiation:</w:t>
      </w:r>
      <w:r w:rsidR="00BD6458">
        <w:rPr>
          <w:szCs w:val="20"/>
        </w:rPr>
        <w:t xml:space="preserve"> </w:t>
      </w:r>
      <w:hyperlink r:id="rId58" w:history="1">
        <w:r w:rsidR="00BD6458" w:rsidRPr="00BD6458">
          <w:rPr>
            <w:rStyle w:val="EmailWebChar"/>
            <w:sz w:val="20"/>
            <w:szCs w:val="20"/>
          </w:rPr>
          <w:t>https://www.ftc.gov/legal-library/browse/ftc-policy-statement-deception</w:t>
        </w:r>
      </w:hyperlink>
      <w:r w:rsidR="00BD6458" w:rsidRPr="00BD6458">
        <w:rPr>
          <w:szCs w:val="20"/>
        </w:rPr>
        <w:t xml:space="preserve"> and </w:t>
      </w:r>
      <w:hyperlink r:id="rId59" w:history="1">
        <w:r w:rsidR="00BD6458" w:rsidRPr="00BD6458">
          <w:rPr>
            <w:rStyle w:val="EmailWebChar"/>
            <w:sz w:val="20"/>
            <w:szCs w:val="20"/>
          </w:rPr>
          <w:t>https://www.ftc.gov/legal-library/browse/ftc-policy-statement-regarding-advertising-substantiation</w:t>
        </w:r>
      </w:hyperlink>
    </w:p>
    <w:p w14:paraId="7DB0D990" w14:textId="77777777" w:rsidR="000C465B" w:rsidRPr="000C465B" w:rsidRDefault="000C465B" w:rsidP="007169B6">
      <w:pPr>
        <w:numPr>
          <w:ilvl w:val="0"/>
          <w:numId w:val="83"/>
        </w:numPr>
        <w:spacing w:after="200" w:line="276" w:lineRule="auto"/>
        <w:jc w:val="left"/>
        <w:rPr>
          <w:szCs w:val="20"/>
        </w:rPr>
      </w:pPr>
      <w:r w:rsidRPr="000C465B">
        <w:rPr>
          <w:szCs w:val="20"/>
        </w:rPr>
        <w:t>Performance claims per letter from James A. Kohm, Associate Director, FTC Division of Enforcement, Bureau of Consumer Protection, to David Sefcik, Nov. 30, 2016:</w:t>
      </w:r>
    </w:p>
    <w:p w14:paraId="04975F7A" w14:textId="77777777" w:rsidR="000C465B" w:rsidRPr="000C465B" w:rsidRDefault="000C465B" w:rsidP="000C465B">
      <w:pPr>
        <w:spacing w:after="200" w:line="276" w:lineRule="auto"/>
        <w:ind w:left="720"/>
        <w:jc w:val="left"/>
        <w:rPr>
          <w:szCs w:val="20"/>
        </w:rPr>
      </w:pPr>
      <w:r w:rsidRPr="000C465B">
        <w:rPr>
          <w:szCs w:val="20"/>
        </w:rPr>
        <w:t>“All of the quantity-related expressions in the Subcommittee’s draft guidance are descriptive or supplemental quantity information. Therefore, this information can only appear elsewhere on the packaging (anywhere except the principal display panel). See 16 CFR Sections 500.6(b) (‘The declaration of net quantity shall appear…on the principal display panel…and shall not include any term qualifying a unit of weight or mass, measure, or count…’) and 500.24 (‘Nothing contained in the regulations in this part shall prohibit supplemental statements, at locations other than the principal display panel, describing in non-deceptive terms the net quantity of contents…’). Nonetheless, we are unlikely to recommend that the FTC pursue enforcement action for non-deceptive labels. Doing so could deprive consumers of valuable information in some situations.”</w:t>
      </w:r>
    </w:p>
    <w:p w14:paraId="3E369008" w14:textId="77777777" w:rsidR="000C465B" w:rsidRPr="000C465B" w:rsidRDefault="000C465B" w:rsidP="000C465B">
      <w:pPr>
        <w:spacing w:after="200" w:line="276" w:lineRule="auto"/>
        <w:jc w:val="left"/>
        <w:rPr>
          <w:b/>
          <w:bCs/>
          <w:sz w:val="24"/>
          <w:szCs w:val="24"/>
        </w:rPr>
      </w:pPr>
      <w:r w:rsidRPr="000C465B">
        <w:rPr>
          <w:b/>
          <w:bCs/>
          <w:sz w:val="24"/>
          <w:szCs w:val="24"/>
        </w:rPr>
        <w:t>Summary</w:t>
      </w:r>
    </w:p>
    <w:p w14:paraId="4E404C09" w14:textId="77777777" w:rsidR="000C465B" w:rsidRPr="000C465B" w:rsidRDefault="000C465B" w:rsidP="000C465B">
      <w:pPr>
        <w:spacing w:after="200" w:line="276" w:lineRule="auto"/>
        <w:rPr>
          <w:szCs w:val="20"/>
        </w:rPr>
      </w:pPr>
      <w:r w:rsidRPr="000C465B">
        <w:rPr>
          <w:szCs w:val="20"/>
        </w:rPr>
        <w:t>In summary, the term "supplemental statement" which appears in FPLA, FTC and FDA regulations is not defined.  Based on the history of opinions and clarifications provided by the federal agencies since adoption of FPLA, it becomes apparent that the definition is not intended to be expansive and somewhat narrow. The FDA on numerous occasions has opined that certain quantity related expressions are NOT supplemental statements and FTC on at least one occasion has similarly opined this viewpoint as well.  </w:t>
      </w:r>
    </w:p>
    <w:p w14:paraId="13B1D9E7" w14:textId="77777777" w:rsidR="000C465B" w:rsidRPr="000C465B" w:rsidRDefault="000C465B" w:rsidP="000C465B">
      <w:pPr>
        <w:spacing w:after="200" w:line="276" w:lineRule="auto"/>
        <w:rPr>
          <w:szCs w:val="20"/>
        </w:rPr>
      </w:pPr>
      <w:r w:rsidRPr="000C465B">
        <w:rPr>
          <w:szCs w:val="20"/>
        </w:rPr>
        <w:t>While it is not clear what exactly is and is not a supplemental statement, the many circumstances where the agencies have concluded that an expression is NOT a supplemental statement give some insight into allowable and non-allowable expressions.  In the most recent FTC opinion suggesting (which was written without a review of the history of previous FDA and FTC recommendations) that the term supplemental statement could be broadly interpreted, FTC goes on to state that added quantity expressions provide useful information to consumers, and they recommend against enforcement actions for packages which display this information.  The other opinions provided by FTC and FDA also appear to similarly recognize that the information being provided is useful to consumers.</w:t>
      </w:r>
    </w:p>
    <w:p w14:paraId="29012439" w14:textId="77777777" w:rsidR="000C465B" w:rsidRPr="000C465B" w:rsidRDefault="000C465B" w:rsidP="000C465B">
      <w:pPr>
        <w:spacing w:after="200" w:line="276" w:lineRule="auto"/>
        <w:rPr>
          <w:szCs w:val="20"/>
        </w:rPr>
      </w:pPr>
      <w:r w:rsidRPr="000C465B">
        <w:rPr>
          <w:szCs w:val="20"/>
        </w:rPr>
        <w:t xml:space="preserve">As a result, this NCWM Best Practice Document has been developed to help ensure that </w:t>
      </w:r>
      <w:proofErr w:type="gramStart"/>
      <w:r w:rsidRPr="000C465B">
        <w:rPr>
          <w:szCs w:val="20"/>
        </w:rPr>
        <w:t>any and all</w:t>
      </w:r>
      <w:proofErr w:type="gramEnd"/>
      <w:r w:rsidRPr="000C465B">
        <w:rPr>
          <w:szCs w:val="20"/>
        </w:rPr>
        <w:t xml:space="preserve"> quantity expressions which might appear on a package are clear, non-misleading and useful.  </w:t>
      </w:r>
    </w:p>
    <w:p w14:paraId="01875295" w14:textId="77777777" w:rsidR="00810BDD" w:rsidRDefault="00810BDD">
      <w:pPr>
        <w:spacing w:after="0"/>
        <w:jc w:val="left"/>
        <w:rPr>
          <w:sz w:val="22"/>
        </w:rPr>
      </w:pPr>
      <w:r>
        <w:rPr>
          <w:sz w:val="22"/>
        </w:rPr>
        <w:br w:type="page"/>
      </w:r>
    </w:p>
    <w:p w14:paraId="7341E5E6" w14:textId="4C0BF373" w:rsidR="000C465B" w:rsidRPr="000C465B" w:rsidRDefault="000C465B" w:rsidP="000C465B">
      <w:pPr>
        <w:spacing w:after="0" w:line="276" w:lineRule="auto"/>
        <w:jc w:val="center"/>
        <w:rPr>
          <w:b/>
          <w:bCs/>
          <w:sz w:val="36"/>
          <w:szCs w:val="36"/>
        </w:rPr>
      </w:pPr>
      <w:r w:rsidRPr="000C465B">
        <w:rPr>
          <w:sz w:val="36"/>
          <w:szCs w:val="36"/>
        </w:rPr>
        <w:lastRenderedPageBreak/>
        <w:t xml:space="preserve">     </w:t>
      </w:r>
      <w:bookmarkStart w:id="893" w:name="Appendix2"/>
      <w:bookmarkEnd w:id="893"/>
      <w:r w:rsidRPr="000C465B">
        <w:rPr>
          <w:b/>
          <w:bCs/>
          <w:sz w:val="36"/>
          <w:szCs w:val="36"/>
        </w:rPr>
        <w:t>Appendix 2</w:t>
      </w:r>
    </w:p>
    <w:p w14:paraId="421D937A" w14:textId="77777777" w:rsidR="000C465B" w:rsidRPr="000C465B" w:rsidRDefault="000C465B" w:rsidP="000C465B">
      <w:pPr>
        <w:spacing w:after="200" w:line="276" w:lineRule="auto"/>
        <w:jc w:val="center"/>
        <w:rPr>
          <w:b/>
          <w:bCs/>
          <w:sz w:val="36"/>
          <w:szCs w:val="36"/>
        </w:rPr>
      </w:pPr>
      <w:r w:rsidRPr="000C465B">
        <w:rPr>
          <w:b/>
          <w:bCs/>
          <w:sz w:val="36"/>
          <w:szCs w:val="36"/>
        </w:rPr>
        <w:t>Illustrations and Discussion of Voluntarily Added Expressions</w:t>
      </w:r>
    </w:p>
    <w:p w14:paraId="03AF90F5" w14:textId="77777777" w:rsidR="000C465B" w:rsidRPr="000C465B" w:rsidRDefault="000C465B" w:rsidP="000C465B">
      <w:pPr>
        <w:spacing w:after="200" w:line="276" w:lineRule="auto"/>
        <w:rPr>
          <w:bCs/>
          <w:szCs w:val="20"/>
        </w:rPr>
      </w:pPr>
      <w:r w:rsidRPr="000C465B">
        <w:rPr>
          <w:bCs/>
          <w:szCs w:val="20"/>
        </w:rPr>
        <w:t xml:space="preserve">The purpose of this Appendix is to illustrate package Principal Display Panel (PDP) examples for the purposes of illustrating some of the principles discussed by this document. These examples are intended to be representative and specifically do not cover every possible permutation of possible label scenario since the number of possible scenarios is extremely large.  </w:t>
      </w:r>
    </w:p>
    <w:p w14:paraId="0158AE1F" w14:textId="77777777" w:rsidR="000C465B" w:rsidRPr="000C465B" w:rsidRDefault="000C465B" w:rsidP="000C465B">
      <w:pPr>
        <w:spacing w:after="200" w:line="276" w:lineRule="auto"/>
        <w:rPr>
          <w:bCs/>
          <w:szCs w:val="20"/>
        </w:rPr>
      </w:pPr>
      <w:r w:rsidRPr="000C465B">
        <w:rPr>
          <w:bCs/>
          <w:szCs w:val="20"/>
        </w:rPr>
        <w:t xml:space="preserve">This appendix is comprised of diagrams focusing on a limited number of label elements. Diagrams were selected as more appropriate than photos of marketed products to avoid possible product identification and the perception of </w:t>
      </w:r>
      <w:proofErr w:type="gramStart"/>
      <w:r w:rsidRPr="000C465B">
        <w:rPr>
          <w:bCs/>
          <w:szCs w:val="20"/>
        </w:rPr>
        <w:t>an implicit</w:t>
      </w:r>
      <w:proofErr w:type="gramEnd"/>
      <w:r w:rsidRPr="000C465B">
        <w:rPr>
          <w:bCs/>
          <w:szCs w:val="20"/>
        </w:rPr>
        <w:t xml:space="preserve"> product endorsement or critique.  </w:t>
      </w:r>
    </w:p>
    <w:p w14:paraId="421C87B2" w14:textId="77777777" w:rsidR="000C465B" w:rsidRPr="000C465B" w:rsidRDefault="000C465B" w:rsidP="000C465B">
      <w:pPr>
        <w:spacing w:after="200" w:line="276" w:lineRule="auto"/>
        <w:rPr>
          <w:b/>
          <w:bCs/>
          <w:szCs w:val="20"/>
        </w:rPr>
      </w:pPr>
      <w:r w:rsidRPr="000C465B">
        <w:rPr>
          <w:bCs/>
          <w:szCs w:val="20"/>
        </w:rPr>
        <w:t xml:space="preserve">This appendix was developed because it is essential that </w:t>
      </w:r>
      <w:r w:rsidRPr="000C465B">
        <w:rPr>
          <w:szCs w:val="20"/>
        </w:rPr>
        <w:t xml:space="preserve">manufacturers consider the cumulative effects of expression location, size, font, color, and contrast on the package in relation to other required and voluntary PDP elements and statements. Expression location, presentation, size and contrast should help the consumer to make informed value comparisons at the point of purchase and not minimize the visibility or content of other information required to appear on the PDP.  </w:t>
      </w:r>
    </w:p>
    <w:p w14:paraId="5B8E867D" w14:textId="77777777" w:rsidR="000C465B" w:rsidRPr="000C465B" w:rsidRDefault="000C465B" w:rsidP="000C465B">
      <w:pPr>
        <w:spacing w:after="200" w:line="276" w:lineRule="auto"/>
        <w:rPr>
          <w:szCs w:val="20"/>
        </w:rPr>
      </w:pPr>
      <w:r w:rsidRPr="000C465B">
        <w:rPr>
          <w:szCs w:val="20"/>
        </w:rPr>
        <w:t>A manufacturer is responsible for ensuring an Additional Expression of Quantity (AEQ’s) location, font, graphics or wording provides clear and non-misleading information that does not contradict or marginalize the information provided in the required Declaration of Net Quantity (</w:t>
      </w:r>
      <w:proofErr w:type="spellStart"/>
      <w:r w:rsidRPr="000C465B">
        <w:rPr>
          <w:szCs w:val="20"/>
        </w:rPr>
        <w:t>DoNQ</w:t>
      </w:r>
      <w:proofErr w:type="spellEnd"/>
      <w:r w:rsidRPr="000C465B">
        <w:rPr>
          <w:szCs w:val="20"/>
        </w:rPr>
        <w:t xml:space="preserve">)     </w:t>
      </w:r>
    </w:p>
    <w:p w14:paraId="05CA5204" w14:textId="77777777" w:rsidR="000C465B" w:rsidRPr="000C465B" w:rsidRDefault="000C465B" w:rsidP="000C465B">
      <w:pPr>
        <w:spacing w:after="200" w:line="276" w:lineRule="auto"/>
        <w:rPr>
          <w:szCs w:val="20"/>
        </w:rPr>
      </w:pPr>
      <w:r w:rsidRPr="000C465B">
        <w:rPr>
          <w:szCs w:val="20"/>
        </w:rPr>
        <w:t xml:space="preserve">Additional Expressions of Quantity can appear on the PDP as illustrated in the following examples, which illustrate differences in color, font size, expression wording, and graphic design such as graphic features or icons.  An AEQ may employ a single color and font type or may combine 2 or more colors and fonts.  AEQs may express information in the same unit as in the </w:t>
      </w:r>
      <w:proofErr w:type="spellStart"/>
      <w:r w:rsidRPr="000C465B">
        <w:rPr>
          <w:szCs w:val="20"/>
        </w:rPr>
        <w:t>DoNQ</w:t>
      </w:r>
      <w:proofErr w:type="spellEnd"/>
      <w:r w:rsidRPr="000C465B">
        <w:rPr>
          <w:szCs w:val="20"/>
        </w:rPr>
        <w:t xml:space="preserve"> or other common recognizable units of legal metrology or count appropriate for the type of product and package size.  </w:t>
      </w:r>
    </w:p>
    <w:p w14:paraId="3DB90672" w14:textId="77777777" w:rsidR="000C465B" w:rsidRPr="000C465B" w:rsidRDefault="000C465B" w:rsidP="000C465B">
      <w:pPr>
        <w:spacing w:after="200" w:line="276" w:lineRule="auto"/>
        <w:jc w:val="left"/>
        <w:rPr>
          <w:noProof/>
          <w:sz w:val="22"/>
        </w:rPr>
      </w:pPr>
      <w:r w:rsidRPr="000C465B">
        <w:rPr>
          <w:noProof/>
          <w:sz w:val="22"/>
        </w:rPr>
        <w:t xml:space="preserve"> </w:t>
      </w:r>
    </w:p>
    <w:p w14:paraId="7E391695" w14:textId="77777777" w:rsidR="000C465B" w:rsidRPr="000C465B" w:rsidRDefault="000C465B" w:rsidP="000C465B">
      <w:pPr>
        <w:spacing w:after="200" w:line="276" w:lineRule="auto"/>
        <w:jc w:val="left"/>
        <w:rPr>
          <w:noProof/>
          <w:sz w:val="22"/>
        </w:rPr>
      </w:pPr>
    </w:p>
    <w:p w14:paraId="6F2443CB" w14:textId="77777777" w:rsidR="000C465B" w:rsidRPr="000C465B" w:rsidRDefault="000C465B" w:rsidP="000C465B">
      <w:pPr>
        <w:spacing w:after="200" w:line="276" w:lineRule="auto"/>
        <w:jc w:val="left"/>
        <w:rPr>
          <w:noProof/>
          <w:sz w:val="22"/>
        </w:rPr>
      </w:pPr>
    </w:p>
    <w:p w14:paraId="5D49B1B7" w14:textId="77777777" w:rsidR="000C465B" w:rsidRPr="000C465B" w:rsidRDefault="000C465B" w:rsidP="000C465B">
      <w:pPr>
        <w:spacing w:after="200" w:line="276" w:lineRule="auto"/>
        <w:jc w:val="left"/>
        <w:rPr>
          <w:noProof/>
          <w:sz w:val="22"/>
        </w:rPr>
      </w:pPr>
    </w:p>
    <w:p w14:paraId="6F3393C4" w14:textId="77777777" w:rsidR="000C465B" w:rsidRPr="000C465B" w:rsidRDefault="000C465B" w:rsidP="000C465B">
      <w:pPr>
        <w:spacing w:after="200" w:line="276" w:lineRule="auto"/>
        <w:jc w:val="left"/>
        <w:rPr>
          <w:noProof/>
          <w:sz w:val="22"/>
        </w:rPr>
      </w:pPr>
    </w:p>
    <w:p w14:paraId="28B8C1B0" w14:textId="77777777" w:rsidR="000C465B" w:rsidRPr="000C465B" w:rsidRDefault="000C465B" w:rsidP="000C465B">
      <w:pPr>
        <w:spacing w:after="200" w:line="276" w:lineRule="auto"/>
        <w:jc w:val="left"/>
        <w:rPr>
          <w:rFonts w:ascii="Calibri" w:hAnsi="Calibri"/>
          <w:noProof/>
          <w:sz w:val="22"/>
        </w:rPr>
      </w:pPr>
    </w:p>
    <w:p w14:paraId="52EB3D9A" w14:textId="77777777" w:rsidR="000C465B" w:rsidRPr="000C465B" w:rsidRDefault="000C465B" w:rsidP="000C465B">
      <w:pPr>
        <w:spacing w:after="200" w:line="276" w:lineRule="auto"/>
        <w:jc w:val="left"/>
        <w:rPr>
          <w:rFonts w:ascii="Calibri" w:hAnsi="Calibri"/>
          <w:noProof/>
          <w:sz w:val="22"/>
        </w:rPr>
      </w:pPr>
    </w:p>
    <w:p w14:paraId="25A70D6C" w14:textId="77777777" w:rsidR="000C465B" w:rsidRPr="000C465B" w:rsidRDefault="000C465B" w:rsidP="000C465B">
      <w:pPr>
        <w:spacing w:after="200" w:line="276" w:lineRule="auto"/>
        <w:jc w:val="left"/>
        <w:rPr>
          <w:rFonts w:ascii="Calibri" w:hAnsi="Calibri"/>
          <w:noProof/>
          <w:sz w:val="22"/>
        </w:rPr>
      </w:pPr>
    </w:p>
    <w:p w14:paraId="14BA9EDC" w14:textId="77777777" w:rsidR="000C465B" w:rsidRPr="000C465B" w:rsidRDefault="000C465B" w:rsidP="000C465B">
      <w:pPr>
        <w:spacing w:after="200" w:line="276" w:lineRule="auto"/>
        <w:jc w:val="left"/>
        <w:rPr>
          <w:rFonts w:ascii="Calibri" w:hAnsi="Calibri"/>
          <w:noProof/>
          <w:sz w:val="22"/>
        </w:rPr>
      </w:pPr>
    </w:p>
    <w:p w14:paraId="566D215B" w14:textId="77777777" w:rsidR="000C465B" w:rsidRPr="000C465B" w:rsidRDefault="000C465B" w:rsidP="000C465B">
      <w:pPr>
        <w:spacing w:after="200" w:line="276" w:lineRule="auto"/>
        <w:jc w:val="left"/>
        <w:rPr>
          <w:rFonts w:ascii="Calibri" w:hAnsi="Calibri"/>
          <w:noProof/>
          <w:sz w:val="22"/>
        </w:rPr>
      </w:pPr>
    </w:p>
    <w:p w14:paraId="1976FDC9" w14:textId="77777777" w:rsidR="000C465B" w:rsidRPr="000C465B" w:rsidRDefault="000C465B" w:rsidP="000C465B">
      <w:pPr>
        <w:spacing w:after="0" w:line="276" w:lineRule="auto"/>
        <w:rPr>
          <w:szCs w:val="20"/>
        </w:rPr>
      </w:pPr>
      <w:r w:rsidRPr="000C465B">
        <w:rPr>
          <w:b/>
          <w:szCs w:val="20"/>
        </w:rPr>
        <w:lastRenderedPageBreak/>
        <w:t xml:space="preserve">1.  </w:t>
      </w:r>
      <w:r w:rsidRPr="000C465B">
        <w:rPr>
          <w:b/>
          <w:szCs w:val="20"/>
          <w:u w:val="single"/>
        </w:rPr>
        <w:t>Additional Expression of Quantity (AEQ)</w:t>
      </w:r>
      <w:r w:rsidRPr="000C465B">
        <w:rPr>
          <w:b/>
          <w:bCs/>
          <w:szCs w:val="20"/>
        </w:rPr>
        <w:t xml:space="preserve"> </w:t>
      </w:r>
      <w:r w:rsidRPr="000C465B">
        <w:rPr>
          <w:szCs w:val="20"/>
        </w:rPr>
        <w:t>– Additional Expressions of Quantity (AEQ) may appear in the upper 70 % or lower 30% of the Principal Display Panel (PDP).  The AEQ can be located opposite the Declaration of Net Quantity (</w:t>
      </w:r>
      <w:proofErr w:type="spellStart"/>
      <w:r w:rsidRPr="000C465B">
        <w:rPr>
          <w:szCs w:val="20"/>
        </w:rPr>
        <w:t>DoNQ</w:t>
      </w:r>
      <w:proofErr w:type="spellEnd"/>
      <w:r w:rsidRPr="000C465B">
        <w:rPr>
          <w:szCs w:val="20"/>
        </w:rPr>
        <w:t xml:space="preserve">), or adjacent to the </w:t>
      </w:r>
      <w:proofErr w:type="spellStart"/>
      <w:r w:rsidRPr="000C465B">
        <w:rPr>
          <w:szCs w:val="20"/>
        </w:rPr>
        <w:t>DoNQ</w:t>
      </w:r>
      <w:proofErr w:type="spellEnd"/>
      <w:r w:rsidRPr="000C465B">
        <w:rPr>
          <w:szCs w:val="20"/>
        </w:rPr>
        <w:t>, provided the Declaration of Net Quantity minimum separation requirements are satisfied.</w:t>
      </w:r>
    </w:p>
    <w:p w14:paraId="04F2BEA5" w14:textId="77777777" w:rsidR="000C465B" w:rsidRPr="000C465B" w:rsidRDefault="000C465B" w:rsidP="000C465B">
      <w:pPr>
        <w:spacing w:after="0" w:line="276" w:lineRule="auto"/>
        <w:jc w:val="left"/>
        <w:rPr>
          <w:sz w:val="22"/>
          <w:u w:val="single"/>
        </w:rPr>
      </w:pPr>
    </w:p>
    <w:tbl>
      <w:tblPr>
        <w:tblStyle w:val="TableGrid22"/>
        <w:tblW w:w="0" w:type="auto"/>
        <w:tblLayout w:type="fixed"/>
        <w:tblLook w:val="04A0" w:firstRow="1" w:lastRow="0" w:firstColumn="1" w:lastColumn="0" w:noHBand="0" w:noVBand="1"/>
      </w:tblPr>
      <w:tblGrid>
        <w:gridCol w:w="3290"/>
        <w:gridCol w:w="1552"/>
        <w:gridCol w:w="1538"/>
        <w:gridCol w:w="13"/>
        <w:gridCol w:w="3043"/>
        <w:gridCol w:w="14"/>
      </w:tblGrid>
      <w:tr w:rsidR="000C465B" w:rsidRPr="000C465B" w14:paraId="01B5AFC1" w14:textId="77777777" w:rsidTr="00185462">
        <w:tc>
          <w:tcPr>
            <w:tcW w:w="3290" w:type="dxa"/>
            <w:tcBorders>
              <w:top w:val="nil"/>
              <w:left w:val="nil"/>
              <w:bottom w:val="nil"/>
              <w:right w:val="nil"/>
            </w:tcBorders>
          </w:tcPr>
          <w:p w14:paraId="6F888360" w14:textId="77777777" w:rsidR="000C465B" w:rsidRPr="000C465B" w:rsidRDefault="000C465B" w:rsidP="000C465B">
            <w:pPr>
              <w:spacing w:after="0"/>
              <w:jc w:val="left"/>
            </w:pPr>
            <w:r w:rsidRPr="000C465B">
              <w:rPr>
                <w:noProof/>
              </w:rPr>
              <w:drawing>
                <wp:inline distT="0" distB="0" distL="0" distR="0" wp14:anchorId="7EC9EBC1" wp14:editId="23664A45">
                  <wp:extent cx="2075688" cy="5047488"/>
                  <wp:effectExtent l="0" t="0" r="1270" b="1270"/>
                  <wp:docPr id="429303024" name="Picture 42930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EQ-Shampoo-v3.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75688" cy="5047488"/>
                          </a:xfrm>
                          <a:prstGeom prst="rect">
                            <a:avLst/>
                          </a:prstGeom>
                        </pic:spPr>
                      </pic:pic>
                    </a:graphicData>
                  </a:graphic>
                </wp:inline>
              </w:drawing>
            </w:r>
          </w:p>
        </w:tc>
        <w:tc>
          <w:tcPr>
            <w:tcW w:w="3103" w:type="dxa"/>
            <w:gridSpan w:val="3"/>
            <w:tcBorders>
              <w:top w:val="nil"/>
              <w:left w:val="nil"/>
              <w:bottom w:val="nil"/>
              <w:right w:val="nil"/>
            </w:tcBorders>
          </w:tcPr>
          <w:p w14:paraId="6324E5FF" w14:textId="77777777" w:rsidR="000C465B" w:rsidRPr="000C465B" w:rsidRDefault="000C465B" w:rsidP="000C465B">
            <w:pPr>
              <w:spacing w:after="0"/>
              <w:jc w:val="left"/>
            </w:pPr>
            <w:r w:rsidRPr="000C465B">
              <w:rPr>
                <w:noProof/>
              </w:rPr>
              <w:drawing>
                <wp:inline distT="0" distB="0" distL="0" distR="0" wp14:anchorId="263BF5FC" wp14:editId="655891DF">
                  <wp:extent cx="1920240" cy="5047488"/>
                  <wp:effectExtent l="0" t="0" r="3810" b="1270"/>
                  <wp:docPr id="747156382" name="Picture 74715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EQ-Shampoo-v4.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20240" cy="5047488"/>
                          </a:xfrm>
                          <a:prstGeom prst="rect">
                            <a:avLst/>
                          </a:prstGeom>
                        </pic:spPr>
                      </pic:pic>
                    </a:graphicData>
                  </a:graphic>
                </wp:inline>
              </w:drawing>
            </w:r>
          </w:p>
        </w:tc>
        <w:tc>
          <w:tcPr>
            <w:tcW w:w="3057" w:type="dxa"/>
            <w:gridSpan w:val="2"/>
            <w:tcBorders>
              <w:top w:val="nil"/>
              <w:left w:val="nil"/>
              <w:bottom w:val="nil"/>
              <w:right w:val="nil"/>
            </w:tcBorders>
          </w:tcPr>
          <w:p w14:paraId="199845AD" w14:textId="77777777" w:rsidR="000C465B" w:rsidRPr="000C465B" w:rsidRDefault="000C465B" w:rsidP="000C465B">
            <w:pPr>
              <w:spacing w:after="0"/>
              <w:jc w:val="left"/>
            </w:pPr>
            <w:r w:rsidRPr="000C465B">
              <w:rPr>
                <w:noProof/>
              </w:rPr>
              <w:drawing>
                <wp:inline distT="0" distB="0" distL="0" distR="0" wp14:anchorId="11E1033D" wp14:editId="0045EBDE">
                  <wp:extent cx="1874520" cy="5047488"/>
                  <wp:effectExtent l="0" t="0" r="0" b="1270"/>
                  <wp:docPr id="891282320" name="Picture 89128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EQ-Shampoo-v5.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74520" cy="5047488"/>
                          </a:xfrm>
                          <a:prstGeom prst="rect">
                            <a:avLst/>
                          </a:prstGeom>
                        </pic:spPr>
                      </pic:pic>
                    </a:graphicData>
                  </a:graphic>
                </wp:inline>
              </w:drawing>
            </w:r>
          </w:p>
        </w:tc>
      </w:tr>
      <w:tr w:rsidR="000C465B" w:rsidRPr="000C465B" w14:paraId="54CBB425" w14:textId="77777777" w:rsidTr="00185462">
        <w:trPr>
          <w:trHeight w:val="638"/>
        </w:trPr>
        <w:tc>
          <w:tcPr>
            <w:tcW w:w="3290" w:type="dxa"/>
            <w:tcBorders>
              <w:top w:val="nil"/>
              <w:left w:val="nil"/>
              <w:bottom w:val="nil"/>
              <w:right w:val="nil"/>
            </w:tcBorders>
          </w:tcPr>
          <w:p w14:paraId="3224318B" w14:textId="77777777" w:rsidR="000C465B" w:rsidRPr="000C465B" w:rsidRDefault="000C465B" w:rsidP="000C465B">
            <w:pPr>
              <w:spacing w:after="0"/>
              <w:jc w:val="center"/>
              <w:rPr>
                <w:b/>
                <w:color w:val="00B050"/>
                <w:sz w:val="36"/>
                <w:szCs w:val="36"/>
              </w:rPr>
            </w:pPr>
            <w:r w:rsidRPr="000C465B">
              <w:rPr>
                <w:b/>
                <w:color w:val="00B050"/>
                <w:sz w:val="36"/>
                <w:szCs w:val="36"/>
              </w:rPr>
              <w:t>PREFERRED</w:t>
            </w:r>
          </w:p>
          <w:p w14:paraId="318D5E57" w14:textId="77777777" w:rsidR="000C465B" w:rsidRPr="000C465B" w:rsidRDefault="000C465B" w:rsidP="00185462">
            <w:pPr>
              <w:spacing w:after="0"/>
              <w:rPr>
                <w:b/>
                <w:color w:val="00B050"/>
                <w:sz w:val="20"/>
                <w:szCs w:val="20"/>
              </w:rPr>
            </w:pPr>
            <w:r w:rsidRPr="000C465B">
              <w:rPr>
                <w:spacing w:val="10"/>
                <w:sz w:val="20"/>
                <w:szCs w:val="20"/>
              </w:rPr>
              <w:t>This example illustrates the</w:t>
            </w:r>
            <w:r w:rsidRPr="000C465B">
              <w:rPr>
                <w:sz w:val="20"/>
                <w:szCs w:val="20"/>
              </w:rPr>
              <w:t xml:space="preserve"> inclusion of an AEQ (½ Liter) near the top of the PDP which is equivalent to an element of the </w:t>
            </w:r>
            <w:proofErr w:type="spellStart"/>
            <w:r w:rsidRPr="000C465B">
              <w:rPr>
                <w:sz w:val="20"/>
                <w:szCs w:val="20"/>
              </w:rPr>
              <w:t>DoNQ</w:t>
            </w:r>
            <w:proofErr w:type="spellEnd"/>
            <w:r w:rsidRPr="000C465B">
              <w:rPr>
                <w:sz w:val="20"/>
                <w:szCs w:val="20"/>
              </w:rPr>
              <w:t xml:space="preserve">. The color and contrast of the ½ Liter expression have been selected to increase the visibility of the AEQ. Both </w:t>
            </w:r>
            <w:proofErr w:type="gramStart"/>
            <w:r w:rsidRPr="000C465B">
              <w:rPr>
                <w:sz w:val="20"/>
                <w:szCs w:val="20"/>
              </w:rPr>
              <w:t xml:space="preserve">the </w:t>
            </w:r>
            <w:proofErr w:type="spellStart"/>
            <w:r w:rsidRPr="000C465B">
              <w:rPr>
                <w:sz w:val="20"/>
                <w:szCs w:val="20"/>
              </w:rPr>
              <w:t>DoNQ</w:t>
            </w:r>
            <w:proofErr w:type="spellEnd"/>
            <w:proofErr w:type="gramEnd"/>
            <w:r w:rsidRPr="000C465B">
              <w:rPr>
                <w:sz w:val="20"/>
                <w:szCs w:val="20"/>
              </w:rPr>
              <w:t xml:space="preserve"> and AEQ are clear and non-misleading.</w:t>
            </w:r>
          </w:p>
        </w:tc>
        <w:tc>
          <w:tcPr>
            <w:tcW w:w="3103" w:type="dxa"/>
            <w:gridSpan w:val="3"/>
            <w:tcBorders>
              <w:top w:val="nil"/>
              <w:left w:val="nil"/>
              <w:bottom w:val="nil"/>
              <w:right w:val="nil"/>
            </w:tcBorders>
          </w:tcPr>
          <w:p w14:paraId="17690CF8" w14:textId="77777777" w:rsidR="000C465B" w:rsidRPr="000C465B" w:rsidRDefault="000C465B" w:rsidP="000C465B">
            <w:pPr>
              <w:spacing w:after="0"/>
              <w:jc w:val="center"/>
              <w:rPr>
                <w:b/>
                <w:color w:val="A42CA4"/>
                <w:sz w:val="36"/>
                <w:szCs w:val="36"/>
              </w:rPr>
            </w:pPr>
            <w:r w:rsidRPr="000C465B">
              <w:rPr>
                <w:b/>
                <w:color w:val="A42CA4"/>
                <w:sz w:val="36"/>
                <w:szCs w:val="36"/>
              </w:rPr>
              <w:t>QUESTIONABLE</w:t>
            </w:r>
          </w:p>
          <w:p w14:paraId="34234602" w14:textId="77777777" w:rsidR="000C465B" w:rsidRPr="000C465B" w:rsidRDefault="000C465B" w:rsidP="000C465B">
            <w:pPr>
              <w:spacing w:after="0"/>
              <w:rPr>
                <w:b/>
                <w:sz w:val="20"/>
                <w:szCs w:val="20"/>
              </w:rPr>
            </w:pPr>
            <w:r w:rsidRPr="000C465B">
              <w:rPr>
                <w:spacing w:val="10"/>
                <w:sz w:val="20"/>
                <w:szCs w:val="20"/>
              </w:rPr>
              <w:t>This example illustrates the</w:t>
            </w:r>
            <w:r w:rsidRPr="000C465B">
              <w:rPr>
                <w:sz w:val="20"/>
                <w:szCs w:val="20"/>
              </w:rPr>
              <w:t xml:space="preserve"> inclusion of an AEQ (½ Liter) near the top of the </w:t>
            </w:r>
            <w:proofErr w:type="gramStart"/>
            <w:r w:rsidRPr="000C465B">
              <w:rPr>
                <w:sz w:val="20"/>
                <w:szCs w:val="20"/>
              </w:rPr>
              <w:t>PDP</w:t>
            </w:r>
            <w:proofErr w:type="gramEnd"/>
            <w:r w:rsidRPr="000C465B">
              <w:rPr>
                <w:sz w:val="20"/>
                <w:szCs w:val="20"/>
              </w:rPr>
              <w:t xml:space="preserve"> which is equivalent to an element of the </w:t>
            </w:r>
            <w:proofErr w:type="spellStart"/>
            <w:r w:rsidRPr="000C465B">
              <w:rPr>
                <w:sz w:val="20"/>
                <w:szCs w:val="20"/>
              </w:rPr>
              <w:t>DoNQ</w:t>
            </w:r>
            <w:proofErr w:type="spellEnd"/>
            <w:r w:rsidRPr="000C465B">
              <w:rPr>
                <w:sz w:val="20"/>
                <w:szCs w:val="20"/>
              </w:rPr>
              <w:t xml:space="preserve">, however, the color and </w:t>
            </w:r>
            <w:r w:rsidRPr="000C465B">
              <w:rPr>
                <w:spacing w:val="15"/>
                <w:sz w:val="20"/>
                <w:szCs w:val="20"/>
              </w:rPr>
              <w:t>contrast of the ½ Liter</w:t>
            </w:r>
            <w:r w:rsidRPr="000C465B">
              <w:rPr>
                <w:sz w:val="20"/>
                <w:szCs w:val="20"/>
              </w:rPr>
              <w:t xml:space="preserve"> expression could mitigate the visibility of the AEQ on this package.   </w:t>
            </w:r>
          </w:p>
          <w:p w14:paraId="4841923E" w14:textId="77777777" w:rsidR="000C465B" w:rsidRPr="000C465B" w:rsidRDefault="000C465B" w:rsidP="000C465B">
            <w:pPr>
              <w:spacing w:after="0"/>
              <w:jc w:val="left"/>
            </w:pPr>
          </w:p>
        </w:tc>
        <w:tc>
          <w:tcPr>
            <w:tcW w:w="3057" w:type="dxa"/>
            <w:gridSpan w:val="2"/>
            <w:tcBorders>
              <w:top w:val="nil"/>
              <w:left w:val="nil"/>
              <w:bottom w:val="nil"/>
              <w:right w:val="nil"/>
            </w:tcBorders>
          </w:tcPr>
          <w:p w14:paraId="1694345C" w14:textId="77777777" w:rsidR="000C465B" w:rsidRPr="000C465B" w:rsidRDefault="000C465B" w:rsidP="000C465B">
            <w:pPr>
              <w:spacing w:after="0"/>
              <w:jc w:val="center"/>
              <w:rPr>
                <w:b/>
                <w:color w:val="FF0000"/>
                <w:sz w:val="36"/>
                <w:szCs w:val="36"/>
              </w:rPr>
            </w:pPr>
            <w:r w:rsidRPr="000C465B">
              <w:rPr>
                <w:b/>
                <w:color w:val="FF0000"/>
                <w:sz w:val="36"/>
                <w:szCs w:val="36"/>
              </w:rPr>
              <w:t>PROBLEMATIC</w:t>
            </w:r>
          </w:p>
          <w:p w14:paraId="4EA96D1C" w14:textId="77777777" w:rsidR="000C465B" w:rsidRPr="000C465B" w:rsidRDefault="000C465B" w:rsidP="00185462">
            <w:pPr>
              <w:spacing w:after="0"/>
            </w:pPr>
            <w:r w:rsidRPr="000C465B">
              <w:rPr>
                <w:spacing w:val="10"/>
                <w:sz w:val="20"/>
                <w:szCs w:val="20"/>
              </w:rPr>
              <w:t>This example illustrates the</w:t>
            </w:r>
            <w:r w:rsidRPr="000C465B">
              <w:rPr>
                <w:sz w:val="20"/>
                <w:szCs w:val="20"/>
              </w:rPr>
              <w:t xml:space="preserve"> repetition of the </w:t>
            </w:r>
            <w:proofErr w:type="spellStart"/>
            <w:r w:rsidRPr="000C465B">
              <w:rPr>
                <w:sz w:val="20"/>
                <w:szCs w:val="20"/>
              </w:rPr>
              <w:t>DoNQ</w:t>
            </w:r>
            <w:proofErr w:type="spellEnd"/>
            <w:r w:rsidRPr="000C465B">
              <w:rPr>
                <w:sz w:val="20"/>
                <w:szCs w:val="20"/>
              </w:rPr>
              <w:t xml:space="preserve"> state-</w:t>
            </w:r>
            <w:proofErr w:type="spellStart"/>
            <w:r w:rsidRPr="000C465B">
              <w:rPr>
                <w:sz w:val="20"/>
                <w:szCs w:val="20"/>
              </w:rPr>
              <w:t>ment</w:t>
            </w:r>
            <w:proofErr w:type="spellEnd"/>
            <w:r w:rsidRPr="000C465B">
              <w:rPr>
                <w:sz w:val="20"/>
                <w:szCs w:val="20"/>
              </w:rPr>
              <w:t xml:space="preserve"> at a second location on </w:t>
            </w:r>
            <w:r w:rsidRPr="000C465B">
              <w:rPr>
                <w:spacing w:val="10"/>
                <w:sz w:val="20"/>
                <w:szCs w:val="20"/>
              </w:rPr>
              <w:t xml:space="preserve">the PDP. The </w:t>
            </w:r>
            <w:proofErr w:type="spellStart"/>
            <w:r w:rsidRPr="000C465B">
              <w:rPr>
                <w:spacing w:val="10"/>
                <w:sz w:val="20"/>
                <w:szCs w:val="20"/>
              </w:rPr>
              <w:t>DoNQ</w:t>
            </w:r>
            <w:proofErr w:type="spellEnd"/>
            <w:r w:rsidRPr="000C465B">
              <w:rPr>
                <w:spacing w:val="10"/>
                <w:sz w:val="20"/>
                <w:szCs w:val="20"/>
              </w:rPr>
              <w:t xml:space="preserve"> has a</w:t>
            </w:r>
            <w:r w:rsidRPr="000C465B">
              <w:rPr>
                <w:sz w:val="20"/>
                <w:szCs w:val="20"/>
              </w:rPr>
              <w:t xml:space="preserve"> prescribed location on the PDP and should be provided only at that location.  FTC regulations do not support inclusion of the </w:t>
            </w:r>
            <w:proofErr w:type="spellStart"/>
            <w:r w:rsidRPr="000C465B">
              <w:rPr>
                <w:sz w:val="20"/>
                <w:szCs w:val="20"/>
              </w:rPr>
              <w:t>DoNQ</w:t>
            </w:r>
            <w:proofErr w:type="spellEnd"/>
            <w:r w:rsidRPr="000C465B">
              <w:rPr>
                <w:sz w:val="20"/>
                <w:szCs w:val="20"/>
              </w:rPr>
              <w:t xml:space="preserve"> at a second location on the PDP.  Reinforcing that there is one and only one </w:t>
            </w:r>
            <w:proofErr w:type="spellStart"/>
            <w:r w:rsidRPr="000C465B">
              <w:rPr>
                <w:sz w:val="20"/>
                <w:szCs w:val="20"/>
              </w:rPr>
              <w:t>DoNQ</w:t>
            </w:r>
            <w:proofErr w:type="spellEnd"/>
            <w:r w:rsidRPr="000C465B">
              <w:rPr>
                <w:sz w:val="20"/>
                <w:szCs w:val="20"/>
              </w:rPr>
              <w:t xml:space="preserve"> at a specific location on the PDP is </w:t>
            </w:r>
            <w:r w:rsidRPr="000C465B">
              <w:rPr>
                <w:spacing w:val="-4"/>
                <w:sz w:val="20"/>
                <w:szCs w:val="20"/>
              </w:rPr>
              <w:t>good policy for both consumers</w:t>
            </w:r>
            <w:r w:rsidRPr="000C465B">
              <w:rPr>
                <w:sz w:val="20"/>
                <w:szCs w:val="20"/>
              </w:rPr>
              <w:t xml:space="preserve"> and manufacturers.</w:t>
            </w:r>
          </w:p>
        </w:tc>
      </w:tr>
      <w:tr w:rsidR="000C465B" w:rsidRPr="000C465B" w14:paraId="6EC42BD5" w14:textId="77777777" w:rsidTr="00185462">
        <w:tc>
          <w:tcPr>
            <w:tcW w:w="3290" w:type="dxa"/>
            <w:tcBorders>
              <w:top w:val="nil"/>
              <w:left w:val="nil"/>
              <w:bottom w:val="nil"/>
              <w:right w:val="nil"/>
            </w:tcBorders>
          </w:tcPr>
          <w:p w14:paraId="25CADBA4" w14:textId="77777777" w:rsidR="000C465B" w:rsidRPr="000C465B" w:rsidRDefault="000C465B" w:rsidP="000C465B">
            <w:pPr>
              <w:spacing w:after="0"/>
            </w:pPr>
          </w:p>
        </w:tc>
        <w:tc>
          <w:tcPr>
            <w:tcW w:w="3103" w:type="dxa"/>
            <w:gridSpan w:val="3"/>
            <w:tcBorders>
              <w:top w:val="nil"/>
              <w:left w:val="nil"/>
              <w:bottom w:val="nil"/>
              <w:right w:val="nil"/>
            </w:tcBorders>
          </w:tcPr>
          <w:p w14:paraId="7258E124" w14:textId="77777777" w:rsidR="000C465B" w:rsidRPr="000C465B" w:rsidRDefault="000C465B" w:rsidP="000C465B">
            <w:pPr>
              <w:spacing w:after="0"/>
            </w:pPr>
          </w:p>
        </w:tc>
        <w:tc>
          <w:tcPr>
            <w:tcW w:w="3057" w:type="dxa"/>
            <w:gridSpan w:val="2"/>
            <w:tcBorders>
              <w:top w:val="nil"/>
              <w:left w:val="nil"/>
              <w:bottom w:val="nil"/>
              <w:right w:val="nil"/>
            </w:tcBorders>
          </w:tcPr>
          <w:p w14:paraId="56C2159E" w14:textId="77777777" w:rsidR="000C465B" w:rsidRPr="000C465B" w:rsidRDefault="000C465B" w:rsidP="000C465B">
            <w:pPr>
              <w:spacing w:after="0"/>
            </w:pPr>
          </w:p>
        </w:tc>
      </w:tr>
      <w:tr w:rsidR="000C465B" w:rsidRPr="000C465B" w14:paraId="7381C8DD" w14:textId="77777777" w:rsidTr="00185462">
        <w:tc>
          <w:tcPr>
            <w:tcW w:w="3290" w:type="dxa"/>
            <w:tcBorders>
              <w:top w:val="nil"/>
              <w:left w:val="nil"/>
              <w:bottom w:val="nil"/>
              <w:right w:val="nil"/>
            </w:tcBorders>
          </w:tcPr>
          <w:p w14:paraId="76D2779F" w14:textId="77777777" w:rsidR="000C465B" w:rsidRPr="000C465B" w:rsidRDefault="000C465B" w:rsidP="000C465B">
            <w:pPr>
              <w:spacing w:after="0"/>
              <w:jc w:val="left"/>
            </w:pPr>
            <w:r w:rsidRPr="000C465B">
              <w:rPr>
                <w:noProof/>
              </w:rPr>
              <w:lastRenderedPageBreak/>
              <w:drawing>
                <wp:inline distT="0" distB="0" distL="0" distR="0" wp14:anchorId="157659AD" wp14:editId="785AF3E6">
                  <wp:extent cx="1874520" cy="5047488"/>
                  <wp:effectExtent l="0" t="0" r="0" b="1270"/>
                  <wp:docPr id="649125205" name="Picture 64912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EQ-Shampoo-v6.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74520" cy="5047488"/>
                          </a:xfrm>
                          <a:prstGeom prst="rect">
                            <a:avLst/>
                          </a:prstGeom>
                        </pic:spPr>
                      </pic:pic>
                    </a:graphicData>
                  </a:graphic>
                </wp:inline>
              </w:drawing>
            </w:r>
          </w:p>
        </w:tc>
        <w:tc>
          <w:tcPr>
            <w:tcW w:w="3090" w:type="dxa"/>
            <w:gridSpan w:val="2"/>
            <w:tcBorders>
              <w:top w:val="nil"/>
              <w:left w:val="nil"/>
              <w:bottom w:val="nil"/>
              <w:right w:val="nil"/>
            </w:tcBorders>
          </w:tcPr>
          <w:p w14:paraId="034408AD" w14:textId="77777777" w:rsidR="000C465B" w:rsidRPr="000C465B" w:rsidRDefault="000C465B" w:rsidP="000C465B">
            <w:pPr>
              <w:spacing w:after="0"/>
              <w:jc w:val="left"/>
            </w:pPr>
            <w:r w:rsidRPr="000C465B">
              <w:rPr>
                <w:noProof/>
                <w:color w:val="FF0000"/>
              </w:rPr>
              <w:drawing>
                <wp:inline distT="0" distB="0" distL="0" distR="0" wp14:anchorId="544BB3A6" wp14:editId="7737C556">
                  <wp:extent cx="1874520" cy="5047488"/>
                  <wp:effectExtent l="0" t="0" r="0" b="1270"/>
                  <wp:docPr id="1504544901" name="Picture 150454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EQ-Shampoo-v7.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74520" cy="5047488"/>
                          </a:xfrm>
                          <a:prstGeom prst="rect">
                            <a:avLst/>
                          </a:prstGeom>
                        </pic:spPr>
                      </pic:pic>
                    </a:graphicData>
                  </a:graphic>
                </wp:inline>
              </w:drawing>
            </w:r>
          </w:p>
        </w:tc>
        <w:tc>
          <w:tcPr>
            <w:tcW w:w="3070" w:type="dxa"/>
            <w:gridSpan w:val="3"/>
            <w:tcBorders>
              <w:top w:val="nil"/>
              <w:left w:val="nil"/>
              <w:bottom w:val="nil"/>
              <w:right w:val="nil"/>
            </w:tcBorders>
          </w:tcPr>
          <w:p w14:paraId="640D7657" w14:textId="77777777" w:rsidR="000C465B" w:rsidRPr="000C465B" w:rsidRDefault="000C465B" w:rsidP="000C465B">
            <w:pPr>
              <w:spacing w:after="0"/>
              <w:jc w:val="left"/>
            </w:pPr>
            <w:r w:rsidRPr="000C465B">
              <w:rPr>
                <w:noProof/>
              </w:rPr>
              <w:drawing>
                <wp:inline distT="0" distB="0" distL="0" distR="0" wp14:anchorId="319A72DF" wp14:editId="0D35ADF4">
                  <wp:extent cx="1874520" cy="5047488"/>
                  <wp:effectExtent l="0" t="0" r="0" b="1270"/>
                  <wp:docPr id="240598657" name="Picture 24059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AEQ-Shampoo-v15.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74520" cy="5047488"/>
                          </a:xfrm>
                          <a:prstGeom prst="rect">
                            <a:avLst/>
                          </a:prstGeom>
                        </pic:spPr>
                      </pic:pic>
                    </a:graphicData>
                  </a:graphic>
                </wp:inline>
              </w:drawing>
            </w:r>
          </w:p>
        </w:tc>
      </w:tr>
      <w:tr w:rsidR="000C465B" w:rsidRPr="000C465B" w14:paraId="3E0F928C" w14:textId="77777777" w:rsidTr="00185462">
        <w:tc>
          <w:tcPr>
            <w:tcW w:w="3290" w:type="dxa"/>
            <w:tcBorders>
              <w:top w:val="nil"/>
              <w:left w:val="nil"/>
              <w:bottom w:val="nil"/>
              <w:right w:val="nil"/>
            </w:tcBorders>
          </w:tcPr>
          <w:p w14:paraId="5503AE49" w14:textId="77777777" w:rsidR="000C465B" w:rsidRPr="000C465B" w:rsidRDefault="000C465B" w:rsidP="000C465B">
            <w:pPr>
              <w:spacing w:after="0"/>
              <w:jc w:val="center"/>
              <w:rPr>
                <w:sz w:val="36"/>
                <w:szCs w:val="36"/>
              </w:rPr>
            </w:pPr>
            <w:r w:rsidRPr="000C465B">
              <w:rPr>
                <w:b/>
                <w:color w:val="00B050"/>
                <w:sz w:val="36"/>
                <w:szCs w:val="36"/>
              </w:rPr>
              <w:t>PREFERRED</w:t>
            </w:r>
          </w:p>
        </w:tc>
        <w:tc>
          <w:tcPr>
            <w:tcW w:w="3090" w:type="dxa"/>
            <w:gridSpan w:val="2"/>
            <w:tcBorders>
              <w:top w:val="nil"/>
              <w:left w:val="nil"/>
              <w:bottom w:val="nil"/>
              <w:right w:val="nil"/>
            </w:tcBorders>
          </w:tcPr>
          <w:p w14:paraId="094204DC" w14:textId="77777777" w:rsidR="000C465B" w:rsidRPr="000C465B" w:rsidRDefault="000C465B" w:rsidP="000C465B">
            <w:pPr>
              <w:spacing w:after="0"/>
              <w:jc w:val="center"/>
              <w:rPr>
                <w:sz w:val="36"/>
                <w:szCs w:val="36"/>
              </w:rPr>
            </w:pPr>
            <w:r w:rsidRPr="000C465B">
              <w:rPr>
                <w:b/>
                <w:color w:val="FF0000"/>
                <w:sz w:val="36"/>
                <w:szCs w:val="36"/>
              </w:rPr>
              <w:t>PROBLEMATIC</w:t>
            </w:r>
          </w:p>
        </w:tc>
        <w:tc>
          <w:tcPr>
            <w:tcW w:w="3070" w:type="dxa"/>
            <w:gridSpan w:val="3"/>
            <w:tcBorders>
              <w:top w:val="nil"/>
              <w:left w:val="nil"/>
              <w:bottom w:val="nil"/>
              <w:right w:val="nil"/>
            </w:tcBorders>
          </w:tcPr>
          <w:p w14:paraId="44C11356" w14:textId="77777777" w:rsidR="000C465B" w:rsidRPr="000C465B" w:rsidRDefault="000C465B" w:rsidP="000C465B">
            <w:pPr>
              <w:spacing w:after="0"/>
              <w:jc w:val="center"/>
              <w:rPr>
                <w:sz w:val="36"/>
                <w:szCs w:val="36"/>
              </w:rPr>
            </w:pPr>
            <w:r w:rsidRPr="000C465B">
              <w:rPr>
                <w:b/>
                <w:color w:val="FF0000"/>
                <w:sz w:val="36"/>
                <w:szCs w:val="36"/>
              </w:rPr>
              <w:t>PROBLEMATIC</w:t>
            </w:r>
          </w:p>
        </w:tc>
      </w:tr>
      <w:tr w:rsidR="000C465B" w:rsidRPr="000C465B" w14:paraId="6DEE8A18" w14:textId="77777777" w:rsidTr="00185462">
        <w:tc>
          <w:tcPr>
            <w:tcW w:w="3290" w:type="dxa"/>
            <w:tcBorders>
              <w:top w:val="nil"/>
              <w:left w:val="nil"/>
              <w:bottom w:val="nil"/>
              <w:right w:val="nil"/>
            </w:tcBorders>
          </w:tcPr>
          <w:p w14:paraId="7675E98F" w14:textId="77777777" w:rsidR="000C465B" w:rsidRPr="000C465B" w:rsidRDefault="000C465B" w:rsidP="000C465B">
            <w:pPr>
              <w:spacing w:after="0"/>
              <w:rPr>
                <w:noProof/>
                <w:sz w:val="20"/>
                <w:szCs w:val="20"/>
              </w:rPr>
            </w:pPr>
            <w:r w:rsidRPr="000C465B">
              <w:rPr>
                <w:spacing w:val="10"/>
                <w:sz w:val="20"/>
                <w:szCs w:val="20"/>
              </w:rPr>
              <w:t>This example illustrates the</w:t>
            </w:r>
            <w:r w:rsidRPr="000C465B">
              <w:rPr>
                <w:sz w:val="20"/>
                <w:szCs w:val="20"/>
              </w:rPr>
              <w:t xml:space="preserve"> inclusion of an AEQ that states ½ Liter near the top of the PDP </w:t>
            </w:r>
            <w:r w:rsidRPr="000C465B">
              <w:rPr>
                <w:spacing w:val="-4"/>
                <w:sz w:val="20"/>
                <w:szCs w:val="20"/>
              </w:rPr>
              <w:t>which is an equivalent expression</w:t>
            </w:r>
            <w:r w:rsidRPr="000C465B">
              <w:rPr>
                <w:sz w:val="20"/>
                <w:szCs w:val="20"/>
              </w:rPr>
              <w:t xml:space="preserve"> to 500 mL in the Declaration of Net Quantity (</w:t>
            </w:r>
            <w:proofErr w:type="spellStart"/>
            <w:r w:rsidRPr="000C465B">
              <w:rPr>
                <w:sz w:val="20"/>
                <w:szCs w:val="20"/>
              </w:rPr>
              <w:t>DoNQ</w:t>
            </w:r>
            <w:proofErr w:type="spellEnd"/>
            <w:r w:rsidRPr="000C465B">
              <w:rPr>
                <w:sz w:val="20"/>
                <w:szCs w:val="20"/>
              </w:rPr>
              <w:t>).</w:t>
            </w:r>
          </w:p>
          <w:p w14:paraId="248E17F3" w14:textId="77777777" w:rsidR="000C465B" w:rsidRPr="000C465B" w:rsidRDefault="000C465B" w:rsidP="000C465B">
            <w:pPr>
              <w:spacing w:after="0"/>
              <w:jc w:val="left"/>
            </w:pPr>
          </w:p>
        </w:tc>
        <w:tc>
          <w:tcPr>
            <w:tcW w:w="3090" w:type="dxa"/>
            <w:gridSpan w:val="2"/>
            <w:tcBorders>
              <w:top w:val="nil"/>
              <w:left w:val="nil"/>
              <w:bottom w:val="nil"/>
              <w:right w:val="nil"/>
            </w:tcBorders>
          </w:tcPr>
          <w:p w14:paraId="7A3988A2" w14:textId="77777777" w:rsidR="000C465B" w:rsidRPr="000C465B" w:rsidRDefault="000C465B" w:rsidP="000C465B">
            <w:pPr>
              <w:spacing w:after="0"/>
            </w:pPr>
            <w:r w:rsidRPr="000C465B">
              <w:rPr>
                <w:spacing w:val="10"/>
                <w:sz w:val="20"/>
                <w:szCs w:val="20"/>
              </w:rPr>
              <w:t>This example illustrates the</w:t>
            </w:r>
            <w:r w:rsidRPr="000C465B">
              <w:rPr>
                <w:sz w:val="20"/>
                <w:szCs w:val="20"/>
              </w:rPr>
              <w:t xml:space="preserve"> inclusion of the phrase “At Least ½ Liter” near the top of the PDP while the </w:t>
            </w:r>
            <w:proofErr w:type="spellStart"/>
            <w:r w:rsidRPr="000C465B">
              <w:rPr>
                <w:sz w:val="20"/>
                <w:szCs w:val="20"/>
              </w:rPr>
              <w:t>DoNQ</w:t>
            </w:r>
            <w:proofErr w:type="spellEnd"/>
            <w:r w:rsidRPr="000C465B">
              <w:rPr>
                <w:sz w:val="20"/>
                <w:szCs w:val="20"/>
              </w:rPr>
              <w:t xml:space="preserve"> states 500 </w:t>
            </w:r>
            <w:proofErr w:type="spellStart"/>
            <w:r w:rsidRPr="000C465B">
              <w:rPr>
                <w:sz w:val="20"/>
                <w:szCs w:val="20"/>
              </w:rPr>
              <w:t>mL.</w:t>
            </w:r>
            <w:proofErr w:type="spellEnd"/>
            <w:r w:rsidRPr="000C465B">
              <w:rPr>
                <w:sz w:val="20"/>
                <w:szCs w:val="20"/>
              </w:rPr>
              <w:t xml:space="preserve">   Since </w:t>
            </w:r>
            <w:proofErr w:type="gramStart"/>
            <w:r w:rsidRPr="000C465B">
              <w:rPr>
                <w:sz w:val="20"/>
                <w:szCs w:val="20"/>
              </w:rPr>
              <w:t xml:space="preserve">the </w:t>
            </w:r>
            <w:proofErr w:type="spellStart"/>
            <w:r w:rsidRPr="000C465B">
              <w:rPr>
                <w:sz w:val="20"/>
                <w:szCs w:val="20"/>
              </w:rPr>
              <w:t>DoNQ</w:t>
            </w:r>
            <w:proofErr w:type="spellEnd"/>
            <w:proofErr w:type="gramEnd"/>
            <w:r w:rsidRPr="000C465B">
              <w:rPr>
                <w:sz w:val="20"/>
                <w:szCs w:val="20"/>
              </w:rPr>
              <w:t xml:space="preserve"> states the package contains 500 mL, the AEQ must be an equivalent statement.  “At Least ½ Liter” is not an equivalent statement to 500 mL and implies the package may or may not contain more than 500 mL without any added clarification.  As a result, this is viewed as problemati</w:t>
            </w:r>
            <w:r w:rsidRPr="000C465B">
              <w:t xml:space="preserve">c.  </w:t>
            </w:r>
          </w:p>
          <w:p w14:paraId="0C3BBA5F" w14:textId="77777777" w:rsidR="000C465B" w:rsidRPr="000C465B" w:rsidRDefault="000C465B" w:rsidP="000C465B">
            <w:pPr>
              <w:spacing w:after="0"/>
              <w:jc w:val="left"/>
            </w:pPr>
          </w:p>
        </w:tc>
        <w:tc>
          <w:tcPr>
            <w:tcW w:w="3070" w:type="dxa"/>
            <w:gridSpan w:val="3"/>
            <w:tcBorders>
              <w:top w:val="nil"/>
              <w:left w:val="nil"/>
              <w:bottom w:val="nil"/>
              <w:right w:val="nil"/>
            </w:tcBorders>
          </w:tcPr>
          <w:p w14:paraId="6A698A61" w14:textId="77777777" w:rsidR="000C465B" w:rsidRPr="000C465B" w:rsidRDefault="000C465B" w:rsidP="000C465B">
            <w:pPr>
              <w:spacing w:after="0"/>
            </w:pPr>
            <w:r w:rsidRPr="000C465B">
              <w:rPr>
                <w:spacing w:val="20"/>
                <w:sz w:val="20"/>
                <w:szCs w:val="20"/>
              </w:rPr>
              <w:t>This example illustrates</w:t>
            </w:r>
            <w:r w:rsidRPr="000C465B">
              <w:rPr>
                <w:sz w:val="20"/>
                <w:szCs w:val="20"/>
              </w:rPr>
              <w:t xml:space="preserve"> inclusion of the expression “Up to ½ Liter!”. This example is problematic since “up to” does not communicate a precise and </w:t>
            </w:r>
            <w:r w:rsidRPr="000C465B">
              <w:rPr>
                <w:spacing w:val="10"/>
                <w:sz w:val="20"/>
                <w:szCs w:val="20"/>
              </w:rPr>
              <w:t xml:space="preserve">verifiable quantity to a prospective buyer of an individual </w:t>
            </w:r>
            <w:proofErr w:type="gramStart"/>
            <w:r w:rsidRPr="000C465B">
              <w:rPr>
                <w:spacing w:val="10"/>
                <w:sz w:val="20"/>
                <w:szCs w:val="20"/>
              </w:rPr>
              <w:t>package, and</w:t>
            </w:r>
            <w:proofErr w:type="gramEnd"/>
            <w:r w:rsidRPr="000C465B">
              <w:rPr>
                <w:spacing w:val="10"/>
                <w:sz w:val="20"/>
                <w:szCs w:val="20"/>
              </w:rPr>
              <w:t xml:space="preserve"> may </w:t>
            </w:r>
            <w:proofErr w:type="gramStart"/>
            <w:r w:rsidRPr="000C465B">
              <w:rPr>
                <w:spacing w:val="10"/>
                <w:sz w:val="20"/>
                <w:szCs w:val="20"/>
              </w:rPr>
              <w:t>actually contain</w:t>
            </w:r>
            <w:proofErr w:type="gramEnd"/>
            <w:r w:rsidRPr="000C465B">
              <w:rPr>
                <w:spacing w:val="10"/>
                <w:sz w:val="20"/>
                <w:szCs w:val="20"/>
              </w:rPr>
              <w:t xml:space="preserve"> less. This</w:t>
            </w:r>
            <w:r w:rsidRPr="000C465B">
              <w:rPr>
                <w:sz w:val="20"/>
                <w:szCs w:val="20"/>
              </w:rPr>
              <w:t xml:space="preserve"> expression also is not consistent with </w:t>
            </w:r>
            <w:proofErr w:type="gramStart"/>
            <w:r w:rsidRPr="000C465B">
              <w:rPr>
                <w:sz w:val="20"/>
                <w:szCs w:val="20"/>
              </w:rPr>
              <w:t xml:space="preserve">the </w:t>
            </w:r>
            <w:proofErr w:type="spellStart"/>
            <w:r w:rsidRPr="000C465B">
              <w:rPr>
                <w:sz w:val="20"/>
                <w:szCs w:val="20"/>
              </w:rPr>
              <w:t>DoNQ</w:t>
            </w:r>
            <w:proofErr w:type="spellEnd"/>
            <w:proofErr w:type="gramEnd"/>
            <w:r w:rsidRPr="000C465B">
              <w:rPr>
                <w:sz w:val="20"/>
                <w:szCs w:val="20"/>
              </w:rPr>
              <w:t xml:space="preserve">.  Expressions like “up to”, “approximately” and </w:t>
            </w:r>
            <w:r w:rsidRPr="000C465B">
              <w:rPr>
                <w:spacing w:val="10"/>
                <w:sz w:val="20"/>
                <w:szCs w:val="20"/>
              </w:rPr>
              <w:t>“about” suggest a quantity range instead of a verifiable</w:t>
            </w:r>
            <w:r w:rsidRPr="000C465B">
              <w:rPr>
                <w:sz w:val="20"/>
                <w:szCs w:val="20"/>
              </w:rPr>
              <w:t xml:space="preserve"> quantity. Additionally, the ½ may be hard to see </w:t>
            </w:r>
            <w:proofErr w:type="gramStart"/>
            <w:r w:rsidRPr="000C465B">
              <w:rPr>
                <w:sz w:val="20"/>
                <w:szCs w:val="20"/>
              </w:rPr>
              <w:t>as a result of</w:t>
            </w:r>
            <w:proofErr w:type="gramEnd"/>
            <w:r w:rsidRPr="000C465B">
              <w:rPr>
                <w:sz w:val="20"/>
                <w:szCs w:val="20"/>
              </w:rPr>
              <w:t xml:space="preserve"> its size and contrast.  </w:t>
            </w:r>
          </w:p>
        </w:tc>
      </w:tr>
      <w:tr w:rsidR="000C465B" w:rsidRPr="000C465B" w14:paraId="50455285" w14:textId="77777777" w:rsidTr="001854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Pr>
        <w:tc>
          <w:tcPr>
            <w:tcW w:w="4842" w:type="dxa"/>
            <w:gridSpan w:val="2"/>
          </w:tcPr>
          <w:p w14:paraId="7334B945" w14:textId="77777777" w:rsidR="000C465B" w:rsidRPr="000C465B" w:rsidRDefault="000C465B" w:rsidP="000C465B">
            <w:pPr>
              <w:keepNext/>
              <w:spacing w:after="0"/>
              <w:jc w:val="center"/>
              <w:rPr>
                <w:highlight w:val="yellow"/>
              </w:rPr>
            </w:pPr>
            <w:r w:rsidRPr="000C465B">
              <w:t xml:space="preserve"> </w:t>
            </w:r>
          </w:p>
        </w:tc>
        <w:tc>
          <w:tcPr>
            <w:tcW w:w="4594" w:type="dxa"/>
            <w:gridSpan w:val="3"/>
          </w:tcPr>
          <w:p w14:paraId="48B48453" w14:textId="77777777" w:rsidR="000C465B" w:rsidRPr="000C465B" w:rsidRDefault="000C465B" w:rsidP="000C465B">
            <w:pPr>
              <w:keepNext/>
              <w:spacing w:after="0"/>
              <w:jc w:val="center"/>
              <w:rPr>
                <w:highlight w:val="yellow"/>
              </w:rPr>
            </w:pPr>
          </w:p>
        </w:tc>
      </w:tr>
    </w:tbl>
    <w:p w14:paraId="0E7BA783" w14:textId="77777777" w:rsidR="000C465B" w:rsidRPr="000C465B" w:rsidRDefault="000C465B" w:rsidP="000C465B">
      <w:pPr>
        <w:spacing w:after="200" w:line="276" w:lineRule="auto"/>
        <w:jc w:val="left"/>
        <w:rPr>
          <w:b/>
          <w:noProof/>
          <w:sz w:val="22"/>
        </w:rPr>
      </w:pPr>
      <w:r w:rsidRPr="000C465B">
        <w:rPr>
          <w:b/>
          <w:noProof/>
          <w:sz w:val="22"/>
        </w:rPr>
        <w:t xml:space="preserve">       </w: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638"/>
      </w:tblGrid>
      <w:tr w:rsidR="000C465B" w:rsidRPr="000C465B" w14:paraId="02CE2F8B" w14:textId="77777777" w:rsidTr="005F0F3E">
        <w:tc>
          <w:tcPr>
            <w:tcW w:w="4722" w:type="dxa"/>
          </w:tcPr>
          <w:p w14:paraId="07FDB91F" w14:textId="77777777" w:rsidR="000C465B" w:rsidRPr="000C465B" w:rsidRDefault="000C465B" w:rsidP="000C465B">
            <w:pPr>
              <w:spacing w:after="0"/>
              <w:jc w:val="left"/>
              <w:rPr>
                <w:b/>
                <w:color w:val="00B050"/>
                <w:sz w:val="40"/>
                <w:szCs w:val="40"/>
              </w:rPr>
            </w:pPr>
            <w:r w:rsidRPr="000C465B">
              <w:rPr>
                <w:noProof/>
              </w:rPr>
              <w:lastRenderedPageBreak/>
              <w:drawing>
                <wp:inline distT="0" distB="0" distL="0" distR="0" wp14:anchorId="5F5F346B" wp14:editId="626AD159">
                  <wp:extent cx="2861828" cy="2837815"/>
                  <wp:effectExtent l="0" t="0" r="0" b="635"/>
                  <wp:docPr id="279296177" name="Picture 279296177" descr="D:\NCWM\PALS Diagrams\Set 4\1-AEQ\AEQ-S1a-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NCWM\PALS Diagrams\Set 4\1-AEQ\AEQ-S1a-v5.pn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4793"/>
                          <a:stretch/>
                        </pic:blipFill>
                        <pic:spPr bwMode="auto">
                          <a:xfrm>
                            <a:off x="0" y="0"/>
                            <a:ext cx="2862072" cy="2838057"/>
                          </a:xfrm>
                          <a:prstGeom prst="rect">
                            <a:avLst/>
                          </a:prstGeom>
                          <a:noFill/>
                          <a:ln>
                            <a:noFill/>
                          </a:ln>
                          <a:extLst>
                            <a:ext uri="{53640926-AAD7-44D8-BBD7-CCE9431645EC}">
                              <a14:shadowObscured xmlns:a14="http://schemas.microsoft.com/office/drawing/2010/main"/>
                            </a:ext>
                          </a:extLst>
                        </pic:spPr>
                      </pic:pic>
                    </a:graphicData>
                  </a:graphic>
                </wp:inline>
              </w:drawing>
            </w:r>
          </w:p>
          <w:p w14:paraId="2BB3A02C" w14:textId="77777777" w:rsidR="000C465B" w:rsidRPr="000C465B" w:rsidRDefault="000C465B" w:rsidP="000C465B">
            <w:pPr>
              <w:spacing w:after="0"/>
            </w:pPr>
            <w:r w:rsidRPr="000C465B">
              <w:t xml:space="preserve">.    </w:t>
            </w:r>
          </w:p>
          <w:p w14:paraId="25147D85" w14:textId="77777777" w:rsidR="000C465B" w:rsidRPr="000C465B" w:rsidRDefault="000C465B" w:rsidP="000C465B">
            <w:pPr>
              <w:spacing w:after="0"/>
            </w:pPr>
          </w:p>
          <w:p w14:paraId="1E202060" w14:textId="77777777" w:rsidR="000C465B" w:rsidRPr="000C465B" w:rsidRDefault="000C465B" w:rsidP="000C465B">
            <w:pPr>
              <w:spacing w:after="0"/>
            </w:pPr>
            <w:r w:rsidRPr="000C465B">
              <w:rPr>
                <w:noProof/>
              </w:rPr>
              <w:drawing>
                <wp:inline distT="0" distB="0" distL="0" distR="0" wp14:anchorId="36EE336D" wp14:editId="6B37AC3E">
                  <wp:extent cx="2861208" cy="2837180"/>
                  <wp:effectExtent l="0" t="0" r="0" b="1270"/>
                  <wp:docPr id="1142822197" name="Picture 1142822197" descr="D:\NCWM\PALS Diagrams\Set 4\1-AEQ\AEQ-S1b-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NCWM\PALS Diagrams\Set 4\1-AEQ\AEQ-S1b-v1.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4795"/>
                          <a:stretch/>
                        </pic:blipFill>
                        <pic:spPr bwMode="auto">
                          <a:xfrm>
                            <a:off x="0" y="0"/>
                            <a:ext cx="2862072" cy="28380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8" w:type="dxa"/>
          </w:tcPr>
          <w:p w14:paraId="5186BA2C" w14:textId="77777777" w:rsidR="000C465B" w:rsidRPr="000C465B" w:rsidRDefault="000C465B" w:rsidP="000C465B">
            <w:pPr>
              <w:spacing w:after="0"/>
              <w:rPr>
                <w:b/>
                <w:color w:val="00B050"/>
                <w:sz w:val="40"/>
                <w:szCs w:val="40"/>
              </w:rPr>
            </w:pPr>
          </w:p>
          <w:p w14:paraId="38A105C6" w14:textId="77777777" w:rsidR="000C465B" w:rsidRPr="000C465B" w:rsidRDefault="000C465B" w:rsidP="000C465B">
            <w:pPr>
              <w:spacing w:after="0"/>
              <w:rPr>
                <w:b/>
                <w:color w:val="00B050"/>
                <w:sz w:val="36"/>
                <w:szCs w:val="36"/>
              </w:rPr>
            </w:pPr>
            <w:r w:rsidRPr="000C465B">
              <w:rPr>
                <w:b/>
                <w:color w:val="00B050"/>
                <w:sz w:val="36"/>
                <w:szCs w:val="36"/>
              </w:rPr>
              <w:t>PREFERRED</w:t>
            </w:r>
          </w:p>
          <w:p w14:paraId="146743F7" w14:textId="77777777" w:rsidR="000C465B" w:rsidRPr="000C465B" w:rsidRDefault="000C465B" w:rsidP="000C465B">
            <w:pPr>
              <w:spacing w:after="0"/>
            </w:pPr>
            <w:r w:rsidRPr="000C465B">
              <w:rPr>
                <w:spacing w:val="4"/>
                <w:sz w:val="20"/>
                <w:szCs w:val="20"/>
              </w:rPr>
              <w:t>This example illustrates the inclusion of an AEQ</w:t>
            </w:r>
            <w:r w:rsidRPr="000C465B">
              <w:rPr>
                <w:spacing w:val="10"/>
                <w:sz w:val="20"/>
                <w:szCs w:val="20"/>
              </w:rPr>
              <w:t xml:space="preserve"> </w:t>
            </w:r>
            <w:r w:rsidRPr="000C465B">
              <w:rPr>
                <w:sz w:val="20"/>
                <w:szCs w:val="20"/>
              </w:rPr>
              <w:t xml:space="preserve">(6 Doughnuts) near the top of the PDP which provides package count information in addition to the weight/mass information provided by the </w:t>
            </w:r>
            <w:proofErr w:type="spellStart"/>
            <w:r w:rsidRPr="000C465B">
              <w:rPr>
                <w:sz w:val="20"/>
                <w:szCs w:val="20"/>
              </w:rPr>
              <w:t>DoNQ</w:t>
            </w:r>
            <w:proofErr w:type="spellEnd"/>
            <w:r w:rsidRPr="000C465B">
              <w:rPr>
                <w:sz w:val="20"/>
                <w:szCs w:val="20"/>
              </w:rPr>
              <w:t>.  The “6” and “Doughnuts” appear with differing font, color and contrast in a manner which makes the AEQ clear</w:t>
            </w:r>
            <w:r w:rsidRPr="000C465B">
              <w:t xml:space="preserve">.    </w:t>
            </w:r>
          </w:p>
          <w:p w14:paraId="58A715B3" w14:textId="77777777" w:rsidR="000C465B" w:rsidRPr="000C465B" w:rsidRDefault="000C465B" w:rsidP="000C465B">
            <w:pPr>
              <w:spacing w:after="100" w:afterAutospacing="1"/>
              <w:jc w:val="center"/>
              <w:rPr>
                <w:b/>
                <w:color w:val="00B050"/>
                <w:sz w:val="40"/>
                <w:szCs w:val="40"/>
              </w:rPr>
            </w:pPr>
          </w:p>
          <w:p w14:paraId="1CF84BFF" w14:textId="77777777" w:rsidR="000C465B" w:rsidRPr="000C465B" w:rsidRDefault="000C465B" w:rsidP="000C465B">
            <w:pPr>
              <w:spacing w:after="100" w:afterAutospacing="1"/>
              <w:jc w:val="center"/>
              <w:rPr>
                <w:b/>
                <w:color w:val="00B050"/>
                <w:sz w:val="40"/>
                <w:szCs w:val="40"/>
              </w:rPr>
            </w:pPr>
          </w:p>
          <w:p w14:paraId="7C88328D" w14:textId="77777777" w:rsidR="000C465B" w:rsidRPr="000C465B" w:rsidRDefault="000C465B" w:rsidP="000C465B">
            <w:pPr>
              <w:spacing w:after="100" w:afterAutospacing="1"/>
              <w:jc w:val="center"/>
              <w:rPr>
                <w:b/>
                <w:color w:val="00B050"/>
                <w:sz w:val="40"/>
                <w:szCs w:val="40"/>
              </w:rPr>
            </w:pPr>
          </w:p>
          <w:p w14:paraId="10083EEA" w14:textId="77777777" w:rsidR="000C465B" w:rsidRPr="000C465B" w:rsidRDefault="000C465B" w:rsidP="000C465B">
            <w:pPr>
              <w:spacing w:after="100" w:afterAutospacing="1"/>
              <w:jc w:val="center"/>
              <w:rPr>
                <w:b/>
                <w:color w:val="00B050"/>
                <w:sz w:val="40"/>
                <w:szCs w:val="40"/>
              </w:rPr>
            </w:pPr>
          </w:p>
          <w:p w14:paraId="27625BDE" w14:textId="77777777" w:rsidR="000C465B" w:rsidRPr="000C465B" w:rsidRDefault="000C465B" w:rsidP="000C465B">
            <w:pPr>
              <w:spacing w:after="0"/>
              <w:rPr>
                <w:b/>
                <w:color w:val="00B050"/>
                <w:sz w:val="36"/>
                <w:szCs w:val="36"/>
              </w:rPr>
            </w:pPr>
            <w:r w:rsidRPr="000C465B">
              <w:rPr>
                <w:b/>
                <w:color w:val="00B050"/>
                <w:sz w:val="36"/>
                <w:szCs w:val="36"/>
              </w:rPr>
              <w:t>PREFERRED</w:t>
            </w:r>
          </w:p>
          <w:p w14:paraId="036B2AB8" w14:textId="77777777" w:rsidR="000C465B" w:rsidRPr="000C465B" w:rsidRDefault="000C465B" w:rsidP="000C465B">
            <w:pPr>
              <w:spacing w:before="20" w:after="0"/>
              <w:rPr>
                <w:sz w:val="20"/>
                <w:szCs w:val="20"/>
              </w:rPr>
            </w:pPr>
            <w:r w:rsidRPr="000C465B">
              <w:rPr>
                <w:spacing w:val="4"/>
                <w:sz w:val="20"/>
                <w:szCs w:val="20"/>
              </w:rPr>
              <w:t>This example illustrates the inclusion of an AEQ</w:t>
            </w:r>
            <w:r w:rsidRPr="000C465B">
              <w:rPr>
                <w:spacing w:val="10"/>
                <w:sz w:val="20"/>
                <w:szCs w:val="20"/>
              </w:rPr>
              <w:t xml:space="preserve"> </w:t>
            </w:r>
            <w:r w:rsidRPr="000C465B">
              <w:rPr>
                <w:sz w:val="20"/>
                <w:szCs w:val="20"/>
              </w:rPr>
              <w:t xml:space="preserve">(6 DOUGHNUTS) in the lower 30% of the PDP on the opposite side of the label and separate from the </w:t>
            </w:r>
            <w:proofErr w:type="spellStart"/>
            <w:r w:rsidRPr="000C465B">
              <w:rPr>
                <w:sz w:val="20"/>
                <w:szCs w:val="20"/>
              </w:rPr>
              <w:t>DoNQ</w:t>
            </w:r>
            <w:proofErr w:type="spellEnd"/>
            <w:r w:rsidRPr="000C465B">
              <w:rPr>
                <w:sz w:val="20"/>
                <w:szCs w:val="20"/>
              </w:rPr>
              <w:t xml:space="preserve"> which provides weight/mass information The “6” and “DOUGHNUTS” appear with the same font, color and contrast in a manner which makes the AEQ clear.    </w:t>
            </w:r>
          </w:p>
          <w:p w14:paraId="41528ADE" w14:textId="77777777" w:rsidR="000C465B" w:rsidRPr="000C465B" w:rsidRDefault="000C465B" w:rsidP="000C465B">
            <w:pPr>
              <w:spacing w:after="200" w:line="276" w:lineRule="auto"/>
              <w:jc w:val="center"/>
            </w:pPr>
          </w:p>
          <w:p w14:paraId="16A63F11" w14:textId="77777777" w:rsidR="000C465B" w:rsidRPr="000C465B" w:rsidRDefault="000C465B" w:rsidP="000C465B">
            <w:pPr>
              <w:spacing w:after="0"/>
              <w:jc w:val="center"/>
            </w:pPr>
            <w:r w:rsidRPr="000C465B">
              <w:t xml:space="preserve"> </w:t>
            </w:r>
          </w:p>
        </w:tc>
      </w:tr>
      <w:tr w:rsidR="000C465B" w:rsidRPr="000C465B" w14:paraId="0A315ABF" w14:textId="77777777" w:rsidTr="005F0F3E">
        <w:tc>
          <w:tcPr>
            <w:tcW w:w="4722" w:type="dxa"/>
          </w:tcPr>
          <w:p w14:paraId="3B029C19" w14:textId="77777777" w:rsidR="000C465B" w:rsidRPr="000C465B" w:rsidRDefault="000C465B" w:rsidP="000C465B">
            <w:pPr>
              <w:spacing w:after="100" w:afterAutospacing="1"/>
              <w:jc w:val="center"/>
              <w:rPr>
                <w:noProof/>
              </w:rPr>
            </w:pPr>
          </w:p>
        </w:tc>
        <w:tc>
          <w:tcPr>
            <w:tcW w:w="4638" w:type="dxa"/>
          </w:tcPr>
          <w:p w14:paraId="6E2B3230" w14:textId="77777777" w:rsidR="000C465B" w:rsidRPr="000C465B" w:rsidDel="00D12391" w:rsidRDefault="000C465B" w:rsidP="000C465B">
            <w:pPr>
              <w:spacing w:before="240" w:after="100" w:afterAutospacing="1"/>
              <w:jc w:val="center"/>
              <w:rPr>
                <w:noProof/>
              </w:rPr>
            </w:pPr>
          </w:p>
        </w:tc>
      </w:tr>
      <w:tr w:rsidR="000C465B" w:rsidRPr="000C465B" w14:paraId="179ACD43" w14:textId="77777777" w:rsidTr="005F0F3E">
        <w:tc>
          <w:tcPr>
            <w:tcW w:w="4722" w:type="dxa"/>
          </w:tcPr>
          <w:p w14:paraId="2272F5E1" w14:textId="77777777" w:rsidR="000C465B" w:rsidRPr="000C465B" w:rsidRDefault="000C465B" w:rsidP="000C465B">
            <w:pPr>
              <w:spacing w:after="0"/>
              <w:jc w:val="left"/>
              <w:rPr>
                <w:noProof/>
              </w:rPr>
            </w:pPr>
          </w:p>
        </w:tc>
        <w:tc>
          <w:tcPr>
            <w:tcW w:w="4638" w:type="dxa"/>
          </w:tcPr>
          <w:p w14:paraId="2F4F7DD3" w14:textId="77777777" w:rsidR="000C465B" w:rsidRPr="000C465B" w:rsidRDefault="000C465B" w:rsidP="000C465B">
            <w:pPr>
              <w:spacing w:after="0"/>
              <w:jc w:val="center"/>
              <w:rPr>
                <w:noProof/>
              </w:rPr>
            </w:pPr>
          </w:p>
        </w:tc>
      </w:tr>
      <w:tr w:rsidR="000C465B" w:rsidRPr="000C465B" w14:paraId="5B20ADEA" w14:textId="77777777" w:rsidTr="005F0F3E">
        <w:tc>
          <w:tcPr>
            <w:tcW w:w="4722" w:type="dxa"/>
          </w:tcPr>
          <w:p w14:paraId="28C1535D" w14:textId="1608BCFB" w:rsidR="000C465B" w:rsidRPr="000C465B" w:rsidRDefault="000C465B" w:rsidP="000C465B">
            <w:pPr>
              <w:spacing w:after="60"/>
              <w:jc w:val="center"/>
            </w:pPr>
            <w:r w:rsidRPr="000C465B">
              <w:rPr>
                <w:noProof/>
              </w:rPr>
              <w:lastRenderedPageBreak/>
              <w:drawing>
                <wp:inline distT="0" distB="0" distL="0" distR="0" wp14:anchorId="51D7C9F2" wp14:editId="78D2271B">
                  <wp:extent cx="2861828" cy="2837815"/>
                  <wp:effectExtent l="0" t="0" r="0" b="635"/>
                  <wp:docPr id="252544094" name="Picture 25254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EQ-Doughnut-v2a.png"/>
                          <pic:cNvPicPr/>
                        </pic:nvPicPr>
                        <pic:blipFill rotWithShape="1">
                          <a:blip r:embed="rId68" cstate="print">
                            <a:extLst>
                              <a:ext uri="{28A0092B-C50C-407E-A947-70E740481C1C}">
                                <a14:useLocalDpi xmlns:a14="http://schemas.microsoft.com/office/drawing/2010/main" val="0"/>
                              </a:ext>
                            </a:extLst>
                          </a:blip>
                          <a:srcRect t="4793"/>
                          <a:stretch/>
                        </pic:blipFill>
                        <pic:spPr bwMode="auto">
                          <a:xfrm>
                            <a:off x="0" y="0"/>
                            <a:ext cx="2862072" cy="2838057"/>
                          </a:xfrm>
                          <a:prstGeom prst="rect">
                            <a:avLst/>
                          </a:prstGeom>
                          <a:ln>
                            <a:noFill/>
                          </a:ln>
                          <a:extLst>
                            <a:ext uri="{53640926-AAD7-44D8-BBD7-CCE9431645EC}">
                              <a14:shadowObscured xmlns:a14="http://schemas.microsoft.com/office/drawing/2010/main"/>
                            </a:ext>
                          </a:extLst>
                        </pic:spPr>
                      </pic:pic>
                    </a:graphicData>
                  </a:graphic>
                </wp:inline>
              </w:drawing>
            </w:r>
          </w:p>
        </w:tc>
        <w:tc>
          <w:tcPr>
            <w:tcW w:w="4638" w:type="dxa"/>
          </w:tcPr>
          <w:p w14:paraId="1BA7F054" w14:textId="77777777" w:rsidR="000C465B" w:rsidRPr="000C465B" w:rsidRDefault="000C465B" w:rsidP="000C465B">
            <w:pPr>
              <w:spacing w:after="0"/>
              <w:rPr>
                <w:b/>
                <w:color w:val="00B050"/>
                <w:sz w:val="40"/>
                <w:szCs w:val="40"/>
              </w:rPr>
            </w:pPr>
          </w:p>
          <w:p w14:paraId="14BB7C51" w14:textId="77777777" w:rsidR="000C465B" w:rsidRPr="000C465B" w:rsidRDefault="000C465B" w:rsidP="000C465B">
            <w:pPr>
              <w:spacing w:after="0"/>
              <w:rPr>
                <w:sz w:val="36"/>
                <w:szCs w:val="36"/>
              </w:rPr>
            </w:pPr>
            <w:r w:rsidRPr="000C465B">
              <w:rPr>
                <w:b/>
                <w:color w:val="00B050"/>
                <w:sz w:val="36"/>
                <w:szCs w:val="36"/>
              </w:rPr>
              <w:t>PREFERRED</w:t>
            </w:r>
            <w:r w:rsidRPr="000C465B">
              <w:rPr>
                <w:sz w:val="36"/>
                <w:szCs w:val="36"/>
              </w:rPr>
              <w:t xml:space="preserve"> </w:t>
            </w:r>
          </w:p>
          <w:p w14:paraId="779CF2EF" w14:textId="740037AB" w:rsidR="000C465B" w:rsidRPr="000C465B" w:rsidRDefault="000C465B" w:rsidP="000C465B">
            <w:pPr>
              <w:spacing w:after="0"/>
              <w:rPr>
                <w:sz w:val="20"/>
                <w:szCs w:val="20"/>
              </w:rPr>
            </w:pPr>
            <w:r w:rsidRPr="000C465B">
              <w:rPr>
                <w:spacing w:val="4"/>
                <w:sz w:val="20"/>
                <w:szCs w:val="20"/>
              </w:rPr>
              <w:t xml:space="preserve">This example illustrates the inclusion of an </w:t>
            </w:r>
            <w:proofErr w:type="gramStart"/>
            <w:r w:rsidRPr="000C465B">
              <w:rPr>
                <w:spacing w:val="4"/>
                <w:sz w:val="20"/>
                <w:szCs w:val="20"/>
              </w:rPr>
              <w:t>AEQ</w:t>
            </w:r>
            <w:r w:rsidRPr="000C465B">
              <w:rPr>
                <w:sz w:val="20"/>
                <w:szCs w:val="20"/>
              </w:rPr>
              <w:t xml:space="preserve">  (</w:t>
            </w:r>
            <w:proofErr w:type="gramEnd"/>
            <w:r w:rsidRPr="000C465B">
              <w:rPr>
                <w:sz w:val="20"/>
                <w:szCs w:val="20"/>
              </w:rPr>
              <w:t>6 Doughnuts) in the lower 30% of the PDP on the same side</w:t>
            </w:r>
            <w:r w:rsidR="00E95F83">
              <w:rPr>
                <w:sz w:val="20"/>
                <w:szCs w:val="20"/>
              </w:rPr>
              <w:t xml:space="preserve"> </w:t>
            </w:r>
            <w:r w:rsidRPr="000C465B">
              <w:rPr>
                <w:sz w:val="20"/>
                <w:szCs w:val="20"/>
              </w:rPr>
              <w:t xml:space="preserve">separate from the </w:t>
            </w:r>
            <w:proofErr w:type="spellStart"/>
            <w:r w:rsidRPr="000C465B">
              <w:rPr>
                <w:sz w:val="20"/>
                <w:szCs w:val="20"/>
              </w:rPr>
              <w:t>DoNQ</w:t>
            </w:r>
            <w:proofErr w:type="spellEnd"/>
            <w:r w:rsidRPr="000C465B">
              <w:rPr>
                <w:sz w:val="20"/>
                <w:szCs w:val="20"/>
              </w:rPr>
              <w:t xml:space="preserve">. The “6” and “Doughnuts” have different font </w:t>
            </w:r>
            <w:proofErr w:type="gramStart"/>
            <w:r w:rsidRPr="000C465B">
              <w:rPr>
                <w:sz w:val="20"/>
                <w:szCs w:val="20"/>
              </w:rPr>
              <w:t>sizes</w:t>
            </w:r>
            <w:proofErr w:type="gramEnd"/>
            <w:r w:rsidRPr="000C465B">
              <w:rPr>
                <w:sz w:val="20"/>
                <w:szCs w:val="20"/>
              </w:rPr>
              <w:t xml:space="preserve"> and their color differs from the </w:t>
            </w:r>
            <w:proofErr w:type="spellStart"/>
            <w:r w:rsidRPr="000C465B">
              <w:rPr>
                <w:sz w:val="20"/>
                <w:szCs w:val="20"/>
              </w:rPr>
              <w:t>DoNQ</w:t>
            </w:r>
            <w:proofErr w:type="spellEnd"/>
            <w:r w:rsidRPr="000C465B">
              <w:rPr>
                <w:sz w:val="20"/>
                <w:szCs w:val="20"/>
              </w:rPr>
              <w:t xml:space="preserve">, which makes the AEQ separate and distinct from the </w:t>
            </w:r>
            <w:proofErr w:type="spellStart"/>
            <w:r w:rsidRPr="000C465B">
              <w:rPr>
                <w:sz w:val="20"/>
                <w:szCs w:val="20"/>
              </w:rPr>
              <w:t>DoNQ</w:t>
            </w:r>
            <w:proofErr w:type="spellEnd"/>
            <w:r w:rsidRPr="000C465B">
              <w:rPr>
                <w:sz w:val="20"/>
                <w:szCs w:val="20"/>
              </w:rPr>
              <w:t xml:space="preserve">.    </w:t>
            </w:r>
          </w:p>
        </w:tc>
      </w:tr>
      <w:tr w:rsidR="000C465B" w:rsidRPr="000C465B" w14:paraId="2BDC81DC" w14:textId="77777777" w:rsidTr="005F0F3E">
        <w:tc>
          <w:tcPr>
            <w:tcW w:w="4722" w:type="dxa"/>
          </w:tcPr>
          <w:p w14:paraId="0FBCC3DA" w14:textId="77777777" w:rsidR="000C465B" w:rsidRPr="000C465B" w:rsidRDefault="000C465B" w:rsidP="000C465B">
            <w:pPr>
              <w:spacing w:after="60"/>
              <w:rPr>
                <w:noProof/>
              </w:rPr>
            </w:pPr>
            <w:r w:rsidRPr="000C465B">
              <w:rPr>
                <w:noProof/>
              </w:rPr>
              <w:drawing>
                <wp:inline distT="0" distB="0" distL="0" distR="0" wp14:anchorId="52966FF4" wp14:editId="7051B9BB">
                  <wp:extent cx="2861310" cy="2818244"/>
                  <wp:effectExtent l="0" t="0" r="0" b="1270"/>
                  <wp:docPr id="109" name="Picture 109" descr="D:\NCWM\PALS Diagrams\Set 4\1-AEQ\AEQ-S1b-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NCWM\PALS Diagrams\Set 4\1-AEQ\AEQ-S1b-v4.pn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5433"/>
                          <a:stretch/>
                        </pic:blipFill>
                        <pic:spPr bwMode="auto">
                          <a:xfrm>
                            <a:off x="0" y="0"/>
                            <a:ext cx="2862072" cy="2818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8" w:type="dxa"/>
          </w:tcPr>
          <w:p w14:paraId="57B22D81" w14:textId="77777777" w:rsidR="000C465B" w:rsidRPr="000C465B" w:rsidRDefault="000C465B" w:rsidP="000C465B">
            <w:pPr>
              <w:spacing w:after="0"/>
              <w:rPr>
                <w:b/>
                <w:color w:val="FF0000"/>
                <w:sz w:val="40"/>
                <w:szCs w:val="40"/>
              </w:rPr>
            </w:pPr>
          </w:p>
          <w:p w14:paraId="69888740" w14:textId="77777777" w:rsidR="000C465B" w:rsidRPr="000C465B" w:rsidRDefault="000C465B" w:rsidP="000C465B">
            <w:pPr>
              <w:spacing w:after="0"/>
              <w:rPr>
                <w:b/>
                <w:color w:val="FF0000"/>
                <w:sz w:val="36"/>
                <w:szCs w:val="36"/>
              </w:rPr>
            </w:pPr>
            <w:r w:rsidRPr="000C465B">
              <w:rPr>
                <w:b/>
                <w:color w:val="FF0000"/>
                <w:sz w:val="36"/>
                <w:szCs w:val="36"/>
              </w:rPr>
              <w:t>PROBLEMATIC</w:t>
            </w:r>
          </w:p>
          <w:p w14:paraId="35B996D7" w14:textId="77777777" w:rsidR="000C465B" w:rsidRPr="000C465B" w:rsidRDefault="000C465B" w:rsidP="000C465B">
            <w:pPr>
              <w:spacing w:after="0"/>
              <w:rPr>
                <w:noProof/>
                <w:sz w:val="20"/>
                <w:szCs w:val="20"/>
              </w:rPr>
            </w:pPr>
            <w:r w:rsidRPr="000C465B">
              <w:rPr>
                <w:spacing w:val="4"/>
                <w:sz w:val="20"/>
                <w:szCs w:val="20"/>
              </w:rPr>
              <w:t>This example illustrates the inclusion of an AEQ</w:t>
            </w:r>
            <w:r w:rsidRPr="000C465B">
              <w:rPr>
                <w:spacing w:val="10"/>
                <w:sz w:val="20"/>
                <w:szCs w:val="20"/>
              </w:rPr>
              <w:t xml:space="preserve"> </w:t>
            </w:r>
            <w:r w:rsidRPr="000C465B">
              <w:rPr>
                <w:sz w:val="20"/>
                <w:szCs w:val="20"/>
              </w:rPr>
              <w:t xml:space="preserve">(6 Doughnuts) in the lower 30% of the PDP immediately adjacent to the </w:t>
            </w:r>
            <w:proofErr w:type="spellStart"/>
            <w:r w:rsidRPr="000C465B">
              <w:rPr>
                <w:sz w:val="20"/>
                <w:szCs w:val="20"/>
              </w:rPr>
              <w:t>DoNQ</w:t>
            </w:r>
            <w:proofErr w:type="spellEnd"/>
            <w:r w:rsidRPr="000C465B">
              <w:rPr>
                <w:sz w:val="20"/>
                <w:szCs w:val="20"/>
              </w:rPr>
              <w:t xml:space="preserve">. In this case, the “6 Doughnuts” is not separate from the </w:t>
            </w:r>
            <w:proofErr w:type="spellStart"/>
            <w:r w:rsidRPr="000C465B">
              <w:rPr>
                <w:sz w:val="20"/>
                <w:szCs w:val="20"/>
              </w:rPr>
              <w:t>DoNQ</w:t>
            </w:r>
            <w:proofErr w:type="spellEnd"/>
            <w:r w:rsidRPr="000C465B">
              <w:rPr>
                <w:sz w:val="20"/>
                <w:szCs w:val="20"/>
              </w:rPr>
              <w:t xml:space="preserve"> despite having a different color and font.       </w:t>
            </w:r>
          </w:p>
        </w:tc>
      </w:tr>
      <w:tr w:rsidR="000C465B" w:rsidRPr="000C465B" w14:paraId="0FA5CDA3" w14:textId="77777777" w:rsidTr="005F0F3E">
        <w:tc>
          <w:tcPr>
            <w:tcW w:w="4722" w:type="dxa"/>
          </w:tcPr>
          <w:p w14:paraId="456EA0E6" w14:textId="74493502" w:rsidR="000C465B" w:rsidRPr="000C465B" w:rsidRDefault="00983077" w:rsidP="000C465B">
            <w:pPr>
              <w:spacing w:after="0"/>
              <w:jc w:val="center"/>
            </w:pPr>
            <w:r w:rsidRPr="000C465B">
              <w:rPr>
                <w:noProof/>
              </w:rPr>
              <w:drawing>
                <wp:anchor distT="0" distB="0" distL="114300" distR="114300" simplePos="0" relativeHeight="251658310" behindDoc="0" locked="0" layoutInCell="1" allowOverlap="1" wp14:anchorId="0A4F2FD3" wp14:editId="3F573AA7">
                  <wp:simplePos x="0" y="0"/>
                  <wp:positionH relativeFrom="column">
                    <wp:posOffset>-486</wp:posOffset>
                  </wp:positionH>
                  <wp:positionV relativeFrom="paragraph">
                    <wp:posOffset>0</wp:posOffset>
                  </wp:positionV>
                  <wp:extent cx="2861828" cy="2837815"/>
                  <wp:effectExtent l="0" t="0" r="0" b="635"/>
                  <wp:wrapNone/>
                  <wp:docPr id="1073523664" name="Picture 107352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EQ-Doughnut-v2h7.png"/>
                          <pic:cNvPicPr/>
                        </pic:nvPicPr>
                        <pic:blipFill rotWithShape="1">
                          <a:blip r:embed="rId70" cstate="print">
                            <a:extLst>
                              <a:ext uri="{28A0092B-C50C-407E-A947-70E740481C1C}">
                                <a14:useLocalDpi xmlns:a14="http://schemas.microsoft.com/office/drawing/2010/main" val="0"/>
                              </a:ext>
                            </a:extLst>
                          </a:blip>
                          <a:srcRect t="4793"/>
                          <a:stretch/>
                        </pic:blipFill>
                        <pic:spPr bwMode="auto">
                          <a:xfrm>
                            <a:off x="0" y="0"/>
                            <a:ext cx="2861828" cy="2837815"/>
                          </a:xfrm>
                          <a:prstGeom prst="rect">
                            <a:avLst/>
                          </a:prstGeom>
                          <a:ln>
                            <a:noFill/>
                          </a:ln>
                          <a:extLst>
                            <a:ext uri="{53640926-AAD7-44D8-BBD7-CCE9431645EC}">
                              <a14:shadowObscured xmlns:a14="http://schemas.microsoft.com/office/drawing/2010/main"/>
                            </a:ext>
                          </a:extLst>
                        </pic:spPr>
                      </pic:pic>
                    </a:graphicData>
                  </a:graphic>
                </wp:anchor>
              </w:drawing>
            </w:r>
          </w:p>
        </w:tc>
        <w:tc>
          <w:tcPr>
            <w:tcW w:w="4638" w:type="dxa"/>
          </w:tcPr>
          <w:p w14:paraId="401F7870" w14:textId="77777777" w:rsidR="000C465B" w:rsidRPr="000C465B" w:rsidRDefault="000C465B" w:rsidP="000C465B">
            <w:pPr>
              <w:spacing w:after="0"/>
              <w:rPr>
                <w:b/>
                <w:color w:val="FF0000"/>
                <w:sz w:val="40"/>
                <w:szCs w:val="40"/>
              </w:rPr>
            </w:pPr>
          </w:p>
          <w:p w14:paraId="125C3536" w14:textId="77777777" w:rsidR="000C465B" w:rsidRPr="000C465B" w:rsidRDefault="000C465B" w:rsidP="000C465B">
            <w:pPr>
              <w:spacing w:after="0"/>
              <w:rPr>
                <w:b/>
                <w:color w:val="FF0000"/>
                <w:sz w:val="36"/>
                <w:szCs w:val="36"/>
              </w:rPr>
            </w:pPr>
            <w:r w:rsidRPr="000C465B">
              <w:rPr>
                <w:b/>
                <w:color w:val="FF0000"/>
                <w:sz w:val="36"/>
                <w:szCs w:val="36"/>
              </w:rPr>
              <w:t>PROBLEMATIC</w:t>
            </w:r>
          </w:p>
          <w:p w14:paraId="767207E5" w14:textId="77777777" w:rsidR="000C465B" w:rsidRPr="000C465B" w:rsidRDefault="000C465B" w:rsidP="000C465B">
            <w:pPr>
              <w:spacing w:after="0"/>
              <w:rPr>
                <w:sz w:val="20"/>
                <w:szCs w:val="20"/>
              </w:rPr>
            </w:pPr>
            <w:r w:rsidRPr="000C465B">
              <w:rPr>
                <w:spacing w:val="4"/>
                <w:sz w:val="20"/>
                <w:szCs w:val="20"/>
              </w:rPr>
              <w:t>This example illustrates the inclusion of an AEQ</w:t>
            </w:r>
            <w:r w:rsidRPr="000C465B">
              <w:rPr>
                <w:spacing w:val="10"/>
                <w:sz w:val="20"/>
                <w:szCs w:val="20"/>
              </w:rPr>
              <w:t xml:space="preserve"> </w:t>
            </w:r>
            <w:r w:rsidRPr="000C465B">
              <w:rPr>
                <w:sz w:val="20"/>
                <w:szCs w:val="20"/>
              </w:rPr>
              <w:t xml:space="preserve">(6 Large Doughnuts) in the lower 30% of the PDP which provides package count information in addition to the weight/mass information provided by the </w:t>
            </w:r>
            <w:proofErr w:type="spellStart"/>
            <w:r w:rsidRPr="000C465B">
              <w:rPr>
                <w:sz w:val="20"/>
                <w:szCs w:val="20"/>
              </w:rPr>
              <w:t>DoNQ</w:t>
            </w:r>
            <w:proofErr w:type="spellEnd"/>
            <w:r w:rsidRPr="000C465B">
              <w:rPr>
                <w:sz w:val="20"/>
                <w:szCs w:val="20"/>
              </w:rPr>
              <w:t xml:space="preserve">. The “6” and “Large Doughnuts” appear in differing font sizes and color from the </w:t>
            </w:r>
            <w:proofErr w:type="spellStart"/>
            <w:r w:rsidRPr="000C465B">
              <w:rPr>
                <w:sz w:val="20"/>
                <w:szCs w:val="20"/>
              </w:rPr>
              <w:t>DoNQ</w:t>
            </w:r>
            <w:proofErr w:type="spellEnd"/>
            <w:r w:rsidRPr="000C465B">
              <w:rPr>
                <w:sz w:val="20"/>
                <w:szCs w:val="20"/>
              </w:rPr>
              <w:t xml:space="preserve">, but the AEQ location is almost too close to the </w:t>
            </w:r>
            <w:proofErr w:type="spellStart"/>
            <w:r w:rsidRPr="000C465B">
              <w:rPr>
                <w:sz w:val="20"/>
                <w:szCs w:val="20"/>
              </w:rPr>
              <w:t>DoNQ</w:t>
            </w:r>
            <w:proofErr w:type="spellEnd"/>
            <w:r w:rsidRPr="000C465B">
              <w:rPr>
                <w:sz w:val="20"/>
                <w:szCs w:val="20"/>
              </w:rPr>
              <w:t xml:space="preserve"> and the </w:t>
            </w:r>
            <w:proofErr w:type="spellStart"/>
            <w:r w:rsidRPr="000C465B">
              <w:rPr>
                <w:sz w:val="20"/>
                <w:szCs w:val="20"/>
              </w:rPr>
              <w:t>DoNQ</w:t>
            </w:r>
            <w:proofErr w:type="spellEnd"/>
            <w:r w:rsidRPr="000C465B">
              <w:rPr>
                <w:sz w:val="20"/>
                <w:szCs w:val="20"/>
              </w:rPr>
              <w:t xml:space="preserve"> separation requirement.  The term “Large” in the AEQ is an undefined quantity term which makes the AEQ less objective Terms such as “Large</w:t>
            </w:r>
            <w:proofErr w:type="gramStart"/>
            <w:r w:rsidRPr="000C465B">
              <w:rPr>
                <w:sz w:val="20"/>
                <w:szCs w:val="20"/>
              </w:rPr>
              <w:t>”</w:t>
            </w:r>
            <w:proofErr w:type="gramEnd"/>
            <w:r w:rsidRPr="000C465B">
              <w:rPr>
                <w:sz w:val="20"/>
                <w:szCs w:val="20"/>
              </w:rPr>
              <w:t xml:space="preserve"> and “Jumbo” are prohibited from the </w:t>
            </w:r>
            <w:proofErr w:type="spellStart"/>
            <w:r w:rsidRPr="000C465B">
              <w:rPr>
                <w:sz w:val="20"/>
                <w:szCs w:val="20"/>
              </w:rPr>
              <w:t>DoNQ</w:t>
            </w:r>
            <w:proofErr w:type="spellEnd"/>
            <w:r w:rsidRPr="000C465B">
              <w:rPr>
                <w:sz w:val="20"/>
                <w:szCs w:val="20"/>
              </w:rPr>
              <w:t xml:space="preserve"> because they can exaggerate quantity, and an AEQ on the PDP should similarly not use exaggerating terms. </w:t>
            </w:r>
          </w:p>
        </w:tc>
      </w:tr>
    </w:tbl>
    <w:p w14:paraId="66CE99FD" w14:textId="42C70890" w:rsidR="000C465B" w:rsidRPr="000C465B" w:rsidRDefault="001F7B3F" w:rsidP="000C465B">
      <w:pPr>
        <w:spacing w:after="120" w:line="276" w:lineRule="auto"/>
        <w:rPr>
          <w:szCs w:val="20"/>
        </w:rPr>
      </w:pPr>
      <w:r>
        <w:rPr>
          <w:b/>
          <w:sz w:val="22"/>
        </w:rPr>
        <w:lastRenderedPageBreak/>
        <w:br/>
      </w:r>
      <w:r w:rsidR="000C465B" w:rsidRPr="000C465B">
        <w:rPr>
          <w:b/>
          <w:szCs w:val="20"/>
        </w:rPr>
        <w:t xml:space="preserve">2.  </w:t>
      </w:r>
      <w:r w:rsidR="000C465B" w:rsidRPr="000C465B">
        <w:rPr>
          <w:b/>
          <w:szCs w:val="20"/>
          <w:u w:val="single"/>
        </w:rPr>
        <w:t>Reconstituted Expression of Quantity (REQ)</w:t>
      </w:r>
      <w:r w:rsidR="000C465B" w:rsidRPr="000C465B">
        <w:rPr>
          <w:b/>
          <w:bCs/>
          <w:szCs w:val="20"/>
        </w:rPr>
        <w:t xml:space="preserve"> </w:t>
      </w:r>
      <w:r w:rsidR="000C465B" w:rsidRPr="000C465B">
        <w:rPr>
          <w:szCs w:val="20"/>
        </w:rPr>
        <w:t>– Reconstituted Expressions of Quantity may appear in the upper 70 % or lower 30% of the Principal Display Panel (PDP) as illustrated in the examples below.  The REQ may be located opposite the Declaration of Net Quantity (</w:t>
      </w:r>
      <w:proofErr w:type="spellStart"/>
      <w:r w:rsidR="000C465B" w:rsidRPr="000C465B">
        <w:rPr>
          <w:szCs w:val="20"/>
        </w:rPr>
        <w:t>DoNQ</w:t>
      </w:r>
      <w:proofErr w:type="spellEnd"/>
      <w:r w:rsidR="000C465B" w:rsidRPr="000C465B">
        <w:rPr>
          <w:szCs w:val="20"/>
        </w:rPr>
        <w:t xml:space="preserve">), or adjacent to the </w:t>
      </w:r>
      <w:proofErr w:type="spellStart"/>
      <w:r w:rsidR="000C465B" w:rsidRPr="000C465B">
        <w:rPr>
          <w:szCs w:val="20"/>
        </w:rPr>
        <w:t>DoNQ</w:t>
      </w:r>
      <w:proofErr w:type="spellEnd"/>
      <w:r w:rsidR="000C465B" w:rsidRPr="000C465B">
        <w:rPr>
          <w:szCs w:val="20"/>
        </w:rPr>
        <w:t xml:space="preserve">, provided the Declaration of Net Quantity minimum separation requirements are satisfied. </w:t>
      </w:r>
      <w:bookmarkStart w:id="894" w:name="_Hlk199773651"/>
      <w:r w:rsidR="000C465B" w:rsidRPr="000C465B">
        <w:rPr>
          <w:szCs w:val="20"/>
        </w:rPr>
        <w:t xml:space="preserve">Where two or more REQs are present (not shown), they may appear in both the upper 70% and/or lower 30% of the PDP. It is not required for the REQ statements to be identical provided they are both accurate and non-misleading.   </w:t>
      </w:r>
      <w:bookmarkEnd w:id="894"/>
    </w:p>
    <w:p w14:paraId="1EF66C75" w14:textId="77777777" w:rsidR="000C465B" w:rsidRPr="000C465B" w:rsidRDefault="000C465B" w:rsidP="000C465B">
      <w:pPr>
        <w:spacing w:after="120" w:line="276" w:lineRule="auto"/>
        <w:rPr>
          <w:sz w:val="22"/>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490"/>
      </w:tblGrid>
      <w:tr w:rsidR="000C465B" w:rsidRPr="000C465B" w14:paraId="2604B14F" w14:textId="77777777" w:rsidTr="005F0F3E">
        <w:tc>
          <w:tcPr>
            <w:tcW w:w="3870" w:type="dxa"/>
          </w:tcPr>
          <w:p w14:paraId="6EAB8D68" w14:textId="77777777" w:rsidR="000C465B" w:rsidRPr="000C465B" w:rsidRDefault="000C465B" w:rsidP="000C465B">
            <w:pPr>
              <w:spacing w:after="0"/>
              <w:jc w:val="left"/>
            </w:pPr>
            <w:r w:rsidRPr="000C465B">
              <w:rPr>
                <w:noProof/>
              </w:rPr>
              <w:drawing>
                <wp:inline distT="0" distB="0" distL="0" distR="0" wp14:anchorId="2F475CDE" wp14:editId="5FC26CAA">
                  <wp:extent cx="2285365" cy="2866895"/>
                  <wp:effectExtent l="0" t="0" r="635" b="0"/>
                  <wp:docPr id="588086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86347" name="Picture 588086347"/>
                          <pic:cNvPicPr/>
                        </pic:nvPicPr>
                        <pic:blipFill rotWithShape="1">
                          <a:blip r:embed="rId71">
                            <a:extLst>
                              <a:ext uri="{28A0092B-C50C-407E-A947-70E740481C1C}">
                                <a14:useLocalDpi xmlns:a14="http://schemas.microsoft.com/office/drawing/2010/main" val="0"/>
                              </a:ext>
                            </a:extLst>
                          </a:blip>
                          <a:srcRect l="2835"/>
                          <a:stretch>
                            <a:fillRect/>
                          </a:stretch>
                        </pic:blipFill>
                        <pic:spPr bwMode="auto">
                          <a:xfrm>
                            <a:off x="0" y="0"/>
                            <a:ext cx="2303036" cy="2889063"/>
                          </a:xfrm>
                          <a:prstGeom prst="rect">
                            <a:avLst/>
                          </a:prstGeom>
                          <a:ln>
                            <a:noFill/>
                          </a:ln>
                          <a:extLst>
                            <a:ext uri="{53640926-AAD7-44D8-BBD7-CCE9431645EC}">
                              <a14:shadowObscured xmlns:a14="http://schemas.microsoft.com/office/drawing/2010/main"/>
                            </a:ext>
                          </a:extLst>
                        </pic:spPr>
                      </pic:pic>
                    </a:graphicData>
                  </a:graphic>
                </wp:inline>
              </w:drawing>
            </w:r>
          </w:p>
          <w:p w14:paraId="465CC4DE" w14:textId="77777777" w:rsidR="000C465B" w:rsidRPr="000C465B" w:rsidRDefault="000C465B" w:rsidP="000C465B">
            <w:pPr>
              <w:spacing w:after="0"/>
              <w:jc w:val="left"/>
            </w:pPr>
          </w:p>
          <w:p w14:paraId="6FF95CAD" w14:textId="77777777" w:rsidR="000C465B" w:rsidRPr="000C465B" w:rsidRDefault="000C465B" w:rsidP="000C465B">
            <w:pPr>
              <w:spacing w:after="0"/>
              <w:jc w:val="left"/>
            </w:pPr>
          </w:p>
          <w:p w14:paraId="4C65457E" w14:textId="77777777" w:rsidR="000C465B" w:rsidRPr="000C465B" w:rsidRDefault="000C465B" w:rsidP="000C465B">
            <w:pPr>
              <w:spacing w:after="0"/>
              <w:jc w:val="left"/>
            </w:pPr>
          </w:p>
          <w:p w14:paraId="6427DB4C" w14:textId="77777777" w:rsidR="000C465B" w:rsidRPr="000C465B" w:rsidRDefault="000C465B" w:rsidP="000C465B">
            <w:pPr>
              <w:spacing w:after="0"/>
              <w:jc w:val="left"/>
            </w:pPr>
            <w:r w:rsidRPr="000C465B">
              <w:rPr>
                <w:noProof/>
              </w:rPr>
              <w:drawing>
                <wp:inline distT="0" distB="0" distL="0" distR="0" wp14:anchorId="40CFA28E" wp14:editId="0EB4185F">
                  <wp:extent cx="2218690" cy="2847556"/>
                  <wp:effectExtent l="0" t="0" r="0" b="0"/>
                  <wp:docPr id="177958619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41453" name="Picture 55854145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234538" cy="2867897"/>
                          </a:xfrm>
                          <a:prstGeom prst="rect">
                            <a:avLst/>
                          </a:prstGeom>
                        </pic:spPr>
                      </pic:pic>
                    </a:graphicData>
                  </a:graphic>
                </wp:inline>
              </w:drawing>
            </w:r>
          </w:p>
          <w:p w14:paraId="6814DB5B" w14:textId="77777777" w:rsidR="000C465B" w:rsidRPr="000C465B" w:rsidRDefault="000C465B" w:rsidP="000C465B">
            <w:pPr>
              <w:spacing w:after="0"/>
              <w:jc w:val="left"/>
            </w:pPr>
          </w:p>
          <w:p w14:paraId="03302FB8" w14:textId="77777777" w:rsidR="000C465B" w:rsidRPr="000C465B" w:rsidRDefault="000C465B" w:rsidP="000C465B">
            <w:pPr>
              <w:spacing w:after="0"/>
              <w:jc w:val="left"/>
            </w:pPr>
          </w:p>
          <w:p w14:paraId="6AA34A68" w14:textId="77777777" w:rsidR="000C465B" w:rsidRPr="000C465B" w:rsidRDefault="000C465B" w:rsidP="000C465B">
            <w:pPr>
              <w:spacing w:after="0"/>
              <w:jc w:val="left"/>
            </w:pPr>
          </w:p>
          <w:p w14:paraId="156A6A34" w14:textId="77777777" w:rsidR="000C465B" w:rsidRPr="000C465B" w:rsidRDefault="000C465B" w:rsidP="000C465B">
            <w:pPr>
              <w:spacing w:after="0"/>
              <w:jc w:val="left"/>
            </w:pPr>
          </w:p>
          <w:p w14:paraId="2E78FF05" w14:textId="77777777" w:rsidR="000C465B" w:rsidRPr="000C465B" w:rsidRDefault="000C465B" w:rsidP="000C465B">
            <w:pPr>
              <w:spacing w:after="0"/>
              <w:jc w:val="left"/>
            </w:pPr>
          </w:p>
          <w:p w14:paraId="72DC2A25" w14:textId="77777777" w:rsidR="000C465B" w:rsidRPr="000C465B" w:rsidRDefault="000C465B" w:rsidP="000C465B">
            <w:pPr>
              <w:spacing w:after="0"/>
              <w:jc w:val="left"/>
            </w:pPr>
            <w:r w:rsidRPr="000C465B">
              <w:t xml:space="preserve"> </w:t>
            </w:r>
            <w:r w:rsidRPr="000C465B">
              <w:rPr>
                <w:noProof/>
              </w:rPr>
              <w:drawing>
                <wp:inline distT="0" distB="0" distL="0" distR="0" wp14:anchorId="118DE758" wp14:editId="0BF0D50B">
                  <wp:extent cx="2270760" cy="2796593"/>
                  <wp:effectExtent l="0" t="0" r="0" b="3810"/>
                  <wp:docPr id="14711835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83564" name="Picture 1471183564"/>
                          <pic:cNvPicPr/>
                        </pic:nvPicPr>
                        <pic:blipFill rotWithShape="1">
                          <a:blip r:embed="rId73">
                            <a:extLst>
                              <a:ext uri="{28A0092B-C50C-407E-A947-70E740481C1C}">
                                <a14:useLocalDpi xmlns:a14="http://schemas.microsoft.com/office/drawing/2010/main" val="0"/>
                              </a:ext>
                            </a:extLst>
                          </a:blip>
                          <a:srcRect l="2517"/>
                          <a:stretch>
                            <a:fillRect/>
                          </a:stretch>
                        </pic:blipFill>
                        <pic:spPr bwMode="auto">
                          <a:xfrm>
                            <a:off x="0" y="0"/>
                            <a:ext cx="2285334" cy="2814541"/>
                          </a:xfrm>
                          <a:prstGeom prst="rect">
                            <a:avLst/>
                          </a:prstGeom>
                          <a:ln>
                            <a:noFill/>
                          </a:ln>
                          <a:extLst>
                            <a:ext uri="{53640926-AAD7-44D8-BBD7-CCE9431645EC}">
                              <a14:shadowObscured xmlns:a14="http://schemas.microsoft.com/office/drawing/2010/main"/>
                            </a:ext>
                          </a:extLst>
                        </pic:spPr>
                      </pic:pic>
                    </a:graphicData>
                  </a:graphic>
                </wp:inline>
              </w:drawing>
            </w:r>
          </w:p>
          <w:p w14:paraId="0349CAA7" w14:textId="77777777" w:rsidR="000C465B" w:rsidRPr="000C465B" w:rsidRDefault="000C465B" w:rsidP="000C465B">
            <w:pPr>
              <w:spacing w:after="0"/>
              <w:jc w:val="left"/>
            </w:pPr>
          </w:p>
          <w:p w14:paraId="40F009DD" w14:textId="77777777" w:rsidR="000C465B" w:rsidRPr="000C465B" w:rsidRDefault="000C465B" w:rsidP="000C465B">
            <w:pPr>
              <w:spacing w:after="0"/>
              <w:jc w:val="left"/>
            </w:pPr>
          </w:p>
          <w:p w14:paraId="53B728AC" w14:textId="77777777" w:rsidR="000C465B" w:rsidRPr="000C465B" w:rsidRDefault="000C465B" w:rsidP="000C465B">
            <w:pPr>
              <w:spacing w:after="0"/>
              <w:jc w:val="left"/>
            </w:pPr>
          </w:p>
          <w:p w14:paraId="34A0209B" w14:textId="77777777" w:rsidR="000C465B" w:rsidRPr="000C465B" w:rsidRDefault="000C465B" w:rsidP="000C465B">
            <w:pPr>
              <w:spacing w:after="0"/>
              <w:jc w:val="left"/>
            </w:pPr>
          </w:p>
          <w:p w14:paraId="7E0FB724" w14:textId="77777777" w:rsidR="000C465B" w:rsidRPr="000C465B" w:rsidRDefault="000C465B" w:rsidP="000C465B">
            <w:pPr>
              <w:spacing w:after="0"/>
              <w:jc w:val="left"/>
            </w:pPr>
          </w:p>
          <w:p w14:paraId="3BF1E24E" w14:textId="77777777" w:rsidR="000C465B" w:rsidRPr="000C465B" w:rsidRDefault="000C465B" w:rsidP="000C465B">
            <w:pPr>
              <w:spacing w:after="0"/>
              <w:jc w:val="left"/>
            </w:pPr>
            <w:r w:rsidRPr="000C465B">
              <w:rPr>
                <w:noProof/>
              </w:rPr>
              <w:drawing>
                <wp:inline distT="0" distB="0" distL="0" distR="0" wp14:anchorId="3129B1B5" wp14:editId="279334C3">
                  <wp:extent cx="2308860" cy="2963282"/>
                  <wp:effectExtent l="0" t="0" r="0" b="8890"/>
                  <wp:docPr id="110524863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48630" name="Picture 1105248630"/>
                          <pic:cNvPicPr/>
                        </pic:nvPicPr>
                        <pic:blipFill>
                          <a:blip r:embed="rId74">
                            <a:extLst>
                              <a:ext uri="{28A0092B-C50C-407E-A947-70E740481C1C}">
                                <a14:useLocalDpi xmlns:a14="http://schemas.microsoft.com/office/drawing/2010/main" val="0"/>
                              </a:ext>
                            </a:extLst>
                          </a:blip>
                          <a:stretch>
                            <a:fillRect/>
                          </a:stretch>
                        </pic:blipFill>
                        <pic:spPr>
                          <a:xfrm>
                            <a:off x="0" y="0"/>
                            <a:ext cx="2326472" cy="2985886"/>
                          </a:xfrm>
                          <a:prstGeom prst="rect">
                            <a:avLst/>
                          </a:prstGeom>
                        </pic:spPr>
                      </pic:pic>
                    </a:graphicData>
                  </a:graphic>
                </wp:inline>
              </w:drawing>
            </w:r>
          </w:p>
          <w:p w14:paraId="4983987C" w14:textId="77777777" w:rsidR="000C465B" w:rsidRPr="000C465B" w:rsidRDefault="000C465B" w:rsidP="000C465B">
            <w:pPr>
              <w:spacing w:after="0"/>
              <w:jc w:val="left"/>
            </w:pPr>
          </w:p>
        </w:tc>
        <w:tc>
          <w:tcPr>
            <w:tcW w:w="5490" w:type="dxa"/>
          </w:tcPr>
          <w:p w14:paraId="6A102643" w14:textId="1EF30135" w:rsidR="000C465B" w:rsidRPr="000C465B" w:rsidRDefault="000C465B" w:rsidP="000C465B">
            <w:pPr>
              <w:spacing w:before="240" w:after="0"/>
              <w:rPr>
                <w:b/>
                <w:color w:val="00B050"/>
                <w:sz w:val="36"/>
                <w:szCs w:val="36"/>
              </w:rPr>
            </w:pPr>
            <w:r w:rsidRPr="000C465B">
              <w:rPr>
                <w:b/>
                <w:color w:val="00B050"/>
                <w:sz w:val="36"/>
                <w:szCs w:val="36"/>
              </w:rPr>
              <w:lastRenderedPageBreak/>
              <w:t>PREFERRED</w:t>
            </w:r>
          </w:p>
          <w:p w14:paraId="0898B8DA" w14:textId="77777777" w:rsidR="000C465B" w:rsidRPr="000C465B" w:rsidRDefault="000C465B" w:rsidP="000C465B">
            <w:pPr>
              <w:spacing w:after="0"/>
              <w:rPr>
                <w:spacing w:val="10"/>
                <w:sz w:val="20"/>
                <w:szCs w:val="20"/>
              </w:rPr>
            </w:pPr>
            <w:r w:rsidRPr="000C465B">
              <w:rPr>
                <w:spacing w:val="10"/>
                <w:sz w:val="20"/>
                <w:szCs w:val="20"/>
              </w:rPr>
              <w:t xml:space="preserve">This example illustrates the inclusion of an REQ </w:t>
            </w:r>
          </w:p>
          <w:p w14:paraId="65F834DF" w14:textId="77777777" w:rsidR="000C465B" w:rsidRPr="000C465B" w:rsidRDefault="000C465B" w:rsidP="000C465B">
            <w:pPr>
              <w:spacing w:after="0"/>
              <w:rPr>
                <w:sz w:val="20"/>
                <w:szCs w:val="20"/>
              </w:rPr>
            </w:pPr>
            <w:r w:rsidRPr="000C465B">
              <w:rPr>
                <w:sz w:val="20"/>
                <w:szCs w:val="20"/>
              </w:rPr>
              <w:t xml:space="preserve">(Makes 56 Quarts) in the upper 70% of the PDP which provides information concerning how much product the package contents can make per the package </w:t>
            </w:r>
            <w:proofErr w:type="gramStart"/>
            <w:r w:rsidRPr="000C465B">
              <w:rPr>
                <w:sz w:val="20"/>
                <w:szCs w:val="20"/>
              </w:rPr>
              <w:t>instruction</w:t>
            </w:r>
            <w:proofErr w:type="gramEnd"/>
            <w:r w:rsidRPr="000C465B">
              <w:rPr>
                <w:sz w:val="20"/>
                <w:szCs w:val="20"/>
              </w:rPr>
              <w:t xml:space="preserve">. The REQ includes a pitcher related to how the product is mixed and consumed. The REQ is accurate and separate from the </w:t>
            </w:r>
            <w:proofErr w:type="spellStart"/>
            <w:r w:rsidRPr="000C465B">
              <w:rPr>
                <w:sz w:val="20"/>
                <w:szCs w:val="20"/>
              </w:rPr>
              <w:t>DoNQ</w:t>
            </w:r>
            <w:proofErr w:type="spellEnd"/>
            <w:r w:rsidRPr="000C465B">
              <w:rPr>
                <w:sz w:val="20"/>
                <w:szCs w:val="20"/>
              </w:rPr>
              <w:t xml:space="preserve">. </w:t>
            </w:r>
          </w:p>
          <w:p w14:paraId="7E113942" w14:textId="77777777" w:rsidR="000C465B" w:rsidRPr="000C465B" w:rsidRDefault="000C465B" w:rsidP="000C465B">
            <w:pPr>
              <w:spacing w:after="0"/>
            </w:pPr>
          </w:p>
          <w:p w14:paraId="75CE888B" w14:textId="77777777" w:rsidR="000C465B" w:rsidRPr="000C465B" w:rsidRDefault="000C465B" w:rsidP="000C465B">
            <w:pPr>
              <w:spacing w:after="0"/>
            </w:pPr>
          </w:p>
          <w:p w14:paraId="0F59282C" w14:textId="77777777" w:rsidR="000C465B" w:rsidRPr="000C465B" w:rsidRDefault="000C465B" w:rsidP="000C465B">
            <w:pPr>
              <w:spacing w:after="0"/>
            </w:pPr>
          </w:p>
          <w:p w14:paraId="6A66D435" w14:textId="77777777" w:rsidR="000C465B" w:rsidRPr="000C465B" w:rsidRDefault="000C465B" w:rsidP="000C465B">
            <w:pPr>
              <w:spacing w:after="0"/>
            </w:pPr>
          </w:p>
          <w:p w14:paraId="05E7E640" w14:textId="77777777" w:rsidR="000C465B" w:rsidRPr="000C465B" w:rsidRDefault="000C465B" w:rsidP="000C465B">
            <w:pPr>
              <w:spacing w:after="0"/>
            </w:pPr>
          </w:p>
          <w:p w14:paraId="2C78D56E" w14:textId="77777777" w:rsidR="000C465B" w:rsidRPr="000C465B" w:rsidRDefault="000C465B" w:rsidP="000C465B">
            <w:pPr>
              <w:spacing w:after="0"/>
            </w:pPr>
          </w:p>
          <w:p w14:paraId="32A0AEEF" w14:textId="77777777" w:rsidR="000C465B" w:rsidRPr="000C465B" w:rsidRDefault="000C465B" w:rsidP="000C465B">
            <w:pPr>
              <w:spacing w:after="0"/>
            </w:pPr>
          </w:p>
          <w:p w14:paraId="5963D5B9" w14:textId="77777777" w:rsidR="000C465B" w:rsidRPr="000C465B" w:rsidRDefault="000C465B" w:rsidP="000C465B">
            <w:pPr>
              <w:spacing w:after="0"/>
            </w:pPr>
          </w:p>
          <w:p w14:paraId="660AFE4F" w14:textId="77777777" w:rsidR="000C465B" w:rsidRPr="000C465B" w:rsidRDefault="000C465B" w:rsidP="000C465B">
            <w:pPr>
              <w:spacing w:after="0"/>
            </w:pPr>
          </w:p>
          <w:p w14:paraId="4ECB1050" w14:textId="77777777" w:rsidR="000C465B" w:rsidRDefault="000C465B" w:rsidP="000C465B">
            <w:pPr>
              <w:spacing w:after="0"/>
            </w:pPr>
          </w:p>
          <w:p w14:paraId="7D6454DB" w14:textId="77777777" w:rsidR="001F7B3F" w:rsidRPr="000C465B" w:rsidRDefault="001F7B3F" w:rsidP="000C465B">
            <w:pPr>
              <w:spacing w:after="0"/>
            </w:pPr>
          </w:p>
          <w:p w14:paraId="1B12FA68" w14:textId="77777777" w:rsidR="001F7B3F" w:rsidRDefault="001F7B3F" w:rsidP="000C465B">
            <w:pPr>
              <w:spacing w:before="120" w:after="0"/>
              <w:rPr>
                <w:b/>
                <w:color w:val="FF0000"/>
                <w:sz w:val="40"/>
                <w:szCs w:val="40"/>
              </w:rPr>
            </w:pPr>
            <w:bookmarkStart w:id="895" w:name="_Hlk223005895"/>
          </w:p>
          <w:p w14:paraId="7229FEF5" w14:textId="77777777" w:rsidR="001F7B3F" w:rsidRDefault="001F7B3F" w:rsidP="000C465B">
            <w:pPr>
              <w:spacing w:before="120" w:after="0"/>
              <w:rPr>
                <w:b/>
                <w:color w:val="FF0000"/>
                <w:sz w:val="40"/>
                <w:szCs w:val="40"/>
              </w:rPr>
            </w:pPr>
          </w:p>
          <w:p w14:paraId="5F3DB151" w14:textId="421D1E8E" w:rsidR="000C465B" w:rsidRPr="000C465B" w:rsidRDefault="000C465B" w:rsidP="000C465B">
            <w:pPr>
              <w:spacing w:before="120" w:after="0"/>
              <w:rPr>
                <w:b/>
                <w:color w:val="FF0000"/>
                <w:sz w:val="36"/>
                <w:szCs w:val="36"/>
              </w:rPr>
            </w:pPr>
            <w:r w:rsidRPr="000C465B">
              <w:rPr>
                <w:b/>
                <w:color w:val="FF0000"/>
                <w:sz w:val="36"/>
                <w:szCs w:val="36"/>
              </w:rPr>
              <w:t>PROBLEMATIC</w:t>
            </w:r>
          </w:p>
          <w:p w14:paraId="5CC84B9D" w14:textId="77777777" w:rsidR="000C465B" w:rsidRPr="000C465B" w:rsidRDefault="000C465B" w:rsidP="000C465B">
            <w:pPr>
              <w:spacing w:after="0"/>
              <w:rPr>
                <w:spacing w:val="10"/>
                <w:sz w:val="20"/>
                <w:szCs w:val="20"/>
              </w:rPr>
            </w:pPr>
            <w:r w:rsidRPr="000C465B">
              <w:rPr>
                <w:spacing w:val="10"/>
                <w:sz w:val="20"/>
                <w:szCs w:val="20"/>
              </w:rPr>
              <w:t xml:space="preserve">This example illustrates the inclusion of an REQ </w:t>
            </w:r>
          </w:p>
          <w:p w14:paraId="0B09A20D" w14:textId="77777777" w:rsidR="000C465B" w:rsidRPr="000C465B" w:rsidRDefault="000C465B" w:rsidP="000C465B">
            <w:pPr>
              <w:spacing w:after="0"/>
              <w:rPr>
                <w:sz w:val="20"/>
                <w:szCs w:val="20"/>
              </w:rPr>
            </w:pPr>
            <w:r w:rsidRPr="000C465B">
              <w:rPr>
                <w:sz w:val="20"/>
                <w:szCs w:val="20"/>
              </w:rPr>
              <w:t xml:space="preserve">(Makes about 56 Quarts) in the upper 30% of the PDP. The REQ separates itself from the rest of the label including the </w:t>
            </w:r>
            <w:proofErr w:type="spellStart"/>
            <w:r w:rsidRPr="000C465B">
              <w:rPr>
                <w:sz w:val="20"/>
                <w:szCs w:val="20"/>
              </w:rPr>
              <w:t>DoNQ</w:t>
            </w:r>
            <w:proofErr w:type="spellEnd"/>
            <w:r w:rsidRPr="000C465B">
              <w:rPr>
                <w:sz w:val="20"/>
                <w:szCs w:val="20"/>
              </w:rPr>
              <w:t xml:space="preserve">, however, the term </w:t>
            </w:r>
            <w:r w:rsidRPr="000C465B">
              <w:rPr>
                <w:strike/>
                <w:sz w:val="20"/>
                <w:szCs w:val="20"/>
              </w:rPr>
              <w:t>but</w:t>
            </w:r>
            <w:r w:rsidRPr="000C465B">
              <w:rPr>
                <w:sz w:val="20"/>
                <w:szCs w:val="20"/>
              </w:rPr>
              <w:t xml:space="preserve"> </w:t>
            </w:r>
            <w:r w:rsidRPr="000C465B">
              <w:rPr>
                <w:spacing w:val="4"/>
                <w:sz w:val="20"/>
                <w:szCs w:val="20"/>
              </w:rPr>
              <w:t xml:space="preserve">“about” does not communicate a precise and </w:t>
            </w:r>
            <w:r w:rsidRPr="000C465B">
              <w:rPr>
                <w:spacing w:val="10"/>
                <w:sz w:val="20"/>
                <w:szCs w:val="20"/>
              </w:rPr>
              <w:t>verifiable quantity. Expressions like “up to”,</w:t>
            </w:r>
            <w:r w:rsidRPr="000C465B">
              <w:rPr>
                <w:spacing w:val="4"/>
                <w:sz w:val="20"/>
                <w:szCs w:val="20"/>
              </w:rPr>
              <w:t xml:space="preserve"> “approximately” and “about” suggest a quantity</w:t>
            </w:r>
            <w:r w:rsidRPr="000C465B">
              <w:rPr>
                <w:sz w:val="20"/>
                <w:szCs w:val="20"/>
              </w:rPr>
              <w:t xml:space="preserve"> range instead of a verifiable quantity, and in this example “About 56 Quarts” is problematic because it is inexact and not verifiable, and a consumer may or may not be able to make 56 quarts of reconstituted product.</w:t>
            </w:r>
            <w:bookmarkEnd w:id="895"/>
          </w:p>
          <w:p w14:paraId="0B9A824D" w14:textId="77777777" w:rsidR="000C465B" w:rsidRPr="000C465B" w:rsidRDefault="000C465B" w:rsidP="000C465B">
            <w:pPr>
              <w:spacing w:after="0"/>
            </w:pPr>
          </w:p>
          <w:p w14:paraId="41857294" w14:textId="77777777" w:rsidR="000C465B" w:rsidRPr="000C465B" w:rsidRDefault="000C465B" w:rsidP="000C465B">
            <w:pPr>
              <w:spacing w:after="0"/>
            </w:pPr>
          </w:p>
          <w:p w14:paraId="378970DB" w14:textId="77777777" w:rsidR="000C465B" w:rsidRPr="000C465B" w:rsidRDefault="000C465B" w:rsidP="000C465B">
            <w:pPr>
              <w:spacing w:after="0"/>
            </w:pPr>
          </w:p>
          <w:p w14:paraId="2EBB5A46" w14:textId="77777777" w:rsidR="000C465B" w:rsidRPr="000C465B" w:rsidRDefault="000C465B" w:rsidP="000C465B">
            <w:pPr>
              <w:spacing w:after="0"/>
            </w:pPr>
          </w:p>
          <w:p w14:paraId="64830BAA" w14:textId="77777777" w:rsidR="000C465B" w:rsidRPr="000C465B" w:rsidRDefault="000C465B" w:rsidP="000C465B">
            <w:pPr>
              <w:spacing w:after="0"/>
            </w:pPr>
          </w:p>
          <w:p w14:paraId="1263699A" w14:textId="77777777" w:rsidR="000C465B" w:rsidRPr="000C465B" w:rsidRDefault="000C465B" w:rsidP="000C465B">
            <w:pPr>
              <w:spacing w:after="0"/>
            </w:pPr>
          </w:p>
          <w:p w14:paraId="0AD7018E" w14:textId="77777777" w:rsidR="000C465B" w:rsidRPr="000C465B" w:rsidRDefault="000C465B" w:rsidP="000C465B">
            <w:pPr>
              <w:spacing w:after="0"/>
            </w:pPr>
          </w:p>
          <w:p w14:paraId="7563586F" w14:textId="77777777" w:rsidR="000C465B" w:rsidRPr="000C465B" w:rsidRDefault="000C465B" w:rsidP="000C465B">
            <w:pPr>
              <w:spacing w:after="0"/>
              <w:rPr>
                <w:strike/>
              </w:rPr>
            </w:pPr>
          </w:p>
          <w:p w14:paraId="274A9E1D" w14:textId="77777777" w:rsidR="00B314B4" w:rsidRDefault="000C465B" w:rsidP="000C465B">
            <w:pPr>
              <w:spacing w:before="120" w:after="0"/>
              <w:rPr>
                <w:b/>
                <w:color w:val="00B050"/>
                <w:sz w:val="36"/>
                <w:szCs w:val="36"/>
              </w:rPr>
            </w:pPr>
            <w:r w:rsidRPr="000C465B">
              <w:rPr>
                <w:b/>
                <w:color w:val="00B050"/>
                <w:sz w:val="40"/>
                <w:szCs w:val="40"/>
              </w:rPr>
              <w:br/>
            </w:r>
          </w:p>
          <w:p w14:paraId="7F448ED6" w14:textId="786073E2" w:rsidR="000C465B" w:rsidRPr="000C465B" w:rsidRDefault="000C465B" w:rsidP="000C465B">
            <w:pPr>
              <w:spacing w:before="120" w:after="0"/>
              <w:rPr>
                <w:b/>
                <w:color w:val="00B050"/>
                <w:sz w:val="36"/>
                <w:szCs w:val="36"/>
              </w:rPr>
            </w:pPr>
            <w:r w:rsidRPr="000C465B">
              <w:rPr>
                <w:b/>
                <w:color w:val="00B050"/>
                <w:sz w:val="36"/>
                <w:szCs w:val="36"/>
              </w:rPr>
              <w:t>PREFERRED</w:t>
            </w:r>
          </w:p>
          <w:p w14:paraId="042892F8" w14:textId="77777777" w:rsidR="000C465B" w:rsidRPr="000C465B" w:rsidRDefault="000C465B" w:rsidP="000C465B">
            <w:pPr>
              <w:spacing w:after="0"/>
              <w:rPr>
                <w:sz w:val="20"/>
                <w:szCs w:val="20"/>
              </w:rPr>
            </w:pPr>
            <w:r w:rsidRPr="000C465B">
              <w:rPr>
                <w:sz w:val="20"/>
                <w:szCs w:val="20"/>
              </w:rPr>
              <w:t xml:space="preserve">This example illustrates the inclusion of an REQ (Makes 56 Quarts) in the lower 30% of the PDP on the opposite side from the </w:t>
            </w:r>
            <w:proofErr w:type="spellStart"/>
            <w:r w:rsidRPr="000C465B">
              <w:rPr>
                <w:sz w:val="20"/>
                <w:szCs w:val="20"/>
              </w:rPr>
              <w:t>DoNQ</w:t>
            </w:r>
            <w:proofErr w:type="spellEnd"/>
            <w:r w:rsidRPr="000C465B">
              <w:rPr>
                <w:sz w:val="20"/>
                <w:szCs w:val="20"/>
              </w:rPr>
              <w:t xml:space="preserve">. The REQ provides </w:t>
            </w:r>
            <w:r w:rsidRPr="000C465B">
              <w:rPr>
                <w:spacing w:val="4"/>
                <w:sz w:val="20"/>
                <w:szCs w:val="20"/>
              </w:rPr>
              <w:t xml:space="preserve">information concerning how much product the </w:t>
            </w:r>
            <w:r w:rsidRPr="000C465B">
              <w:rPr>
                <w:spacing w:val="10"/>
                <w:sz w:val="20"/>
                <w:szCs w:val="20"/>
              </w:rPr>
              <w:t>package contents can make per the package</w:t>
            </w:r>
            <w:r w:rsidRPr="000C465B">
              <w:rPr>
                <w:sz w:val="20"/>
                <w:szCs w:val="20"/>
              </w:rPr>
              <w:t xml:space="preserve"> </w:t>
            </w:r>
            <w:proofErr w:type="gramStart"/>
            <w:r w:rsidRPr="000C465B">
              <w:rPr>
                <w:sz w:val="20"/>
                <w:szCs w:val="20"/>
              </w:rPr>
              <w:t>instruction</w:t>
            </w:r>
            <w:proofErr w:type="gramEnd"/>
            <w:r w:rsidRPr="000C465B">
              <w:rPr>
                <w:sz w:val="20"/>
                <w:szCs w:val="20"/>
              </w:rPr>
              <w:t xml:space="preserve">. The REQ includes a pitcher related to how the product is mixed and consumed. The REQ is accurate and separate from the </w:t>
            </w:r>
            <w:proofErr w:type="spellStart"/>
            <w:r w:rsidRPr="000C465B">
              <w:rPr>
                <w:sz w:val="20"/>
                <w:szCs w:val="20"/>
              </w:rPr>
              <w:t>DoNQ</w:t>
            </w:r>
            <w:proofErr w:type="spellEnd"/>
            <w:r w:rsidRPr="000C465B">
              <w:rPr>
                <w:sz w:val="20"/>
                <w:szCs w:val="20"/>
              </w:rPr>
              <w:t xml:space="preserve">.  </w:t>
            </w:r>
          </w:p>
          <w:p w14:paraId="239AE4E0" w14:textId="77777777" w:rsidR="000C465B" w:rsidRPr="000C465B" w:rsidRDefault="000C465B" w:rsidP="000C465B">
            <w:pPr>
              <w:spacing w:after="0"/>
              <w:rPr>
                <w:color w:val="EE0000"/>
              </w:rPr>
            </w:pPr>
          </w:p>
          <w:p w14:paraId="084B225F" w14:textId="77777777" w:rsidR="000C465B" w:rsidRPr="000C465B" w:rsidRDefault="000C465B" w:rsidP="000C465B">
            <w:pPr>
              <w:spacing w:after="0"/>
              <w:rPr>
                <w:color w:val="EE0000"/>
              </w:rPr>
            </w:pPr>
          </w:p>
          <w:p w14:paraId="45724471" w14:textId="77777777" w:rsidR="000C465B" w:rsidRPr="000C465B" w:rsidRDefault="000C465B" w:rsidP="000C465B">
            <w:pPr>
              <w:spacing w:after="0"/>
              <w:rPr>
                <w:color w:val="EE0000"/>
              </w:rPr>
            </w:pPr>
          </w:p>
          <w:p w14:paraId="4BB88A27" w14:textId="77777777" w:rsidR="000C465B" w:rsidRPr="000C465B" w:rsidRDefault="000C465B" w:rsidP="000C465B">
            <w:pPr>
              <w:spacing w:after="0"/>
              <w:rPr>
                <w:color w:val="EE0000"/>
              </w:rPr>
            </w:pPr>
          </w:p>
          <w:p w14:paraId="0198D19D" w14:textId="77777777" w:rsidR="000C465B" w:rsidRPr="000C465B" w:rsidRDefault="000C465B" w:rsidP="000C465B">
            <w:pPr>
              <w:spacing w:after="0"/>
              <w:rPr>
                <w:color w:val="EE0000"/>
              </w:rPr>
            </w:pPr>
          </w:p>
          <w:p w14:paraId="5EAE2689" w14:textId="77777777" w:rsidR="000C465B" w:rsidRPr="000C465B" w:rsidRDefault="000C465B" w:rsidP="000C465B">
            <w:pPr>
              <w:spacing w:after="0"/>
              <w:rPr>
                <w:color w:val="EE0000"/>
              </w:rPr>
            </w:pPr>
          </w:p>
          <w:p w14:paraId="5A093FF1" w14:textId="77777777" w:rsidR="000C465B" w:rsidRPr="000C465B" w:rsidRDefault="000C465B" w:rsidP="000C465B">
            <w:pPr>
              <w:spacing w:after="0"/>
              <w:rPr>
                <w:b/>
                <w:color w:val="FF0000"/>
                <w:sz w:val="40"/>
                <w:szCs w:val="40"/>
              </w:rPr>
            </w:pPr>
          </w:p>
          <w:p w14:paraId="2FE6F49E" w14:textId="77777777" w:rsidR="000C465B" w:rsidRPr="000C465B" w:rsidRDefault="000C465B" w:rsidP="000C465B">
            <w:pPr>
              <w:spacing w:after="0"/>
              <w:rPr>
                <w:b/>
                <w:color w:val="FF0000"/>
                <w:sz w:val="40"/>
                <w:szCs w:val="40"/>
              </w:rPr>
            </w:pPr>
          </w:p>
          <w:p w14:paraId="4A4312BC" w14:textId="77777777" w:rsidR="000C465B" w:rsidRPr="000C465B" w:rsidRDefault="000C465B" w:rsidP="000C465B">
            <w:pPr>
              <w:spacing w:after="0"/>
              <w:rPr>
                <w:b/>
                <w:color w:val="FF0000"/>
                <w:sz w:val="40"/>
                <w:szCs w:val="40"/>
              </w:rPr>
            </w:pPr>
          </w:p>
          <w:p w14:paraId="0A6C88F8" w14:textId="77777777" w:rsidR="001F7B3F" w:rsidRDefault="000C465B" w:rsidP="000C465B">
            <w:pPr>
              <w:spacing w:after="0"/>
              <w:rPr>
                <w:b/>
                <w:color w:val="FF0000"/>
                <w:sz w:val="40"/>
                <w:szCs w:val="40"/>
              </w:rPr>
            </w:pPr>
            <w:r w:rsidRPr="000C465B">
              <w:rPr>
                <w:b/>
                <w:color w:val="FF0000"/>
                <w:sz w:val="40"/>
                <w:szCs w:val="40"/>
              </w:rPr>
              <w:br/>
            </w:r>
          </w:p>
          <w:p w14:paraId="2AFD4017" w14:textId="77777777" w:rsidR="001F7B3F" w:rsidRDefault="001F7B3F" w:rsidP="000C465B">
            <w:pPr>
              <w:spacing w:after="0"/>
              <w:rPr>
                <w:b/>
                <w:color w:val="FF0000"/>
                <w:sz w:val="40"/>
                <w:szCs w:val="40"/>
              </w:rPr>
            </w:pPr>
          </w:p>
          <w:p w14:paraId="544278A1" w14:textId="77777777" w:rsidR="001F7B3F" w:rsidRDefault="001F7B3F" w:rsidP="000C465B">
            <w:pPr>
              <w:spacing w:after="0"/>
              <w:rPr>
                <w:b/>
                <w:color w:val="FF0000"/>
                <w:sz w:val="40"/>
                <w:szCs w:val="40"/>
              </w:rPr>
            </w:pPr>
          </w:p>
          <w:p w14:paraId="0A329F20" w14:textId="151AA357" w:rsidR="000C465B" w:rsidRPr="000C465B" w:rsidRDefault="000C465B" w:rsidP="000C465B">
            <w:pPr>
              <w:spacing w:after="0"/>
              <w:rPr>
                <w:b/>
                <w:color w:val="FF0000"/>
                <w:sz w:val="36"/>
                <w:szCs w:val="36"/>
              </w:rPr>
            </w:pPr>
            <w:r w:rsidRPr="000C465B">
              <w:rPr>
                <w:b/>
                <w:color w:val="FF0000"/>
                <w:sz w:val="36"/>
                <w:szCs w:val="36"/>
              </w:rPr>
              <w:t>PROBLEMATIC</w:t>
            </w:r>
          </w:p>
          <w:p w14:paraId="530F4685" w14:textId="77777777" w:rsidR="000C465B" w:rsidRPr="000C465B" w:rsidRDefault="000C465B" w:rsidP="000C465B">
            <w:pPr>
              <w:spacing w:after="0"/>
              <w:rPr>
                <w:sz w:val="20"/>
                <w:szCs w:val="20"/>
              </w:rPr>
            </w:pPr>
            <w:r w:rsidRPr="000C465B">
              <w:rPr>
                <w:sz w:val="20"/>
                <w:szCs w:val="20"/>
              </w:rPr>
              <w:t xml:space="preserve">In this example “56 Quarts” appears with the “2.0 LB 907g” in the </w:t>
            </w:r>
            <w:proofErr w:type="spellStart"/>
            <w:r w:rsidRPr="000C465B">
              <w:rPr>
                <w:sz w:val="20"/>
                <w:szCs w:val="20"/>
              </w:rPr>
              <w:t>DoNQ</w:t>
            </w:r>
            <w:proofErr w:type="spellEnd"/>
            <w:r w:rsidRPr="000C465B">
              <w:rPr>
                <w:sz w:val="20"/>
                <w:szCs w:val="20"/>
              </w:rPr>
              <w:t xml:space="preserve">. While the inference might be that this package makes 56 quarts, the actual package contents </w:t>
            </w:r>
            <w:proofErr w:type="gramStart"/>
            <w:r w:rsidRPr="000C465B">
              <w:rPr>
                <w:sz w:val="20"/>
                <w:szCs w:val="20"/>
              </w:rPr>
              <w:t>is</w:t>
            </w:r>
            <w:proofErr w:type="gramEnd"/>
            <w:r w:rsidRPr="000C465B">
              <w:rPr>
                <w:sz w:val="20"/>
                <w:szCs w:val="20"/>
              </w:rPr>
              <w:t xml:space="preserve"> not 56 quarts. Whether the 56 Quarts in this example is immediately adjacent to the </w:t>
            </w:r>
            <w:proofErr w:type="spellStart"/>
            <w:r w:rsidRPr="000C465B">
              <w:rPr>
                <w:sz w:val="20"/>
                <w:szCs w:val="20"/>
              </w:rPr>
              <w:t>DoNQ</w:t>
            </w:r>
            <w:proofErr w:type="spellEnd"/>
            <w:r w:rsidRPr="000C465B">
              <w:rPr>
                <w:sz w:val="20"/>
                <w:szCs w:val="20"/>
              </w:rPr>
              <w:t xml:space="preserve"> or separate from the </w:t>
            </w:r>
            <w:proofErr w:type="spellStart"/>
            <w:r w:rsidRPr="000C465B">
              <w:rPr>
                <w:sz w:val="20"/>
                <w:szCs w:val="20"/>
              </w:rPr>
              <w:t>DoNQ</w:t>
            </w:r>
            <w:proofErr w:type="spellEnd"/>
            <w:r w:rsidRPr="000C465B">
              <w:rPr>
                <w:sz w:val="20"/>
                <w:szCs w:val="20"/>
              </w:rPr>
              <w:t>, stating 56 Quarts without “Makes” is an incorrect statement.</w:t>
            </w:r>
          </w:p>
          <w:p w14:paraId="0C11497E" w14:textId="77777777" w:rsidR="000C465B" w:rsidRPr="000C465B" w:rsidRDefault="000C465B" w:rsidP="000C465B">
            <w:pPr>
              <w:spacing w:after="0"/>
              <w:rPr>
                <w:color w:val="EE0000"/>
              </w:rPr>
            </w:pPr>
          </w:p>
          <w:p w14:paraId="0E3D0CD7" w14:textId="77777777" w:rsidR="000C465B" w:rsidRPr="000C465B" w:rsidRDefault="000C465B" w:rsidP="000C465B">
            <w:pPr>
              <w:spacing w:after="0"/>
              <w:rPr>
                <w:color w:val="EE0000"/>
              </w:rPr>
            </w:pPr>
          </w:p>
          <w:p w14:paraId="57225212" w14:textId="77777777" w:rsidR="000C465B" w:rsidRPr="000C465B" w:rsidRDefault="000C465B" w:rsidP="000C465B">
            <w:pPr>
              <w:spacing w:after="0"/>
              <w:rPr>
                <w:color w:val="EE0000"/>
              </w:rPr>
            </w:pPr>
          </w:p>
          <w:p w14:paraId="5AB35EB2" w14:textId="77777777" w:rsidR="000C465B" w:rsidRPr="000C465B" w:rsidRDefault="000C465B" w:rsidP="000C465B">
            <w:pPr>
              <w:spacing w:after="0"/>
              <w:rPr>
                <w:color w:val="EE0000"/>
              </w:rPr>
            </w:pPr>
          </w:p>
          <w:p w14:paraId="2E44AA8E" w14:textId="77777777" w:rsidR="000C465B" w:rsidRPr="000C465B" w:rsidRDefault="000C465B" w:rsidP="000C465B">
            <w:pPr>
              <w:spacing w:after="0"/>
              <w:rPr>
                <w:color w:val="EE0000"/>
              </w:rPr>
            </w:pPr>
          </w:p>
          <w:p w14:paraId="1B4FE5E6" w14:textId="77777777" w:rsidR="000C465B" w:rsidRPr="000C465B" w:rsidRDefault="000C465B" w:rsidP="000C465B">
            <w:pPr>
              <w:spacing w:after="0"/>
              <w:rPr>
                <w:color w:val="EE0000"/>
              </w:rPr>
            </w:pPr>
          </w:p>
          <w:p w14:paraId="63337A00" w14:textId="77777777" w:rsidR="000C465B" w:rsidRPr="000C465B" w:rsidRDefault="000C465B" w:rsidP="000C465B">
            <w:pPr>
              <w:spacing w:after="0"/>
              <w:rPr>
                <w:color w:val="EE0000"/>
              </w:rPr>
            </w:pPr>
          </w:p>
          <w:p w14:paraId="48DC3CD9" w14:textId="77777777" w:rsidR="000C465B" w:rsidRPr="000C465B" w:rsidRDefault="000C465B" w:rsidP="000C465B">
            <w:pPr>
              <w:spacing w:after="0"/>
              <w:rPr>
                <w:color w:val="EE0000"/>
              </w:rPr>
            </w:pPr>
          </w:p>
          <w:p w14:paraId="44172B6C" w14:textId="77777777" w:rsidR="000C465B" w:rsidRPr="000C465B" w:rsidRDefault="000C465B" w:rsidP="000C465B">
            <w:pPr>
              <w:spacing w:after="0"/>
              <w:rPr>
                <w:color w:val="EE0000"/>
              </w:rPr>
            </w:pPr>
          </w:p>
          <w:p w14:paraId="47E998DD" w14:textId="77777777" w:rsidR="000C465B" w:rsidRPr="000C465B" w:rsidRDefault="000C465B" w:rsidP="000C465B">
            <w:pPr>
              <w:spacing w:after="0"/>
              <w:rPr>
                <w:color w:val="EE0000"/>
              </w:rPr>
            </w:pPr>
          </w:p>
          <w:p w14:paraId="679A2CD3" w14:textId="77777777" w:rsidR="000C465B" w:rsidRPr="000C465B" w:rsidRDefault="000C465B" w:rsidP="000C465B">
            <w:pPr>
              <w:spacing w:after="0"/>
              <w:rPr>
                <w:color w:val="EE0000"/>
              </w:rPr>
            </w:pPr>
          </w:p>
          <w:p w14:paraId="2EED7497" w14:textId="77777777" w:rsidR="000C465B" w:rsidRPr="000C465B" w:rsidRDefault="000C465B" w:rsidP="000C465B">
            <w:pPr>
              <w:spacing w:after="0"/>
              <w:rPr>
                <w:color w:val="EE0000"/>
              </w:rPr>
            </w:pPr>
          </w:p>
          <w:p w14:paraId="669E82D2" w14:textId="77777777" w:rsidR="000C465B" w:rsidRPr="000C465B" w:rsidRDefault="000C465B" w:rsidP="000C465B">
            <w:pPr>
              <w:spacing w:after="0"/>
              <w:rPr>
                <w:color w:val="EE0000"/>
              </w:rPr>
            </w:pPr>
          </w:p>
          <w:p w14:paraId="6A0D9471" w14:textId="77777777" w:rsidR="000C465B" w:rsidRPr="000C465B" w:rsidRDefault="000C465B" w:rsidP="000C465B">
            <w:pPr>
              <w:spacing w:after="0"/>
            </w:pPr>
          </w:p>
        </w:tc>
      </w:tr>
    </w:tbl>
    <w:p w14:paraId="1D12D9A6" w14:textId="1CE9BDAE" w:rsidR="000C465B" w:rsidRPr="000C465B" w:rsidRDefault="000C465B" w:rsidP="000C465B">
      <w:pPr>
        <w:spacing w:after="200" w:line="276" w:lineRule="auto"/>
        <w:rPr>
          <w:b/>
          <w:sz w:val="22"/>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945"/>
      </w:tblGrid>
      <w:tr w:rsidR="000C465B" w:rsidRPr="000C465B" w14:paraId="161BF220" w14:textId="77777777" w:rsidTr="005F0F3E">
        <w:tc>
          <w:tcPr>
            <w:tcW w:w="4405" w:type="dxa"/>
          </w:tcPr>
          <w:p w14:paraId="773486C0" w14:textId="77777777" w:rsidR="000C465B" w:rsidRPr="000C465B" w:rsidRDefault="000C465B" w:rsidP="000C465B">
            <w:pPr>
              <w:spacing w:after="0"/>
              <w:rPr>
                <w:b/>
              </w:rPr>
            </w:pPr>
            <w:r w:rsidRPr="000C465B">
              <w:rPr>
                <w:noProof/>
              </w:rPr>
              <w:drawing>
                <wp:inline distT="0" distB="0" distL="0" distR="0" wp14:anchorId="555BE5AB" wp14:editId="4186C03D">
                  <wp:extent cx="2351152" cy="2895600"/>
                  <wp:effectExtent l="0" t="0" r="0" b="0"/>
                  <wp:docPr id="18091411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83564" name="Picture 1471183564"/>
                          <pic:cNvPicPr/>
                        </pic:nvPicPr>
                        <pic:blipFill rotWithShape="1">
                          <a:blip r:embed="rId73">
                            <a:extLst>
                              <a:ext uri="{28A0092B-C50C-407E-A947-70E740481C1C}">
                                <a14:useLocalDpi xmlns:a14="http://schemas.microsoft.com/office/drawing/2010/main" val="0"/>
                              </a:ext>
                            </a:extLst>
                          </a:blip>
                          <a:srcRect l="2517"/>
                          <a:stretch>
                            <a:fillRect/>
                          </a:stretch>
                        </pic:blipFill>
                        <pic:spPr bwMode="auto">
                          <a:xfrm>
                            <a:off x="0" y="0"/>
                            <a:ext cx="2367597" cy="2915853"/>
                          </a:xfrm>
                          <a:prstGeom prst="rect">
                            <a:avLst/>
                          </a:prstGeom>
                          <a:ln>
                            <a:noFill/>
                          </a:ln>
                          <a:extLst>
                            <a:ext uri="{53640926-AAD7-44D8-BBD7-CCE9431645EC}">
                              <a14:shadowObscured xmlns:a14="http://schemas.microsoft.com/office/drawing/2010/main"/>
                            </a:ext>
                          </a:extLst>
                        </pic:spPr>
                      </pic:pic>
                    </a:graphicData>
                  </a:graphic>
                </wp:inline>
              </w:drawing>
            </w:r>
          </w:p>
        </w:tc>
        <w:tc>
          <w:tcPr>
            <w:tcW w:w="4945" w:type="dxa"/>
          </w:tcPr>
          <w:p w14:paraId="0293EE53" w14:textId="7BCB4948" w:rsidR="000C465B" w:rsidRPr="000C465B" w:rsidRDefault="000C465B" w:rsidP="000C465B">
            <w:pPr>
              <w:spacing w:after="0"/>
              <w:rPr>
                <w:b/>
                <w:color w:val="00B050"/>
                <w:sz w:val="36"/>
                <w:szCs w:val="36"/>
              </w:rPr>
            </w:pPr>
            <w:r w:rsidRPr="000C465B">
              <w:rPr>
                <w:b/>
                <w:color w:val="00B050"/>
                <w:sz w:val="36"/>
                <w:szCs w:val="36"/>
              </w:rPr>
              <w:t>PREFERRED</w:t>
            </w:r>
          </w:p>
          <w:p w14:paraId="002A985C" w14:textId="77777777" w:rsidR="000C465B" w:rsidRPr="000C465B" w:rsidRDefault="000C465B" w:rsidP="000C465B">
            <w:pPr>
              <w:spacing w:after="0"/>
              <w:rPr>
                <w:bCs/>
                <w:sz w:val="20"/>
                <w:szCs w:val="20"/>
              </w:rPr>
            </w:pPr>
            <w:r w:rsidRPr="000C465B">
              <w:rPr>
                <w:bCs/>
                <w:sz w:val="20"/>
                <w:szCs w:val="20"/>
              </w:rPr>
              <w:t xml:space="preserve">In this example, we show the PDP and the product reconstitution instructions from the back of the package label.  </w:t>
            </w:r>
          </w:p>
          <w:p w14:paraId="7D23A95C" w14:textId="77777777" w:rsidR="000C465B" w:rsidRPr="000C465B" w:rsidRDefault="000C465B" w:rsidP="000C465B">
            <w:pPr>
              <w:spacing w:after="0"/>
              <w:jc w:val="left"/>
              <w:rPr>
                <w:bCs/>
                <w:sz w:val="20"/>
                <w:szCs w:val="20"/>
              </w:rPr>
            </w:pPr>
          </w:p>
          <w:p w14:paraId="5C251824" w14:textId="37D5F055" w:rsidR="000C465B" w:rsidRPr="000C465B" w:rsidRDefault="000C465B" w:rsidP="000C465B">
            <w:pPr>
              <w:spacing w:after="0"/>
              <w:rPr>
                <w:b/>
              </w:rPr>
            </w:pPr>
            <w:r w:rsidRPr="000C465B">
              <w:rPr>
                <w:bCs/>
                <w:sz w:val="20"/>
                <w:szCs w:val="20"/>
              </w:rPr>
              <w:t xml:space="preserve">This PDP with the REQ follow the principles of this Document. One added requirement for REQs </w:t>
            </w:r>
            <w:proofErr w:type="gramStart"/>
            <w:r w:rsidRPr="000C465B">
              <w:rPr>
                <w:bCs/>
                <w:sz w:val="20"/>
                <w:szCs w:val="20"/>
              </w:rPr>
              <w:t>are</w:t>
            </w:r>
            <w:proofErr w:type="gramEnd"/>
            <w:r w:rsidRPr="000C465B">
              <w:rPr>
                <w:bCs/>
                <w:sz w:val="20"/>
                <w:szCs w:val="20"/>
              </w:rPr>
              <w:t xml:space="preserve"> clear and verifiable reconstitution instructions which must appear someplace on the package label. These instructions provide clear and verifiable directions for </w:t>
            </w:r>
            <w:proofErr w:type="gramStart"/>
            <w:r w:rsidRPr="000C465B">
              <w:rPr>
                <w:bCs/>
                <w:sz w:val="20"/>
                <w:szCs w:val="20"/>
              </w:rPr>
              <w:t>reconstituting</w:t>
            </w:r>
            <w:proofErr w:type="gramEnd"/>
            <w:r w:rsidRPr="000C465B">
              <w:rPr>
                <w:bCs/>
                <w:sz w:val="20"/>
                <w:szCs w:val="20"/>
              </w:rPr>
              <w:t xml:space="preserve"> product.</w:t>
            </w:r>
            <w:r w:rsidRPr="000C465B">
              <w:rPr>
                <w:bCs/>
              </w:rPr>
              <w:t xml:space="preserve">  </w:t>
            </w:r>
          </w:p>
        </w:tc>
      </w:tr>
      <w:tr w:rsidR="000C465B" w:rsidRPr="000C465B" w14:paraId="523D9936" w14:textId="77777777" w:rsidTr="00B314B4">
        <w:trPr>
          <w:trHeight w:val="1620"/>
        </w:trPr>
        <w:tc>
          <w:tcPr>
            <w:tcW w:w="4405" w:type="dxa"/>
          </w:tcPr>
          <w:p w14:paraId="49246F52" w14:textId="77777777" w:rsidR="000C465B" w:rsidRPr="000C465B" w:rsidRDefault="000C465B" w:rsidP="000C465B">
            <w:pPr>
              <w:spacing w:after="0"/>
              <w:rPr>
                <w:b/>
                <w:sz w:val="28"/>
                <w:szCs w:val="28"/>
              </w:rPr>
            </w:pPr>
            <w:r w:rsidRPr="000C465B">
              <w:rPr>
                <w:noProof/>
              </w:rPr>
              <mc:AlternateContent>
                <mc:Choice Requires="wps">
                  <w:drawing>
                    <wp:anchor distT="0" distB="0" distL="114300" distR="114300" simplePos="0" relativeHeight="251658305" behindDoc="0" locked="0" layoutInCell="1" allowOverlap="1" wp14:anchorId="6989CC4F" wp14:editId="666FDEF8">
                      <wp:simplePos x="0" y="0"/>
                      <wp:positionH relativeFrom="column">
                        <wp:posOffset>603250</wp:posOffset>
                      </wp:positionH>
                      <wp:positionV relativeFrom="paragraph">
                        <wp:posOffset>10795</wp:posOffset>
                      </wp:positionV>
                      <wp:extent cx="4352925" cy="1085850"/>
                      <wp:effectExtent l="0" t="0" r="0" b="0"/>
                      <wp:wrapNone/>
                      <wp:docPr id="929693129" name="Text Box 75"/>
                      <wp:cNvGraphicFramePr/>
                      <a:graphic xmlns:a="http://schemas.openxmlformats.org/drawingml/2006/main">
                        <a:graphicData uri="http://schemas.microsoft.com/office/word/2010/wordprocessingShape">
                          <wps:wsp>
                            <wps:cNvSpPr txBox="1"/>
                            <wps:spPr>
                              <a:xfrm>
                                <a:off x="0" y="0"/>
                                <a:ext cx="4352925" cy="1085850"/>
                              </a:xfrm>
                              <a:prstGeom prst="rect">
                                <a:avLst/>
                              </a:prstGeom>
                              <a:noFill/>
                              <a:ln w="6350">
                                <a:noFill/>
                              </a:ln>
                            </wps:spPr>
                            <wps:txbx>
                              <w:txbxContent>
                                <w:p w14:paraId="11265EF4" w14:textId="77777777" w:rsidR="000C465B" w:rsidRPr="001F7B3F" w:rsidRDefault="000C465B" w:rsidP="000C465B">
                                  <w:pPr>
                                    <w:spacing w:before="120" w:after="0"/>
                                    <w:rPr>
                                      <w:bCs/>
                                      <w:i/>
                                      <w:iCs/>
                                      <w:szCs w:val="20"/>
                                    </w:rPr>
                                  </w:pPr>
                                  <w:r w:rsidRPr="001F7B3F">
                                    <w:rPr>
                                      <w:b/>
                                      <w:szCs w:val="20"/>
                                    </w:rPr>
                                    <w:t xml:space="preserve">Reconstituted Instructions </w:t>
                                  </w:r>
                                  <w:r w:rsidRPr="001F7B3F">
                                    <w:rPr>
                                      <w:bCs/>
                                      <w:i/>
                                      <w:iCs/>
                                      <w:szCs w:val="20"/>
                                    </w:rPr>
                                    <w:t>(from package back panel labeling)</w:t>
                                  </w:r>
                                </w:p>
                                <w:p w14:paraId="0815791B" w14:textId="77777777" w:rsidR="000C465B" w:rsidRPr="00C24F25" w:rsidRDefault="000C465B" w:rsidP="000C465B">
                                  <w:pPr>
                                    <w:spacing w:after="0"/>
                                    <w:rPr>
                                      <w:bCs/>
                                      <w:i/>
                                      <w:iCs/>
                                      <w:sz w:val="8"/>
                                      <w:szCs w:val="8"/>
                                    </w:rPr>
                                  </w:pPr>
                                </w:p>
                                <w:p w14:paraId="3AD3B8B5" w14:textId="77777777" w:rsidR="000C465B" w:rsidRPr="00C24F25" w:rsidRDefault="000C465B" w:rsidP="000C465B">
                                  <w:pPr>
                                    <w:spacing w:after="0"/>
                                    <w:jc w:val="center"/>
                                    <w:rPr>
                                      <w:b/>
                                      <w:sz w:val="28"/>
                                      <w:szCs w:val="28"/>
                                    </w:rPr>
                                  </w:pPr>
                                  <w:r w:rsidRPr="001F7B3F">
                                    <w:rPr>
                                      <w:b/>
                                      <w:noProof/>
                                      <w:szCs w:val="20"/>
                                    </w:rPr>
                                    <w:drawing>
                                      <wp:inline distT="0" distB="0" distL="0" distR="0" wp14:anchorId="61658011" wp14:editId="0DEEE412">
                                        <wp:extent cx="3771900" cy="334574"/>
                                        <wp:effectExtent l="0" t="0" r="0" b="8890"/>
                                        <wp:docPr id="61219901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20341" cy="356611"/>
                                                </a:xfrm>
                                                <a:prstGeom prst="rect">
                                                  <a:avLst/>
                                                </a:prstGeom>
                                                <a:noFill/>
                                                <a:ln>
                                                  <a:noFill/>
                                                </a:ln>
                                              </pic:spPr>
                                            </pic:pic>
                                          </a:graphicData>
                                        </a:graphic>
                                      </wp:inline>
                                    </w:drawing>
                                  </w:r>
                                </w:p>
                                <w:p w14:paraId="6761BE8F" w14:textId="77777777" w:rsidR="000C465B" w:rsidRPr="00C24F25" w:rsidRDefault="000C465B" w:rsidP="000C465B">
                                  <w:pPr>
                                    <w:rPr>
                                      <w:sz w:val="2"/>
                                      <w:szCs w:val="2"/>
                                    </w:rPr>
                                  </w:pPr>
                                </w:p>
                                <w:p w14:paraId="2BD866BE" w14:textId="77777777" w:rsidR="000C465B" w:rsidRDefault="000C465B" w:rsidP="000C4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9CC4F" id="Text Box 75" o:spid="_x0000_s1048" type="#_x0000_t202" style="position:absolute;left:0;text-align:left;margin-left:47.5pt;margin-top:.85pt;width:342.75pt;height:85.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" filled="f" stroked="f" strokeweight=".5pt">
                      <v:textbox>
                        <w:txbxContent>
                          <w:p w14:paraId="11265EF4" w14:textId="77777777" w:rsidR="000C465B" w:rsidRPr="001F7B3F" w:rsidRDefault="000C465B" w:rsidP="000C465B">
                            <w:pPr>
                              <w:spacing w:before="120" w:after="0"/>
                              <w:rPr>
                                <w:bCs/>
                                <w:i/>
                                <w:iCs/>
                                <w:szCs w:val="20"/>
                              </w:rPr>
                            </w:pPr>
                            <w:r w:rsidRPr="001F7B3F">
                              <w:rPr>
                                <w:b/>
                                <w:szCs w:val="20"/>
                              </w:rPr>
                              <w:t xml:space="preserve">Reconstituted Instructions </w:t>
                            </w:r>
                            <w:r w:rsidRPr="001F7B3F">
                              <w:rPr>
                                <w:bCs/>
                                <w:i/>
                                <w:iCs/>
                                <w:szCs w:val="20"/>
                              </w:rPr>
                              <w:t>(from package back panel labeling)</w:t>
                            </w:r>
                          </w:p>
                          <w:p w14:paraId="0815791B" w14:textId="77777777" w:rsidR="000C465B" w:rsidRPr="00C24F25" w:rsidRDefault="000C465B" w:rsidP="000C465B">
                            <w:pPr>
                              <w:spacing w:after="0"/>
                              <w:rPr>
                                <w:bCs/>
                                <w:i/>
                                <w:iCs/>
                                <w:sz w:val="8"/>
                                <w:szCs w:val="8"/>
                              </w:rPr>
                            </w:pPr>
                          </w:p>
                          <w:p w14:paraId="3AD3B8B5" w14:textId="77777777" w:rsidR="000C465B" w:rsidRPr="00C24F25" w:rsidRDefault="000C465B" w:rsidP="000C465B">
                            <w:pPr>
                              <w:spacing w:after="0"/>
                              <w:jc w:val="center"/>
                              <w:rPr>
                                <w:b/>
                                <w:sz w:val="28"/>
                                <w:szCs w:val="28"/>
                              </w:rPr>
                            </w:pPr>
                            <w:r w:rsidRPr="001F7B3F">
                              <w:rPr>
                                <w:b/>
                                <w:noProof/>
                                <w:szCs w:val="20"/>
                              </w:rPr>
                              <w:drawing>
                                <wp:inline distT="0" distB="0" distL="0" distR="0" wp14:anchorId="61658011" wp14:editId="0DEEE412">
                                  <wp:extent cx="3771900" cy="334574"/>
                                  <wp:effectExtent l="0" t="0" r="0" b="8890"/>
                                  <wp:docPr id="61219901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20341" cy="356611"/>
                                          </a:xfrm>
                                          <a:prstGeom prst="rect">
                                            <a:avLst/>
                                          </a:prstGeom>
                                          <a:noFill/>
                                          <a:ln>
                                            <a:noFill/>
                                          </a:ln>
                                        </pic:spPr>
                                      </pic:pic>
                                    </a:graphicData>
                                  </a:graphic>
                                </wp:inline>
                              </w:drawing>
                            </w:r>
                          </w:p>
                          <w:p w14:paraId="6761BE8F" w14:textId="77777777" w:rsidR="000C465B" w:rsidRPr="00C24F25" w:rsidRDefault="000C465B" w:rsidP="000C465B">
                            <w:pPr>
                              <w:rPr>
                                <w:sz w:val="2"/>
                                <w:szCs w:val="2"/>
                              </w:rPr>
                            </w:pPr>
                          </w:p>
                          <w:p w14:paraId="2BD866BE" w14:textId="77777777" w:rsidR="000C465B" w:rsidRDefault="000C465B" w:rsidP="000C465B"/>
                        </w:txbxContent>
                      </v:textbox>
                    </v:shape>
                  </w:pict>
                </mc:Fallback>
              </mc:AlternateContent>
            </w:r>
          </w:p>
        </w:tc>
        <w:tc>
          <w:tcPr>
            <w:tcW w:w="4945" w:type="dxa"/>
          </w:tcPr>
          <w:p w14:paraId="15CF7163" w14:textId="2D172C7E" w:rsidR="000C465B" w:rsidRPr="000C465B" w:rsidRDefault="000C465B" w:rsidP="000C465B">
            <w:pPr>
              <w:spacing w:after="0"/>
              <w:rPr>
                <w:b/>
              </w:rPr>
            </w:pPr>
          </w:p>
        </w:tc>
      </w:tr>
      <w:tr w:rsidR="000C465B" w:rsidRPr="000C465B" w14:paraId="452E61D5" w14:textId="77777777" w:rsidTr="005F0F3E">
        <w:tc>
          <w:tcPr>
            <w:tcW w:w="4405" w:type="dxa"/>
          </w:tcPr>
          <w:p w14:paraId="202B99F1" w14:textId="77777777" w:rsidR="000C465B" w:rsidRPr="000C465B" w:rsidRDefault="000C465B" w:rsidP="000C465B">
            <w:pPr>
              <w:spacing w:after="0"/>
              <w:rPr>
                <w:b/>
              </w:rPr>
            </w:pPr>
            <w:r w:rsidRPr="000C465B">
              <w:rPr>
                <w:noProof/>
              </w:rPr>
              <w:drawing>
                <wp:inline distT="0" distB="0" distL="0" distR="0" wp14:anchorId="6CC9BBFD" wp14:editId="123DC855">
                  <wp:extent cx="2351152" cy="2895600"/>
                  <wp:effectExtent l="0" t="0" r="0" b="0"/>
                  <wp:docPr id="10439034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83564" name="Picture 1471183564"/>
                          <pic:cNvPicPr/>
                        </pic:nvPicPr>
                        <pic:blipFill rotWithShape="1">
                          <a:blip r:embed="rId73">
                            <a:extLst>
                              <a:ext uri="{28A0092B-C50C-407E-A947-70E740481C1C}">
                                <a14:useLocalDpi xmlns:a14="http://schemas.microsoft.com/office/drawing/2010/main" val="0"/>
                              </a:ext>
                            </a:extLst>
                          </a:blip>
                          <a:srcRect l="2517"/>
                          <a:stretch>
                            <a:fillRect/>
                          </a:stretch>
                        </pic:blipFill>
                        <pic:spPr bwMode="auto">
                          <a:xfrm>
                            <a:off x="0" y="0"/>
                            <a:ext cx="2368440" cy="2916891"/>
                          </a:xfrm>
                          <a:prstGeom prst="rect">
                            <a:avLst/>
                          </a:prstGeom>
                          <a:ln>
                            <a:noFill/>
                          </a:ln>
                          <a:extLst>
                            <a:ext uri="{53640926-AAD7-44D8-BBD7-CCE9431645EC}">
                              <a14:shadowObscured xmlns:a14="http://schemas.microsoft.com/office/drawing/2010/main"/>
                            </a:ext>
                          </a:extLst>
                        </pic:spPr>
                      </pic:pic>
                    </a:graphicData>
                  </a:graphic>
                </wp:inline>
              </w:drawing>
            </w:r>
          </w:p>
        </w:tc>
        <w:tc>
          <w:tcPr>
            <w:tcW w:w="4945" w:type="dxa"/>
          </w:tcPr>
          <w:p w14:paraId="54140B4F" w14:textId="0A03253E" w:rsidR="000C465B" w:rsidRPr="000C465B" w:rsidRDefault="000C465B" w:rsidP="000C465B">
            <w:pPr>
              <w:spacing w:after="0"/>
              <w:rPr>
                <w:b/>
                <w:color w:val="FF0000"/>
                <w:sz w:val="36"/>
                <w:szCs w:val="36"/>
              </w:rPr>
            </w:pPr>
            <w:r w:rsidRPr="000C465B">
              <w:rPr>
                <w:b/>
                <w:color w:val="FF0000"/>
                <w:sz w:val="36"/>
                <w:szCs w:val="36"/>
              </w:rPr>
              <w:t>PROBLEMATIC</w:t>
            </w:r>
          </w:p>
          <w:p w14:paraId="2002B89B" w14:textId="3E6ACEED" w:rsidR="000C465B" w:rsidRPr="000C465B" w:rsidRDefault="000C465B" w:rsidP="000C465B">
            <w:pPr>
              <w:spacing w:after="0"/>
              <w:rPr>
                <w:bCs/>
                <w:sz w:val="20"/>
                <w:szCs w:val="20"/>
              </w:rPr>
            </w:pPr>
            <w:r w:rsidRPr="000C465B">
              <w:rPr>
                <w:bCs/>
                <w:sz w:val="20"/>
                <w:szCs w:val="20"/>
              </w:rPr>
              <w:t xml:space="preserve">In this example, we show the PDP and the product reconstitution instructions from the back of the package label.  </w:t>
            </w:r>
          </w:p>
          <w:p w14:paraId="2370E329" w14:textId="77777777" w:rsidR="000C465B" w:rsidRPr="000C465B" w:rsidRDefault="000C465B" w:rsidP="000C465B">
            <w:pPr>
              <w:spacing w:after="0"/>
              <w:jc w:val="left"/>
              <w:rPr>
                <w:bCs/>
                <w:sz w:val="20"/>
                <w:szCs w:val="20"/>
              </w:rPr>
            </w:pPr>
          </w:p>
          <w:p w14:paraId="3CC74EFF" w14:textId="660776A2" w:rsidR="000C465B" w:rsidRPr="000C465B" w:rsidRDefault="000C465B" w:rsidP="000C465B">
            <w:pPr>
              <w:spacing w:after="0"/>
              <w:rPr>
                <w:b/>
              </w:rPr>
            </w:pPr>
            <w:r w:rsidRPr="000C465B">
              <w:rPr>
                <w:bCs/>
                <w:sz w:val="20"/>
                <w:szCs w:val="20"/>
              </w:rPr>
              <w:t xml:space="preserve">This PDP with the REQ follow the principles of this Document. One added requirement for REQs </w:t>
            </w:r>
            <w:proofErr w:type="gramStart"/>
            <w:r w:rsidRPr="000C465B">
              <w:rPr>
                <w:bCs/>
                <w:sz w:val="20"/>
                <w:szCs w:val="20"/>
              </w:rPr>
              <w:t>are</w:t>
            </w:r>
            <w:proofErr w:type="gramEnd"/>
            <w:r w:rsidRPr="000C465B">
              <w:rPr>
                <w:bCs/>
                <w:sz w:val="20"/>
                <w:szCs w:val="20"/>
              </w:rPr>
              <w:t xml:space="preserve"> clear and verifiable reconstitution instructions which must appear someplace on the package label. The instructions provided in this example are not specific, objective or verifiable.  </w:t>
            </w:r>
          </w:p>
        </w:tc>
      </w:tr>
    </w:tbl>
    <w:p w14:paraId="0C87414C" w14:textId="475F1060" w:rsidR="00983077" w:rsidRDefault="00983077" w:rsidP="000C465B">
      <w:pPr>
        <w:spacing w:after="200" w:line="276" w:lineRule="auto"/>
        <w:rPr>
          <w:b/>
          <w:szCs w:val="20"/>
        </w:rPr>
      </w:pPr>
      <w:r w:rsidRPr="000C465B">
        <w:rPr>
          <w:noProof/>
        </w:rPr>
        <mc:AlternateContent>
          <mc:Choice Requires="wps">
            <w:drawing>
              <wp:anchor distT="0" distB="0" distL="114300" distR="114300" simplePos="0" relativeHeight="251658306" behindDoc="0" locked="0" layoutInCell="1" allowOverlap="1" wp14:anchorId="673B1C40" wp14:editId="23CABBA3">
                <wp:simplePos x="0" y="0"/>
                <wp:positionH relativeFrom="column">
                  <wp:posOffset>904875</wp:posOffset>
                </wp:positionH>
                <wp:positionV relativeFrom="paragraph">
                  <wp:posOffset>51381</wp:posOffset>
                </wp:positionV>
                <wp:extent cx="4450080" cy="739302"/>
                <wp:effectExtent l="0" t="0" r="7620" b="3810"/>
                <wp:wrapNone/>
                <wp:docPr id="1614294610" name="Text Box 75"/>
                <wp:cNvGraphicFramePr/>
                <a:graphic xmlns:a="http://schemas.openxmlformats.org/drawingml/2006/main">
                  <a:graphicData uri="http://schemas.microsoft.com/office/word/2010/wordprocessingShape">
                    <wps:wsp>
                      <wps:cNvSpPr txBox="1"/>
                      <wps:spPr>
                        <a:xfrm>
                          <a:off x="0" y="0"/>
                          <a:ext cx="4450080" cy="739302"/>
                        </a:xfrm>
                        <a:prstGeom prst="rect">
                          <a:avLst/>
                        </a:prstGeom>
                        <a:solidFill>
                          <a:sysClr val="window" lastClr="FFFFFF"/>
                        </a:solidFill>
                        <a:ln w="6350">
                          <a:noFill/>
                        </a:ln>
                      </wps:spPr>
                      <wps:txbx>
                        <w:txbxContent>
                          <w:p w14:paraId="20B03C7D" w14:textId="77777777" w:rsidR="000C465B" w:rsidRPr="001F7B3F" w:rsidRDefault="000C465B" w:rsidP="000C465B">
                            <w:pPr>
                              <w:spacing w:before="120" w:after="0"/>
                              <w:jc w:val="center"/>
                              <w:rPr>
                                <w:bCs/>
                                <w:i/>
                                <w:iCs/>
                                <w:szCs w:val="20"/>
                              </w:rPr>
                            </w:pPr>
                            <w:r w:rsidRPr="001F7B3F">
                              <w:rPr>
                                <w:b/>
                                <w:szCs w:val="20"/>
                              </w:rPr>
                              <w:t xml:space="preserve">Reconstituted Instructions </w:t>
                            </w:r>
                            <w:r w:rsidRPr="001F7B3F">
                              <w:rPr>
                                <w:bCs/>
                                <w:i/>
                                <w:iCs/>
                                <w:szCs w:val="20"/>
                              </w:rPr>
                              <w:t>(from package back panel labeling)</w:t>
                            </w:r>
                          </w:p>
                          <w:p w14:paraId="240D58DC" w14:textId="77777777" w:rsidR="000C465B" w:rsidRPr="00C24F25" w:rsidRDefault="000C465B" w:rsidP="000C465B">
                            <w:pPr>
                              <w:spacing w:after="0"/>
                              <w:jc w:val="center"/>
                              <w:rPr>
                                <w:b/>
                                <w:color w:val="EE0000"/>
                                <w:sz w:val="8"/>
                                <w:szCs w:val="16"/>
                              </w:rPr>
                            </w:pPr>
                          </w:p>
                          <w:p w14:paraId="2F16B468" w14:textId="77777777" w:rsidR="000C465B" w:rsidRDefault="000C465B" w:rsidP="000C465B">
                            <w:pPr>
                              <w:spacing w:after="0"/>
                              <w:jc w:val="center"/>
                              <w:rPr>
                                <w:b/>
                                <w:sz w:val="28"/>
                                <w:szCs w:val="28"/>
                              </w:rPr>
                            </w:pPr>
                            <w:r w:rsidRPr="005839A6">
                              <w:rPr>
                                <w:b/>
                                <w:noProof/>
                                <w:sz w:val="28"/>
                                <w:szCs w:val="28"/>
                              </w:rPr>
                              <w:drawing>
                                <wp:inline distT="0" distB="0" distL="0" distR="0" wp14:anchorId="3D517632" wp14:editId="79304044">
                                  <wp:extent cx="3718560" cy="342900"/>
                                  <wp:effectExtent l="0" t="0" r="0" b="0"/>
                                  <wp:docPr id="43320134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18560" cy="342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B1C40" id="_x0000_s1049" type="#_x0000_t202" style="position:absolute;left:0;text-align:left;margin-left:71.25pt;margin-top:4.05pt;width:350.4pt;height:58.2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" fillcolor="window" stroked="f" strokeweight=".5pt">
                <v:textbox>
                  <w:txbxContent>
                    <w:p w14:paraId="20B03C7D" w14:textId="77777777" w:rsidR="000C465B" w:rsidRPr="001F7B3F" w:rsidRDefault="000C465B" w:rsidP="000C465B">
                      <w:pPr>
                        <w:spacing w:before="120" w:after="0"/>
                        <w:jc w:val="center"/>
                        <w:rPr>
                          <w:bCs/>
                          <w:i/>
                          <w:iCs/>
                          <w:szCs w:val="20"/>
                        </w:rPr>
                      </w:pPr>
                      <w:r w:rsidRPr="001F7B3F">
                        <w:rPr>
                          <w:b/>
                          <w:szCs w:val="20"/>
                        </w:rPr>
                        <w:t xml:space="preserve">Reconstituted Instructions </w:t>
                      </w:r>
                      <w:r w:rsidRPr="001F7B3F">
                        <w:rPr>
                          <w:bCs/>
                          <w:i/>
                          <w:iCs/>
                          <w:szCs w:val="20"/>
                        </w:rPr>
                        <w:t>(from package back panel labeling)</w:t>
                      </w:r>
                    </w:p>
                    <w:p w14:paraId="240D58DC" w14:textId="77777777" w:rsidR="000C465B" w:rsidRPr="00C24F25" w:rsidRDefault="000C465B" w:rsidP="000C465B">
                      <w:pPr>
                        <w:spacing w:after="0"/>
                        <w:jc w:val="center"/>
                        <w:rPr>
                          <w:b/>
                          <w:color w:val="EE0000"/>
                          <w:sz w:val="8"/>
                          <w:szCs w:val="16"/>
                        </w:rPr>
                      </w:pPr>
                    </w:p>
                    <w:p w14:paraId="2F16B468" w14:textId="77777777" w:rsidR="000C465B" w:rsidRDefault="000C465B" w:rsidP="000C465B">
                      <w:pPr>
                        <w:spacing w:after="0"/>
                        <w:jc w:val="center"/>
                        <w:rPr>
                          <w:b/>
                          <w:sz w:val="28"/>
                          <w:szCs w:val="28"/>
                        </w:rPr>
                      </w:pPr>
                      <w:r w:rsidRPr="005839A6">
                        <w:rPr>
                          <w:b/>
                          <w:noProof/>
                          <w:sz w:val="28"/>
                          <w:szCs w:val="28"/>
                        </w:rPr>
                        <w:drawing>
                          <wp:inline distT="0" distB="0" distL="0" distR="0" wp14:anchorId="3D517632" wp14:editId="79304044">
                            <wp:extent cx="3718560" cy="342900"/>
                            <wp:effectExtent l="0" t="0" r="0" b="0"/>
                            <wp:docPr id="43320134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18560" cy="342900"/>
                                    </a:xfrm>
                                    <a:prstGeom prst="rect">
                                      <a:avLst/>
                                    </a:prstGeom>
                                    <a:noFill/>
                                    <a:ln>
                                      <a:noFill/>
                                    </a:ln>
                                  </pic:spPr>
                                </pic:pic>
                              </a:graphicData>
                            </a:graphic>
                          </wp:inline>
                        </w:drawing>
                      </w:r>
                    </w:p>
                  </w:txbxContent>
                </v:textbox>
              </v:shape>
            </w:pict>
          </mc:Fallback>
        </mc:AlternateContent>
      </w:r>
    </w:p>
    <w:p w14:paraId="46F9A095" w14:textId="243125E3" w:rsidR="000C465B" w:rsidRPr="000C465B" w:rsidRDefault="000C465B" w:rsidP="000C465B">
      <w:pPr>
        <w:spacing w:after="200" w:line="276" w:lineRule="auto"/>
        <w:rPr>
          <w:szCs w:val="20"/>
        </w:rPr>
      </w:pPr>
      <w:r w:rsidRPr="000C465B">
        <w:rPr>
          <w:b/>
          <w:szCs w:val="20"/>
        </w:rPr>
        <w:lastRenderedPageBreak/>
        <w:t xml:space="preserve">3. </w:t>
      </w:r>
      <w:r w:rsidRPr="000C465B">
        <w:rPr>
          <w:b/>
          <w:szCs w:val="20"/>
          <w:u w:val="single"/>
        </w:rPr>
        <w:t>Derived Unit Expression (DUE)</w:t>
      </w:r>
      <w:r w:rsidRPr="000C465B">
        <w:rPr>
          <w:b/>
          <w:bCs/>
          <w:szCs w:val="20"/>
        </w:rPr>
        <w:t xml:space="preserve"> </w:t>
      </w:r>
      <w:r w:rsidRPr="000C465B">
        <w:rPr>
          <w:szCs w:val="20"/>
        </w:rPr>
        <w:t>– A manufacturer is responsible for ensuring a Derived Unit Expression (DUE’s) location, font, graphics or wording provides clear and non-misleading information which does not contradict or marginalize the information provided in the required Declaration of Net Quantity (</w:t>
      </w:r>
      <w:proofErr w:type="spellStart"/>
      <w:r w:rsidRPr="000C465B">
        <w:rPr>
          <w:szCs w:val="20"/>
        </w:rPr>
        <w:t>DoNQ</w:t>
      </w:r>
      <w:proofErr w:type="spellEnd"/>
      <w:r w:rsidRPr="000C465B">
        <w:rPr>
          <w:szCs w:val="20"/>
        </w:rPr>
        <w:t xml:space="preserve">).     </w:t>
      </w:r>
    </w:p>
    <w:p w14:paraId="71925A2E" w14:textId="77777777" w:rsidR="000C465B" w:rsidRPr="000C465B" w:rsidRDefault="000C465B" w:rsidP="000C465B">
      <w:pPr>
        <w:spacing w:after="0" w:line="276" w:lineRule="auto"/>
        <w:rPr>
          <w:szCs w:val="20"/>
        </w:rPr>
      </w:pPr>
      <w:r w:rsidRPr="000C465B">
        <w:rPr>
          <w:szCs w:val="20"/>
        </w:rPr>
        <w:t xml:space="preserve">Derived Unit Expressions can appear in the upper 70% or lower 30% of the Principal Display Panel (PDP) as illustrated in the following examples which illustrate differences in color, font size, expression wording, and graphic design such as graphic features or icons.  Icons are used commonly for this type of expression.  A DUE may employ a single color and font type or may combine 2 or more colors and fonts. Where two or more DUEs are present (not shown), they may appear in both the upper 70% and/or lower 30% of the </w:t>
      </w:r>
      <w:r w:rsidRPr="000C465B">
        <w:rPr>
          <w:spacing w:val="6"/>
          <w:szCs w:val="20"/>
        </w:rPr>
        <w:t>PDP. It is not required for the DUE statements to be identical provided they are both accurate and non-</w:t>
      </w:r>
      <w:r w:rsidRPr="000C465B">
        <w:rPr>
          <w:szCs w:val="20"/>
        </w:rPr>
        <w:t xml:space="preserve">misleading. </w:t>
      </w:r>
    </w:p>
    <w:p w14:paraId="169A7FB0" w14:textId="77777777" w:rsidR="000C465B" w:rsidRPr="000C465B" w:rsidRDefault="000C465B" w:rsidP="000C465B">
      <w:pPr>
        <w:spacing w:after="200" w:line="276" w:lineRule="auto"/>
        <w:jc w:val="left"/>
        <w:rPr>
          <w:sz w:val="22"/>
        </w:rPr>
      </w:pPr>
      <w:r w:rsidRPr="000C465B">
        <w:rPr>
          <w:noProof/>
          <w:sz w:val="22"/>
        </w:rPr>
        <mc:AlternateContent>
          <mc:Choice Requires="wps">
            <w:drawing>
              <wp:anchor distT="0" distB="0" distL="114300" distR="114300" simplePos="0" relativeHeight="251658300" behindDoc="0" locked="0" layoutInCell="1" allowOverlap="1" wp14:anchorId="5D685DA3" wp14:editId="07DD17ED">
                <wp:simplePos x="0" y="0"/>
                <wp:positionH relativeFrom="column">
                  <wp:posOffset>2286000</wp:posOffset>
                </wp:positionH>
                <wp:positionV relativeFrom="paragraph">
                  <wp:posOffset>3810</wp:posOffset>
                </wp:positionV>
                <wp:extent cx="2390775" cy="3895725"/>
                <wp:effectExtent l="0" t="0" r="9525" b="9525"/>
                <wp:wrapNone/>
                <wp:docPr id="2058860688" name="Text Box 72"/>
                <wp:cNvGraphicFramePr/>
                <a:graphic xmlns:a="http://schemas.openxmlformats.org/drawingml/2006/main">
                  <a:graphicData uri="http://schemas.microsoft.com/office/word/2010/wordprocessingShape">
                    <wps:wsp>
                      <wps:cNvSpPr txBox="1"/>
                      <wps:spPr>
                        <a:xfrm>
                          <a:off x="0" y="0"/>
                          <a:ext cx="2390775" cy="3895725"/>
                        </a:xfrm>
                        <a:prstGeom prst="rect">
                          <a:avLst/>
                        </a:prstGeom>
                        <a:solidFill>
                          <a:sysClr val="window" lastClr="FFFFFF"/>
                        </a:solidFill>
                        <a:ln w="6350">
                          <a:noFill/>
                        </a:ln>
                      </wps:spPr>
                      <wps:txbx>
                        <w:txbxContent>
                          <w:p w14:paraId="4B1E6451" w14:textId="77777777" w:rsidR="000C465B" w:rsidRDefault="000C465B" w:rsidP="000C465B">
                            <w:r>
                              <w:rPr>
                                <w:noProof/>
                              </w:rPr>
                              <w:drawing>
                                <wp:inline distT="0" distB="0" distL="0" distR="0" wp14:anchorId="30FBDD45" wp14:editId="496477F5">
                                  <wp:extent cx="2143125" cy="3676131"/>
                                  <wp:effectExtent l="0" t="0" r="0" b="635"/>
                                  <wp:docPr id="11741278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27858" name="Picture 5"/>
                                          <pic:cNvPicPr>
                                            <a:picLocks noChangeAspect="1" noChangeArrowheads="1"/>
                                          </pic:cNvPicPr>
                                        </pic:nvPicPr>
                                        <pic:blipFill>
                                          <a:blip r:embed="rId77">
                                            <a:extLst>
                                              <a:ext uri="{28A0092B-C50C-407E-A947-70E740481C1C}">
                                                <a14:useLocalDpi xmlns:a14="http://schemas.microsoft.com/office/drawing/2010/main" val="0"/>
                                              </a:ext>
                                            </a:extLst>
                                          </a:blip>
                                          <a:srcRect l="623" r="623"/>
                                          <a:stretch>
                                            <a:fillRect/>
                                          </a:stretch>
                                        </pic:blipFill>
                                        <pic:spPr bwMode="auto">
                                          <a:xfrm>
                                            <a:off x="0" y="0"/>
                                            <a:ext cx="2143125" cy="367613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85DA3" id="Text Box 72" o:spid="_x0000_s1050" type="#_x0000_t202" style="position:absolute;margin-left:180pt;margin-top:.3pt;width:188.25pt;height:306.7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" fillcolor="window" stroked="f" strokeweight=".5pt">
                <v:textbox>
                  <w:txbxContent>
                    <w:p w14:paraId="4B1E6451" w14:textId="77777777" w:rsidR="000C465B" w:rsidRDefault="000C465B" w:rsidP="000C465B">
                      <w:r>
                        <w:rPr>
                          <w:noProof/>
                        </w:rPr>
                        <w:drawing>
                          <wp:inline distT="0" distB="0" distL="0" distR="0" wp14:anchorId="30FBDD45" wp14:editId="496477F5">
                            <wp:extent cx="2143125" cy="3676131"/>
                            <wp:effectExtent l="0" t="0" r="0" b="635"/>
                            <wp:docPr id="11741278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27858" name="Picture 5"/>
                                    <pic:cNvPicPr>
                                      <a:picLocks noChangeAspect="1" noChangeArrowheads="1"/>
                                    </pic:cNvPicPr>
                                  </pic:nvPicPr>
                                  <pic:blipFill>
                                    <a:blip r:embed="rId77">
                                      <a:extLst>
                                        <a:ext uri="{28A0092B-C50C-407E-A947-70E740481C1C}">
                                          <a14:useLocalDpi xmlns:a14="http://schemas.microsoft.com/office/drawing/2010/main" val="0"/>
                                        </a:ext>
                                      </a:extLst>
                                    </a:blip>
                                    <a:srcRect l="623" r="623"/>
                                    <a:stretch>
                                      <a:fillRect/>
                                    </a:stretch>
                                  </pic:blipFill>
                                  <pic:spPr bwMode="auto">
                                    <a:xfrm>
                                      <a:off x="0" y="0"/>
                                      <a:ext cx="2143125" cy="367613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0C465B">
        <w:rPr>
          <w:noProof/>
          <w:sz w:val="22"/>
        </w:rPr>
        <mc:AlternateContent>
          <mc:Choice Requires="wps">
            <w:drawing>
              <wp:anchor distT="0" distB="0" distL="114300" distR="114300" simplePos="0" relativeHeight="251658301" behindDoc="0" locked="0" layoutInCell="1" allowOverlap="1" wp14:anchorId="47EB8D2E" wp14:editId="3293EC63">
                <wp:simplePos x="0" y="0"/>
                <wp:positionH relativeFrom="column">
                  <wp:posOffset>4657725</wp:posOffset>
                </wp:positionH>
                <wp:positionV relativeFrom="paragraph">
                  <wp:posOffset>-4445</wp:posOffset>
                </wp:positionV>
                <wp:extent cx="1447800" cy="2724150"/>
                <wp:effectExtent l="0" t="0" r="0" b="0"/>
                <wp:wrapNone/>
                <wp:docPr id="1590597753" name="Text Box 70"/>
                <wp:cNvGraphicFramePr/>
                <a:graphic xmlns:a="http://schemas.openxmlformats.org/drawingml/2006/main">
                  <a:graphicData uri="http://schemas.microsoft.com/office/word/2010/wordprocessingShape">
                    <wps:wsp>
                      <wps:cNvSpPr txBox="1"/>
                      <wps:spPr>
                        <a:xfrm>
                          <a:off x="0" y="0"/>
                          <a:ext cx="1447800" cy="2724150"/>
                        </a:xfrm>
                        <a:prstGeom prst="rect">
                          <a:avLst/>
                        </a:prstGeom>
                        <a:solidFill>
                          <a:sysClr val="window" lastClr="FFFFFF"/>
                        </a:solidFill>
                        <a:ln w="6350">
                          <a:noFill/>
                        </a:ln>
                      </wps:spPr>
                      <wps:txbx>
                        <w:txbxContent>
                          <w:p w14:paraId="2E5ACE51" w14:textId="77777777" w:rsidR="000C465B" w:rsidRDefault="000C465B" w:rsidP="000C465B">
                            <w:r>
                              <w:rPr>
                                <w:noProof/>
                              </w:rPr>
                              <w:drawing>
                                <wp:inline distT="0" distB="0" distL="0" distR="0" wp14:anchorId="48D8B7DC" wp14:editId="3D124DA9">
                                  <wp:extent cx="1258570" cy="2616288"/>
                                  <wp:effectExtent l="0" t="0" r="0" b="0"/>
                                  <wp:docPr id="719975840" name="Picture 719975840" descr="D:\NCWM\PALS Diagrams\Set 4\5-DUE\DUE-S5b-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NCWM\PALS Diagrams\Set 4\5-DUE\DUE-S5b-v1.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58570" cy="26162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B8D2E" id="Text Box 70" o:spid="_x0000_s1051" type="#_x0000_t202" style="position:absolute;margin-left:366.75pt;margin-top:-.35pt;width:114pt;height:214.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" fillcolor="window" stroked="f" strokeweight=".5pt">
                <v:textbox>
                  <w:txbxContent>
                    <w:p w14:paraId="2E5ACE51" w14:textId="77777777" w:rsidR="000C465B" w:rsidRDefault="000C465B" w:rsidP="000C465B">
                      <w:r>
                        <w:rPr>
                          <w:noProof/>
                        </w:rPr>
                        <w:drawing>
                          <wp:inline distT="0" distB="0" distL="0" distR="0" wp14:anchorId="48D8B7DC" wp14:editId="3D124DA9">
                            <wp:extent cx="1258570" cy="2616288"/>
                            <wp:effectExtent l="0" t="0" r="0" b="0"/>
                            <wp:docPr id="719975840" name="Picture 719975840" descr="D:\NCWM\PALS Diagrams\Set 4\5-DUE\DUE-S5b-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NCWM\PALS Diagrams\Set 4\5-DUE\DUE-S5b-v1.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58570" cy="2616288"/>
                                    </a:xfrm>
                                    <a:prstGeom prst="rect">
                                      <a:avLst/>
                                    </a:prstGeom>
                                    <a:noFill/>
                                    <a:ln>
                                      <a:noFill/>
                                    </a:ln>
                                  </pic:spPr>
                                </pic:pic>
                              </a:graphicData>
                            </a:graphic>
                          </wp:inline>
                        </w:drawing>
                      </w:r>
                    </w:p>
                  </w:txbxContent>
                </v:textbox>
              </v:shape>
            </w:pict>
          </mc:Fallback>
        </mc:AlternateContent>
      </w:r>
      <w:r w:rsidRPr="000C465B">
        <w:rPr>
          <w:noProof/>
          <w:sz w:val="22"/>
        </w:rPr>
        <mc:AlternateContent>
          <mc:Choice Requires="wps">
            <w:drawing>
              <wp:anchor distT="0" distB="0" distL="114300" distR="114300" simplePos="0" relativeHeight="251658299" behindDoc="0" locked="0" layoutInCell="1" allowOverlap="1" wp14:anchorId="6FE06129" wp14:editId="0DFC61E0">
                <wp:simplePos x="0" y="0"/>
                <wp:positionH relativeFrom="column">
                  <wp:posOffset>-142875</wp:posOffset>
                </wp:positionH>
                <wp:positionV relativeFrom="paragraph">
                  <wp:posOffset>-4445</wp:posOffset>
                </wp:positionV>
                <wp:extent cx="2381250" cy="4095750"/>
                <wp:effectExtent l="0" t="0" r="0" b="0"/>
                <wp:wrapNone/>
                <wp:docPr id="1735964043" name="Text Box 71"/>
                <wp:cNvGraphicFramePr/>
                <a:graphic xmlns:a="http://schemas.openxmlformats.org/drawingml/2006/main">
                  <a:graphicData uri="http://schemas.microsoft.com/office/word/2010/wordprocessingShape">
                    <wps:wsp>
                      <wps:cNvSpPr txBox="1"/>
                      <wps:spPr>
                        <a:xfrm>
                          <a:off x="0" y="0"/>
                          <a:ext cx="2381250" cy="4095750"/>
                        </a:xfrm>
                        <a:prstGeom prst="rect">
                          <a:avLst/>
                        </a:prstGeom>
                        <a:solidFill>
                          <a:sysClr val="window" lastClr="FFFFFF"/>
                        </a:solidFill>
                        <a:ln w="6350">
                          <a:noFill/>
                        </a:ln>
                      </wps:spPr>
                      <wps:txbx>
                        <w:txbxContent>
                          <w:p w14:paraId="023A24F7" w14:textId="77777777" w:rsidR="000C465B" w:rsidRDefault="000C465B" w:rsidP="000C465B">
                            <w:r>
                              <w:rPr>
                                <w:noProof/>
                              </w:rPr>
                              <w:drawing>
                                <wp:inline distT="0" distB="0" distL="0" distR="0" wp14:anchorId="63CDD5D8" wp14:editId="6A919E51">
                                  <wp:extent cx="2192020" cy="3676200"/>
                                  <wp:effectExtent l="0" t="0" r="0" b="635"/>
                                  <wp:docPr id="5617520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52024" name="Picture 5"/>
                                          <pic:cNvPicPr>
                                            <a:picLocks noChangeAspect="1" noChangeArrowheads="1"/>
                                          </pic:cNvPicPr>
                                        </pic:nvPicPr>
                                        <pic:blipFill>
                                          <a:blip r:embed="rId77">
                                            <a:extLst>
                                              <a:ext uri="{28A0092B-C50C-407E-A947-70E740481C1C}">
                                                <a14:useLocalDpi xmlns:a14="http://schemas.microsoft.com/office/drawing/2010/main" val="0"/>
                                              </a:ext>
                                            </a:extLst>
                                          </a:blip>
                                          <a:srcRect t="498" b="498"/>
                                          <a:stretch>
                                            <a:fillRect/>
                                          </a:stretch>
                                        </pic:blipFill>
                                        <pic:spPr bwMode="auto">
                                          <a:xfrm>
                                            <a:off x="0" y="0"/>
                                            <a:ext cx="2192020" cy="36762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06129" id="Text Box 71" o:spid="_x0000_s1052" type="#_x0000_t202" style="position:absolute;margin-left:-11.25pt;margin-top:-.35pt;width:187.5pt;height:322.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" fillcolor="window" stroked="f" strokeweight=".5pt">
                <v:textbox>
                  <w:txbxContent>
                    <w:p w14:paraId="023A24F7" w14:textId="77777777" w:rsidR="000C465B" w:rsidRDefault="000C465B" w:rsidP="000C465B">
                      <w:r>
                        <w:rPr>
                          <w:noProof/>
                        </w:rPr>
                        <w:drawing>
                          <wp:inline distT="0" distB="0" distL="0" distR="0" wp14:anchorId="63CDD5D8" wp14:editId="6A919E51">
                            <wp:extent cx="2192020" cy="3676200"/>
                            <wp:effectExtent l="0" t="0" r="0" b="635"/>
                            <wp:docPr id="5617520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52024" name="Picture 5"/>
                                    <pic:cNvPicPr>
                                      <a:picLocks noChangeAspect="1" noChangeArrowheads="1"/>
                                    </pic:cNvPicPr>
                                  </pic:nvPicPr>
                                  <pic:blipFill>
                                    <a:blip r:embed="rId77">
                                      <a:extLst>
                                        <a:ext uri="{28A0092B-C50C-407E-A947-70E740481C1C}">
                                          <a14:useLocalDpi xmlns:a14="http://schemas.microsoft.com/office/drawing/2010/main" val="0"/>
                                        </a:ext>
                                      </a:extLst>
                                    </a:blip>
                                    <a:srcRect t="498" b="498"/>
                                    <a:stretch>
                                      <a:fillRect/>
                                    </a:stretch>
                                  </pic:blipFill>
                                  <pic:spPr bwMode="auto">
                                    <a:xfrm>
                                      <a:off x="0" y="0"/>
                                      <a:ext cx="2192020" cy="36762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402148D9" w14:textId="77777777" w:rsidR="000C465B" w:rsidRPr="000C465B" w:rsidRDefault="000C465B" w:rsidP="000C465B">
      <w:pPr>
        <w:spacing w:after="200" w:line="276" w:lineRule="auto"/>
        <w:jc w:val="left"/>
        <w:rPr>
          <w:sz w:val="22"/>
        </w:rPr>
      </w:pPr>
      <w:r w:rsidRPr="000C465B">
        <w:rPr>
          <w:sz w:val="22"/>
        </w:rPr>
        <w:t xml:space="preserve">  </w:t>
      </w:r>
    </w:p>
    <w:p w14:paraId="57F4725D" w14:textId="77777777" w:rsidR="000C465B" w:rsidRPr="000C465B" w:rsidRDefault="000C465B" w:rsidP="000C465B">
      <w:pPr>
        <w:spacing w:after="200" w:line="276" w:lineRule="auto"/>
        <w:jc w:val="left"/>
        <w:rPr>
          <w:sz w:val="22"/>
        </w:rPr>
      </w:pPr>
    </w:p>
    <w:tbl>
      <w:tblPr>
        <w:tblStyle w:val="TableGrid22"/>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5433"/>
        <w:gridCol w:w="236"/>
        <w:gridCol w:w="16"/>
        <w:gridCol w:w="1621"/>
      </w:tblGrid>
      <w:tr w:rsidR="000C465B" w:rsidRPr="000C465B" w14:paraId="6E4A1E97" w14:textId="77777777" w:rsidTr="005F0F3E">
        <w:trPr>
          <w:trHeight w:val="117"/>
        </w:trPr>
        <w:tc>
          <w:tcPr>
            <w:tcW w:w="2070" w:type="dxa"/>
          </w:tcPr>
          <w:p w14:paraId="57D44934" w14:textId="77777777" w:rsidR="000C465B" w:rsidRPr="000C465B" w:rsidRDefault="000C465B" w:rsidP="000C465B">
            <w:pPr>
              <w:spacing w:after="0"/>
              <w:jc w:val="center"/>
            </w:pPr>
          </w:p>
        </w:tc>
        <w:tc>
          <w:tcPr>
            <w:tcW w:w="5433" w:type="dxa"/>
          </w:tcPr>
          <w:p w14:paraId="06092D8E" w14:textId="77777777" w:rsidR="000C465B" w:rsidRPr="000C465B" w:rsidRDefault="000C465B" w:rsidP="000C465B">
            <w:pPr>
              <w:spacing w:after="0"/>
              <w:jc w:val="left"/>
            </w:pPr>
          </w:p>
        </w:tc>
        <w:tc>
          <w:tcPr>
            <w:tcW w:w="252" w:type="dxa"/>
            <w:gridSpan w:val="2"/>
          </w:tcPr>
          <w:p w14:paraId="29255603" w14:textId="77777777" w:rsidR="000C465B" w:rsidRPr="000C465B" w:rsidDel="00D327BA" w:rsidRDefault="000C465B" w:rsidP="000C465B">
            <w:pPr>
              <w:spacing w:after="0"/>
              <w:jc w:val="left"/>
              <w:rPr>
                <w:noProof/>
              </w:rPr>
            </w:pPr>
          </w:p>
        </w:tc>
        <w:tc>
          <w:tcPr>
            <w:tcW w:w="1621" w:type="dxa"/>
          </w:tcPr>
          <w:p w14:paraId="18617820" w14:textId="77777777" w:rsidR="000C465B" w:rsidRPr="000C465B" w:rsidDel="00D327BA" w:rsidRDefault="000C465B" w:rsidP="000C465B">
            <w:pPr>
              <w:spacing w:after="0"/>
              <w:jc w:val="left"/>
              <w:rPr>
                <w:noProof/>
              </w:rPr>
            </w:pPr>
          </w:p>
        </w:tc>
      </w:tr>
      <w:tr w:rsidR="000C465B" w:rsidRPr="000C465B" w14:paraId="7D26F2F0" w14:textId="77777777" w:rsidTr="005F0F3E">
        <w:tc>
          <w:tcPr>
            <w:tcW w:w="2070" w:type="dxa"/>
          </w:tcPr>
          <w:p w14:paraId="2C848530" w14:textId="77777777" w:rsidR="000C465B" w:rsidRPr="000C465B" w:rsidRDefault="000C465B" w:rsidP="000C465B">
            <w:pPr>
              <w:spacing w:after="0"/>
              <w:jc w:val="left"/>
              <w:rPr>
                <w:noProof/>
              </w:rPr>
            </w:pPr>
          </w:p>
        </w:tc>
        <w:tc>
          <w:tcPr>
            <w:tcW w:w="5433" w:type="dxa"/>
          </w:tcPr>
          <w:p w14:paraId="72F63F80" w14:textId="77777777" w:rsidR="000C465B" w:rsidRPr="000C465B" w:rsidDel="00D327BA" w:rsidRDefault="000C465B" w:rsidP="000C465B">
            <w:pPr>
              <w:spacing w:after="0"/>
              <w:jc w:val="left"/>
              <w:rPr>
                <w:noProof/>
              </w:rPr>
            </w:pPr>
          </w:p>
        </w:tc>
        <w:tc>
          <w:tcPr>
            <w:tcW w:w="252" w:type="dxa"/>
            <w:gridSpan w:val="2"/>
          </w:tcPr>
          <w:p w14:paraId="6BEF1320" w14:textId="77777777" w:rsidR="000C465B" w:rsidRPr="000C465B" w:rsidDel="00D327BA" w:rsidRDefault="000C465B" w:rsidP="000C465B">
            <w:pPr>
              <w:spacing w:after="0"/>
              <w:jc w:val="center"/>
              <w:rPr>
                <w:noProof/>
              </w:rPr>
            </w:pPr>
          </w:p>
        </w:tc>
        <w:tc>
          <w:tcPr>
            <w:tcW w:w="1621" w:type="dxa"/>
          </w:tcPr>
          <w:p w14:paraId="4DBD95C1" w14:textId="77777777" w:rsidR="000C465B" w:rsidRPr="000C465B" w:rsidRDefault="000C465B" w:rsidP="000C465B">
            <w:pPr>
              <w:spacing w:after="0"/>
              <w:jc w:val="center"/>
              <w:rPr>
                <w:noProof/>
              </w:rPr>
            </w:pPr>
          </w:p>
        </w:tc>
      </w:tr>
      <w:tr w:rsidR="000C465B" w:rsidRPr="000C465B" w14:paraId="00556656" w14:textId="77777777" w:rsidTr="005F0F3E">
        <w:tc>
          <w:tcPr>
            <w:tcW w:w="2070" w:type="dxa"/>
          </w:tcPr>
          <w:p w14:paraId="5A42DB9E" w14:textId="77777777" w:rsidR="000C465B" w:rsidRPr="000C465B" w:rsidRDefault="000C465B" w:rsidP="000C465B">
            <w:pPr>
              <w:spacing w:after="0"/>
              <w:jc w:val="center"/>
            </w:pPr>
          </w:p>
        </w:tc>
        <w:tc>
          <w:tcPr>
            <w:tcW w:w="5433" w:type="dxa"/>
          </w:tcPr>
          <w:p w14:paraId="51F0351B" w14:textId="77777777" w:rsidR="000C465B" w:rsidRPr="000C465B" w:rsidRDefault="000C465B" w:rsidP="000C465B">
            <w:pPr>
              <w:spacing w:after="0"/>
              <w:jc w:val="center"/>
            </w:pPr>
          </w:p>
        </w:tc>
        <w:tc>
          <w:tcPr>
            <w:tcW w:w="236" w:type="dxa"/>
          </w:tcPr>
          <w:p w14:paraId="07323E8E" w14:textId="77777777" w:rsidR="000C465B" w:rsidRPr="000C465B" w:rsidRDefault="000C465B" w:rsidP="000C465B">
            <w:pPr>
              <w:spacing w:after="0"/>
              <w:jc w:val="center"/>
              <w:rPr>
                <w:noProof/>
              </w:rPr>
            </w:pPr>
          </w:p>
        </w:tc>
        <w:tc>
          <w:tcPr>
            <w:tcW w:w="1637" w:type="dxa"/>
            <w:gridSpan w:val="2"/>
          </w:tcPr>
          <w:p w14:paraId="2D9676B9" w14:textId="77777777" w:rsidR="000C465B" w:rsidRPr="000C465B" w:rsidRDefault="000C465B" w:rsidP="000C465B">
            <w:pPr>
              <w:spacing w:after="0"/>
              <w:jc w:val="center"/>
              <w:rPr>
                <w:noProof/>
              </w:rPr>
            </w:pPr>
          </w:p>
        </w:tc>
      </w:tr>
    </w:tbl>
    <w:p w14:paraId="67439D86" w14:textId="77777777" w:rsidR="000C465B" w:rsidRPr="000C465B" w:rsidRDefault="000C465B" w:rsidP="000C465B">
      <w:pPr>
        <w:spacing w:after="200" w:line="276" w:lineRule="auto"/>
        <w:jc w:val="left"/>
        <w:rPr>
          <w:sz w:val="22"/>
        </w:rPr>
      </w:pPr>
    </w:p>
    <w:p w14:paraId="27FF04EF" w14:textId="77777777" w:rsidR="000C465B" w:rsidRPr="000C465B" w:rsidRDefault="000C465B" w:rsidP="000C465B">
      <w:pPr>
        <w:spacing w:after="200" w:line="276" w:lineRule="auto"/>
        <w:jc w:val="left"/>
        <w:rPr>
          <w:sz w:val="22"/>
        </w:rPr>
      </w:pPr>
    </w:p>
    <w:p w14:paraId="7D6D1239" w14:textId="77777777" w:rsidR="000C465B" w:rsidRPr="000C465B" w:rsidRDefault="000C465B" w:rsidP="000C465B">
      <w:pPr>
        <w:spacing w:after="200" w:line="276" w:lineRule="auto"/>
        <w:jc w:val="left"/>
        <w:rPr>
          <w:sz w:val="22"/>
        </w:rPr>
      </w:pPr>
    </w:p>
    <w:p w14:paraId="5C6106E5" w14:textId="77777777" w:rsidR="000C465B" w:rsidRPr="000C465B" w:rsidRDefault="000C465B" w:rsidP="000C465B">
      <w:pPr>
        <w:spacing w:after="200" w:line="276" w:lineRule="auto"/>
        <w:jc w:val="left"/>
        <w:rPr>
          <w:sz w:val="22"/>
        </w:rPr>
      </w:pPr>
      <w:r w:rsidRPr="000C465B">
        <w:rPr>
          <w:noProof/>
          <w:sz w:val="22"/>
        </w:rPr>
        <mc:AlternateContent>
          <mc:Choice Requires="wps">
            <w:drawing>
              <wp:anchor distT="0" distB="0" distL="114300" distR="114300" simplePos="0" relativeHeight="251658303" behindDoc="0" locked="0" layoutInCell="1" allowOverlap="1" wp14:anchorId="26438B25" wp14:editId="083DC9D6">
                <wp:simplePos x="0" y="0"/>
                <wp:positionH relativeFrom="column">
                  <wp:posOffset>4724400</wp:posOffset>
                </wp:positionH>
                <wp:positionV relativeFrom="paragraph">
                  <wp:posOffset>237490</wp:posOffset>
                </wp:positionV>
                <wp:extent cx="1533525" cy="3108325"/>
                <wp:effectExtent l="0" t="0" r="9525" b="0"/>
                <wp:wrapNone/>
                <wp:docPr id="775914845" name="Text Box 74"/>
                <wp:cNvGraphicFramePr/>
                <a:graphic xmlns:a="http://schemas.openxmlformats.org/drawingml/2006/main">
                  <a:graphicData uri="http://schemas.microsoft.com/office/word/2010/wordprocessingShape">
                    <wps:wsp>
                      <wps:cNvSpPr txBox="1"/>
                      <wps:spPr>
                        <a:xfrm>
                          <a:off x="0" y="0"/>
                          <a:ext cx="1533525" cy="3108325"/>
                        </a:xfrm>
                        <a:prstGeom prst="rect">
                          <a:avLst/>
                        </a:prstGeom>
                        <a:solidFill>
                          <a:sysClr val="window" lastClr="FFFFFF"/>
                        </a:solidFill>
                        <a:ln w="6350">
                          <a:noFill/>
                        </a:ln>
                      </wps:spPr>
                      <wps:txbx>
                        <w:txbxContent>
                          <w:p w14:paraId="6F7378B1" w14:textId="77777777" w:rsidR="000C465B" w:rsidRDefault="000C465B" w:rsidP="001F7B3F">
                            <w:pPr>
                              <w:jc w:val="left"/>
                            </w:pPr>
                            <w:r>
                              <w:t>This example</w:t>
                            </w:r>
                            <w:r w:rsidRPr="005E7EEF">
                              <w:t xml:space="preserve"> illustrate</w:t>
                            </w:r>
                            <w:r>
                              <w:t>s</w:t>
                            </w:r>
                            <w:r w:rsidRPr="005E7EEF">
                              <w:t xml:space="preserve"> the inclusion of </w:t>
                            </w:r>
                            <w:r>
                              <w:t xml:space="preserve">a DUE (28 DOSES) in the lower 30% of the PDP which </w:t>
                            </w:r>
                            <w:r w:rsidRPr="00C24F25">
                              <w:rPr>
                                <w:spacing w:val="10"/>
                              </w:rPr>
                              <w:t>provides information</w:t>
                            </w:r>
                            <w:r>
                              <w:t xml:space="preserve"> concerning how many </w:t>
                            </w:r>
                            <w:r w:rsidRPr="00C24F25">
                              <w:rPr>
                                <w:spacing w:val="14"/>
                              </w:rPr>
                              <w:t>derived units the</w:t>
                            </w:r>
                            <w:r w:rsidRPr="00C24F25">
                              <w:rPr>
                                <w:spacing w:val="10"/>
                              </w:rPr>
                              <w:t xml:space="preserve"> package contents can</w:t>
                            </w:r>
                            <w:r>
                              <w:t xml:space="preserve"> make per the package instruction.  The DUE is accurate</w:t>
                            </w:r>
                            <w:r w:rsidRPr="00C24F25">
                              <w:rPr>
                                <w:color w:val="8C3FC5"/>
                              </w:rPr>
                              <w:t xml:space="preserve">, </w:t>
                            </w:r>
                            <w:r w:rsidRPr="00A90DD4">
                              <w:t>verifiable</w:t>
                            </w:r>
                            <w:r>
                              <w:t xml:space="preserve"> and </w:t>
                            </w:r>
                            <w:r w:rsidRPr="00C24F25">
                              <w:rPr>
                                <w:spacing w:val="14"/>
                              </w:rPr>
                              <w:t>separate from the</w:t>
                            </w:r>
                            <w:r>
                              <w:t xml:space="preserve"> DoNQ. </w:t>
                            </w:r>
                          </w:p>
                          <w:p w14:paraId="3BEA1463" w14:textId="77777777" w:rsidR="000C465B" w:rsidRDefault="000C465B" w:rsidP="000C4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438B25" id="Text Box 74" o:spid="_x0000_s1053" type="#_x0000_t202" style="position:absolute;margin-left:372pt;margin-top:18.7pt;width:120.75pt;height:244.75pt;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" fillcolor="window" stroked="f" strokeweight=".5pt">
                <v:textbox>
                  <w:txbxContent>
                    <w:p w14:paraId="6F7378B1" w14:textId="77777777" w:rsidR="000C465B" w:rsidRDefault="000C465B" w:rsidP="001F7B3F">
                      <w:pPr>
                        <w:jc w:val="left"/>
                      </w:pPr>
                      <w:r>
                        <w:t>This example</w:t>
                      </w:r>
                      <w:r w:rsidRPr="005E7EEF">
                        <w:t xml:space="preserve"> illustrate</w:t>
                      </w:r>
                      <w:r>
                        <w:t>s</w:t>
                      </w:r>
                      <w:r w:rsidRPr="005E7EEF">
                        <w:t xml:space="preserve"> the inclusion of </w:t>
                      </w:r>
                      <w:r>
                        <w:t xml:space="preserve">a DUE (28 DOSES) in the lower 30% of the PDP which </w:t>
                      </w:r>
                      <w:r w:rsidRPr="00C24F25">
                        <w:rPr>
                          <w:spacing w:val="10"/>
                        </w:rPr>
                        <w:t>provides information</w:t>
                      </w:r>
                      <w:r>
                        <w:t xml:space="preserve"> concerning how many </w:t>
                      </w:r>
                      <w:r w:rsidRPr="00C24F25">
                        <w:rPr>
                          <w:spacing w:val="14"/>
                        </w:rPr>
                        <w:t>derived units the</w:t>
                      </w:r>
                      <w:r w:rsidRPr="00C24F25">
                        <w:rPr>
                          <w:spacing w:val="10"/>
                        </w:rPr>
                        <w:t xml:space="preserve"> package contents can</w:t>
                      </w:r>
                      <w:r>
                        <w:t xml:space="preserve"> make per the package instruction.  The DUE is accurate</w:t>
                      </w:r>
                      <w:r w:rsidRPr="00C24F25">
                        <w:rPr>
                          <w:color w:val="8C3FC5"/>
                        </w:rPr>
                        <w:t xml:space="preserve">, </w:t>
                      </w:r>
                      <w:r w:rsidRPr="00A90DD4">
                        <w:t>verifiable</w:t>
                      </w:r>
                      <w:r>
                        <w:t xml:space="preserve"> and </w:t>
                      </w:r>
                      <w:r w:rsidRPr="00C24F25">
                        <w:rPr>
                          <w:spacing w:val="14"/>
                        </w:rPr>
                        <w:t>separate from the</w:t>
                      </w:r>
                      <w:r>
                        <w:t xml:space="preserve"> DoNQ. </w:t>
                      </w:r>
                    </w:p>
                    <w:p w14:paraId="3BEA1463" w14:textId="77777777" w:rsidR="000C465B" w:rsidRDefault="000C465B" w:rsidP="000C465B"/>
                  </w:txbxContent>
                </v:textbox>
              </v:shape>
            </w:pict>
          </mc:Fallback>
        </mc:AlternateContent>
      </w:r>
      <w:r w:rsidRPr="000C465B">
        <w:rPr>
          <w:sz w:val="22"/>
        </w:rPr>
        <w:t xml:space="preserve"> </w: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465B" w:rsidRPr="000C465B" w14:paraId="3BB5163C" w14:textId="77777777" w:rsidTr="005F0F3E">
        <w:tc>
          <w:tcPr>
            <w:tcW w:w="4675" w:type="dxa"/>
          </w:tcPr>
          <w:p w14:paraId="11527881" w14:textId="77777777" w:rsidR="000C465B" w:rsidRPr="000C465B" w:rsidRDefault="000C465B" w:rsidP="000C465B">
            <w:pPr>
              <w:spacing w:after="0"/>
              <w:jc w:val="center"/>
            </w:pPr>
          </w:p>
        </w:tc>
        <w:tc>
          <w:tcPr>
            <w:tcW w:w="4675" w:type="dxa"/>
          </w:tcPr>
          <w:p w14:paraId="23E5A343" w14:textId="77777777" w:rsidR="000C465B" w:rsidRPr="000C465B" w:rsidRDefault="000C465B" w:rsidP="000C465B">
            <w:pPr>
              <w:spacing w:after="0"/>
              <w:jc w:val="center"/>
            </w:pPr>
          </w:p>
        </w:tc>
      </w:tr>
      <w:tr w:rsidR="000C465B" w:rsidRPr="000C465B" w14:paraId="3330061E" w14:textId="77777777" w:rsidTr="005F0F3E">
        <w:tc>
          <w:tcPr>
            <w:tcW w:w="4675" w:type="dxa"/>
          </w:tcPr>
          <w:p w14:paraId="2D22CDEB" w14:textId="77777777" w:rsidR="000C465B" w:rsidRPr="000C465B" w:rsidRDefault="000C465B" w:rsidP="000C465B">
            <w:pPr>
              <w:spacing w:after="0"/>
              <w:jc w:val="center"/>
            </w:pPr>
          </w:p>
        </w:tc>
        <w:tc>
          <w:tcPr>
            <w:tcW w:w="4675" w:type="dxa"/>
          </w:tcPr>
          <w:p w14:paraId="2B428D35" w14:textId="77777777" w:rsidR="000C465B" w:rsidRPr="000C465B" w:rsidRDefault="000C465B" w:rsidP="000C465B">
            <w:pPr>
              <w:spacing w:after="0"/>
              <w:jc w:val="center"/>
            </w:pPr>
          </w:p>
        </w:tc>
      </w:tr>
      <w:tr w:rsidR="000C465B" w:rsidRPr="000C465B" w14:paraId="3224858B" w14:textId="77777777" w:rsidTr="005F0F3E">
        <w:tc>
          <w:tcPr>
            <w:tcW w:w="4675" w:type="dxa"/>
          </w:tcPr>
          <w:p w14:paraId="54677AE6" w14:textId="77777777" w:rsidR="000C465B" w:rsidRPr="000C465B" w:rsidRDefault="000C465B" w:rsidP="000C465B">
            <w:pPr>
              <w:spacing w:after="0"/>
              <w:jc w:val="center"/>
              <w:rPr>
                <w:noProof/>
              </w:rPr>
            </w:pPr>
          </w:p>
        </w:tc>
        <w:tc>
          <w:tcPr>
            <w:tcW w:w="4675" w:type="dxa"/>
          </w:tcPr>
          <w:p w14:paraId="20E2A6C5" w14:textId="77777777" w:rsidR="000C465B" w:rsidRPr="000C465B" w:rsidRDefault="000C465B" w:rsidP="000C465B">
            <w:pPr>
              <w:spacing w:after="0"/>
              <w:jc w:val="center"/>
              <w:rPr>
                <w:noProof/>
              </w:rPr>
            </w:pPr>
          </w:p>
        </w:tc>
      </w:tr>
      <w:tr w:rsidR="000C465B" w:rsidRPr="000C465B" w14:paraId="6A7F32C2" w14:textId="77777777" w:rsidTr="005F0F3E">
        <w:tc>
          <w:tcPr>
            <w:tcW w:w="4675" w:type="dxa"/>
          </w:tcPr>
          <w:p w14:paraId="3E240541" w14:textId="77777777" w:rsidR="000C465B" w:rsidRPr="000C465B" w:rsidRDefault="000C465B" w:rsidP="000C465B">
            <w:pPr>
              <w:spacing w:after="0"/>
              <w:jc w:val="center"/>
              <w:rPr>
                <w:noProof/>
              </w:rPr>
            </w:pPr>
          </w:p>
        </w:tc>
        <w:tc>
          <w:tcPr>
            <w:tcW w:w="4675" w:type="dxa"/>
          </w:tcPr>
          <w:p w14:paraId="06EA6DB3" w14:textId="77777777" w:rsidR="000C465B" w:rsidRPr="000C465B" w:rsidRDefault="000C465B" w:rsidP="000C465B">
            <w:pPr>
              <w:spacing w:after="0"/>
              <w:jc w:val="center"/>
              <w:rPr>
                <w:noProof/>
              </w:rPr>
            </w:pPr>
          </w:p>
        </w:tc>
      </w:tr>
      <w:tr w:rsidR="000C465B" w:rsidRPr="000C465B" w14:paraId="0E35253C" w14:textId="77777777" w:rsidTr="005F0F3E">
        <w:tc>
          <w:tcPr>
            <w:tcW w:w="4675" w:type="dxa"/>
          </w:tcPr>
          <w:p w14:paraId="2CCB284D" w14:textId="77777777" w:rsidR="000C465B" w:rsidRPr="000C465B" w:rsidRDefault="000C465B" w:rsidP="000C465B">
            <w:pPr>
              <w:spacing w:after="0"/>
              <w:jc w:val="center"/>
              <w:rPr>
                <w:noProof/>
              </w:rPr>
            </w:pPr>
          </w:p>
        </w:tc>
        <w:tc>
          <w:tcPr>
            <w:tcW w:w="4675" w:type="dxa"/>
          </w:tcPr>
          <w:p w14:paraId="08D5D410" w14:textId="77777777" w:rsidR="000C465B" w:rsidRPr="000C465B" w:rsidRDefault="000C465B" w:rsidP="000C465B">
            <w:pPr>
              <w:spacing w:after="0"/>
              <w:jc w:val="center"/>
              <w:rPr>
                <w:noProof/>
              </w:rPr>
            </w:pPr>
          </w:p>
        </w:tc>
      </w:tr>
    </w:tbl>
    <w:p w14:paraId="27E223D9" w14:textId="77777777" w:rsidR="000C465B" w:rsidRPr="000C465B" w:rsidRDefault="000C465B" w:rsidP="000C465B">
      <w:pPr>
        <w:spacing w:after="200" w:line="276" w:lineRule="auto"/>
        <w:jc w:val="left"/>
        <w:rPr>
          <w:sz w:val="22"/>
        </w:rPr>
      </w:pPr>
      <w:r w:rsidRPr="000C465B">
        <w:rPr>
          <w:noProof/>
          <w:sz w:val="22"/>
        </w:rPr>
        <mc:AlternateContent>
          <mc:Choice Requires="wps">
            <w:drawing>
              <wp:anchor distT="0" distB="0" distL="114300" distR="114300" simplePos="0" relativeHeight="251658302" behindDoc="0" locked="0" layoutInCell="1" allowOverlap="1" wp14:anchorId="4574BD7B" wp14:editId="676871D1">
                <wp:simplePos x="0" y="0"/>
                <wp:positionH relativeFrom="column">
                  <wp:posOffset>-104775</wp:posOffset>
                </wp:positionH>
                <wp:positionV relativeFrom="paragraph">
                  <wp:posOffset>104140</wp:posOffset>
                </wp:positionV>
                <wp:extent cx="4743450" cy="1209675"/>
                <wp:effectExtent l="0" t="0" r="0" b="9525"/>
                <wp:wrapNone/>
                <wp:docPr id="90944997" name="Text Box 73"/>
                <wp:cNvGraphicFramePr/>
                <a:graphic xmlns:a="http://schemas.openxmlformats.org/drawingml/2006/main">
                  <a:graphicData uri="http://schemas.microsoft.com/office/word/2010/wordprocessingShape">
                    <wps:wsp>
                      <wps:cNvSpPr txBox="1"/>
                      <wps:spPr>
                        <a:xfrm>
                          <a:off x="0" y="0"/>
                          <a:ext cx="4743450" cy="1209675"/>
                        </a:xfrm>
                        <a:prstGeom prst="rect">
                          <a:avLst/>
                        </a:prstGeom>
                        <a:solidFill>
                          <a:sysClr val="window" lastClr="FFFFFF"/>
                        </a:solidFill>
                        <a:ln w="6350">
                          <a:noFill/>
                        </a:ln>
                      </wps:spPr>
                      <wps:txbx>
                        <w:txbxContent>
                          <w:p w14:paraId="5948E5EB" w14:textId="77777777" w:rsidR="000C465B" w:rsidRPr="00A90DD4" w:rsidRDefault="000C465B" w:rsidP="000C465B">
                            <w:pPr>
                              <w:spacing w:after="120"/>
                            </w:pPr>
                            <w:r w:rsidRPr="00A90DD4">
                              <w:t xml:space="preserve">This example includes the PDP and a statement from elsewhere on the package label. In this case, the PDP shows the inclusion of a DUE (20 LOADS) in the upper 70% of the PDP which provides information concerning how many derived units (LOADS) the package contents can deliver. The PDP of this package adheres to the principles for DUEs contained in this Document. </w:t>
                            </w:r>
                          </w:p>
                          <w:p w14:paraId="668B8A33" w14:textId="233BB31F" w:rsidR="000C465B" w:rsidRPr="001F7B3F" w:rsidRDefault="000C465B" w:rsidP="000C465B">
                            <w:pPr>
                              <w:rPr>
                                <w:spacing w:val="-4"/>
                              </w:rPr>
                            </w:pPr>
                            <w:r w:rsidRPr="00A90DD4">
                              <w:t xml:space="preserve">One requirement for DUEs is that there must be a derived unit definition (which </w:t>
                            </w:r>
                            <w:r w:rsidRPr="00C24F25">
                              <w:rPr>
                                <w:spacing w:val="-4"/>
                              </w:rPr>
                              <w:t>is clear and verifiable) someplace else on the package labeling. See examples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4BD7B" id="Text Box 73" o:spid="_x0000_s1054" type="#_x0000_t202" style="position:absolute;margin-left:-8.25pt;margin-top:8.2pt;width:373.5pt;height:95.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" fillcolor="window" stroked="f" strokeweight=".5pt">
                <v:textbox>
                  <w:txbxContent>
                    <w:p w14:paraId="5948E5EB" w14:textId="77777777" w:rsidR="000C465B" w:rsidRPr="00A90DD4" w:rsidRDefault="000C465B" w:rsidP="000C465B">
                      <w:pPr>
                        <w:spacing w:after="120"/>
                      </w:pPr>
                      <w:r w:rsidRPr="00A90DD4">
                        <w:t xml:space="preserve">This example includes the PDP and a statement from elsewhere on the package label. In this case, the PDP shows the inclusion of a DUE (20 LOADS) in the upper 70% of the PDP which provides information concerning how many derived units (LOADS) the package contents can deliver. The PDP of this package adheres to the principles for DUEs contained in this Document. </w:t>
                      </w:r>
                    </w:p>
                    <w:p w14:paraId="668B8A33" w14:textId="233BB31F" w:rsidR="000C465B" w:rsidRPr="001F7B3F" w:rsidRDefault="000C465B" w:rsidP="000C465B">
                      <w:pPr>
                        <w:rPr>
                          <w:spacing w:val="-4"/>
                        </w:rPr>
                      </w:pPr>
                      <w:r w:rsidRPr="00A90DD4">
                        <w:t xml:space="preserve">One requirement for DUEs is that there must be a derived unit definition (which </w:t>
                      </w:r>
                      <w:r w:rsidRPr="00C24F25">
                        <w:rPr>
                          <w:spacing w:val="-4"/>
                        </w:rPr>
                        <w:t>is clear and verifiable) someplace else on the package labeling. See examples below.</w:t>
                      </w:r>
                    </w:p>
                  </w:txbxContent>
                </v:textbox>
              </v:shape>
            </w:pict>
          </mc:Fallback>
        </mc:AlternateContent>
      </w:r>
    </w:p>
    <w:p w14:paraId="29860663" w14:textId="77777777" w:rsidR="000C465B" w:rsidRPr="000C465B" w:rsidRDefault="000C465B" w:rsidP="000C465B">
      <w:pPr>
        <w:spacing w:after="0"/>
        <w:ind w:left="720"/>
        <w:contextualSpacing/>
        <w:jc w:val="left"/>
        <w:rPr>
          <w:rFonts w:eastAsia="Times New Roman"/>
          <w:sz w:val="24"/>
          <w:szCs w:val="24"/>
        </w:rPr>
      </w:pPr>
    </w:p>
    <w:p w14:paraId="15AFD38B" w14:textId="77777777" w:rsidR="000C465B" w:rsidRPr="000C465B" w:rsidRDefault="000C465B" w:rsidP="000C465B">
      <w:pPr>
        <w:spacing w:after="0"/>
        <w:ind w:left="720"/>
        <w:contextualSpacing/>
        <w:jc w:val="left"/>
        <w:rPr>
          <w:rFonts w:eastAsia="Times New Roman"/>
          <w:sz w:val="24"/>
          <w:szCs w:val="24"/>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465B" w:rsidRPr="000C465B" w14:paraId="5CD894D8" w14:textId="77777777" w:rsidTr="005F0F3E">
        <w:tc>
          <w:tcPr>
            <w:tcW w:w="4675" w:type="dxa"/>
          </w:tcPr>
          <w:p w14:paraId="15532B3A" w14:textId="77777777" w:rsidR="000C465B" w:rsidRPr="000C465B" w:rsidRDefault="000C465B" w:rsidP="000C465B">
            <w:pPr>
              <w:spacing w:after="0"/>
              <w:jc w:val="center"/>
              <w:rPr>
                <w:b/>
                <w:bCs/>
              </w:rPr>
            </w:pPr>
          </w:p>
        </w:tc>
        <w:tc>
          <w:tcPr>
            <w:tcW w:w="4675" w:type="dxa"/>
          </w:tcPr>
          <w:p w14:paraId="32AE1E99" w14:textId="77777777" w:rsidR="000C465B" w:rsidRPr="000C465B" w:rsidRDefault="000C465B" w:rsidP="000C465B">
            <w:pPr>
              <w:spacing w:after="0"/>
              <w:jc w:val="center"/>
              <w:rPr>
                <w:b/>
                <w:bCs/>
              </w:rPr>
            </w:pPr>
          </w:p>
        </w:tc>
      </w:tr>
      <w:tr w:rsidR="000C465B" w:rsidRPr="000C465B" w14:paraId="34223C47" w14:textId="77777777" w:rsidTr="005F0F3E">
        <w:tc>
          <w:tcPr>
            <w:tcW w:w="4675" w:type="dxa"/>
          </w:tcPr>
          <w:p w14:paraId="7BD30452" w14:textId="77777777" w:rsidR="000C465B" w:rsidRPr="000C465B" w:rsidRDefault="000C465B" w:rsidP="000C465B">
            <w:pPr>
              <w:spacing w:after="0"/>
              <w:jc w:val="center"/>
              <w:rPr>
                <w:b/>
                <w:bCs/>
              </w:rPr>
            </w:pPr>
          </w:p>
        </w:tc>
        <w:tc>
          <w:tcPr>
            <w:tcW w:w="4675" w:type="dxa"/>
          </w:tcPr>
          <w:p w14:paraId="6959C688" w14:textId="77777777" w:rsidR="000C465B" w:rsidRPr="000C465B" w:rsidRDefault="000C465B" w:rsidP="000C465B">
            <w:pPr>
              <w:spacing w:after="0"/>
              <w:jc w:val="left"/>
              <w:rPr>
                <w:b/>
                <w:bCs/>
              </w:rPr>
            </w:pPr>
          </w:p>
        </w:tc>
      </w:tr>
    </w:tbl>
    <w:p w14:paraId="206F46B6" w14:textId="77777777" w:rsidR="000C465B" w:rsidRPr="000C465B" w:rsidRDefault="000C465B" w:rsidP="000C465B">
      <w:pPr>
        <w:spacing w:after="200" w:line="276" w:lineRule="auto"/>
        <w:jc w:val="left"/>
        <w:rPr>
          <w:b/>
          <w:bCs/>
          <w:sz w:val="22"/>
        </w:rPr>
      </w:pPr>
    </w:p>
    <w:p w14:paraId="67F88291" w14:textId="3E63379A" w:rsidR="000C465B" w:rsidRPr="000C465B" w:rsidRDefault="001F7B3F" w:rsidP="000C465B">
      <w:pPr>
        <w:spacing w:after="200" w:line="276" w:lineRule="auto"/>
        <w:jc w:val="left"/>
        <w:rPr>
          <w:noProof/>
          <w:sz w:val="22"/>
        </w:rPr>
      </w:pPr>
      <w:r w:rsidRPr="000C465B">
        <w:rPr>
          <w:noProof/>
          <w:sz w:val="22"/>
        </w:rPr>
        <mc:AlternateContent>
          <mc:Choice Requires="wps">
            <w:drawing>
              <wp:anchor distT="0" distB="0" distL="114300" distR="114300" simplePos="0" relativeHeight="251658304" behindDoc="0" locked="0" layoutInCell="1" allowOverlap="1" wp14:anchorId="0E3AE9B1" wp14:editId="5388831F">
                <wp:simplePos x="0" y="0"/>
                <wp:positionH relativeFrom="column">
                  <wp:posOffset>2381250</wp:posOffset>
                </wp:positionH>
                <wp:positionV relativeFrom="paragraph">
                  <wp:posOffset>47625</wp:posOffset>
                </wp:positionV>
                <wp:extent cx="2286000" cy="714375"/>
                <wp:effectExtent l="0" t="0" r="0" b="0"/>
                <wp:wrapNone/>
                <wp:docPr id="1923930839" name="Text Box 74"/>
                <wp:cNvGraphicFramePr/>
                <a:graphic xmlns:a="http://schemas.openxmlformats.org/drawingml/2006/main">
                  <a:graphicData uri="http://schemas.microsoft.com/office/word/2010/wordprocessingShape">
                    <wps:wsp>
                      <wps:cNvSpPr txBox="1"/>
                      <wps:spPr>
                        <a:xfrm>
                          <a:off x="0" y="0"/>
                          <a:ext cx="2286000" cy="714375"/>
                        </a:xfrm>
                        <a:prstGeom prst="rect">
                          <a:avLst/>
                        </a:prstGeom>
                        <a:noFill/>
                        <a:ln w="6350">
                          <a:noFill/>
                        </a:ln>
                      </wps:spPr>
                      <wps:txbx>
                        <w:txbxContent>
                          <w:p w14:paraId="4068BACF" w14:textId="77777777" w:rsidR="000C465B" w:rsidRPr="00517244" w:rsidRDefault="000C465B" w:rsidP="000C465B">
                            <w:pPr>
                              <w:spacing w:after="0"/>
                              <w:rPr>
                                <w:b/>
                                <w:color w:val="EE0000"/>
                                <w:sz w:val="36"/>
                                <w:szCs w:val="36"/>
                              </w:rPr>
                            </w:pPr>
                            <w:r w:rsidRPr="00517244">
                              <w:rPr>
                                <w:b/>
                                <w:color w:val="EE0000"/>
                                <w:sz w:val="36"/>
                                <w:szCs w:val="36"/>
                              </w:rPr>
                              <w:t>PROBLEMATIC</w:t>
                            </w:r>
                          </w:p>
                          <w:p w14:paraId="0CD36D72" w14:textId="77777777" w:rsidR="000C465B" w:rsidRPr="00A90DD4" w:rsidRDefault="000C465B" w:rsidP="000C465B">
                            <w:pPr>
                              <w:spacing w:after="0"/>
                            </w:pPr>
                            <w:r w:rsidRPr="00A90DD4">
                              <w:t xml:space="preserve">In this example, the derived unit is </w:t>
                            </w:r>
                            <w:r w:rsidRPr="00C24F25">
                              <w:rPr>
                                <w:spacing w:val="14"/>
                              </w:rPr>
                              <w:t>not clearly defined and is not</w:t>
                            </w:r>
                            <w:r w:rsidRPr="00A90DD4">
                              <w:t xml:space="preserve"> verifiable.</w:t>
                            </w:r>
                          </w:p>
                          <w:p w14:paraId="261A6484" w14:textId="77777777" w:rsidR="000C465B" w:rsidRDefault="000C465B" w:rsidP="000C4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AE9B1" id="_x0000_s1055" type="#_x0000_t202" style="position:absolute;margin-left:187.5pt;margin-top:3.75pt;width:180pt;height:56.2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eXHAIAADQ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" filled="f" stroked="f" strokeweight=".5pt">
                <v:textbox>
                  <w:txbxContent>
                    <w:p w14:paraId="4068BACF" w14:textId="77777777" w:rsidR="000C465B" w:rsidRPr="00517244" w:rsidRDefault="000C465B" w:rsidP="000C465B">
                      <w:pPr>
                        <w:spacing w:after="0"/>
                        <w:rPr>
                          <w:b/>
                          <w:color w:val="EE0000"/>
                          <w:sz w:val="36"/>
                          <w:szCs w:val="36"/>
                        </w:rPr>
                      </w:pPr>
                      <w:r w:rsidRPr="00517244">
                        <w:rPr>
                          <w:b/>
                          <w:color w:val="EE0000"/>
                          <w:sz w:val="36"/>
                          <w:szCs w:val="36"/>
                        </w:rPr>
                        <w:t>PROBLEMATIC</w:t>
                      </w:r>
                    </w:p>
                    <w:p w14:paraId="0CD36D72" w14:textId="77777777" w:rsidR="000C465B" w:rsidRPr="00A90DD4" w:rsidRDefault="000C465B" w:rsidP="000C465B">
                      <w:pPr>
                        <w:spacing w:after="0"/>
                      </w:pPr>
                      <w:r w:rsidRPr="00A90DD4">
                        <w:t xml:space="preserve">In this example, the derived unit is </w:t>
                      </w:r>
                      <w:r w:rsidRPr="00C24F25">
                        <w:rPr>
                          <w:spacing w:val="14"/>
                        </w:rPr>
                        <w:t>not clearly defined and is not</w:t>
                      </w:r>
                      <w:r w:rsidRPr="00A90DD4">
                        <w:t xml:space="preserve"> verifiable.</w:t>
                      </w:r>
                    </w:p>
                    <w:p w14:paraId="261A6484" w14:textId="77777777" w:rsidR="000C465B" w:rsidRDefault="000C465B" w:rsidP="000C465B"/>
                  </w:txbxContent>
                </v:textbox>
              </v:shape>
            </w:pict>
          </mc:Fallback>
        </mc:AlternateContent>
      </w:r>
      <w:r w:rsidR="000C465B" w:rsidRPr="000C465B">
        <w:rPr>
          <w:noProof/>
          <w:sz w:val="22"/>
        </w:rPr>
        <mc:AlternateContent>
          <mc:Choice Requires="wps">
            <w:drawing>
              <wp:anchor distT="0" distB="0" distL="114300" distR="114300" simplePos="0" relativeHeight="251658241" behindDoc="0" locked="0" layoutInCell="1" allowOverlap="1" wp14:anchorId="54D8596E" wp14:editId="1D00844D">
                <wp:simplePos x="0" y="0"/>
                <wp:positionH relativeFrom="column">
                  <wp:posOffset>-47625</wp:posOffset>
                </wp:positionH>
                <wp:positionV relativeFrom="paragraph">
                  <wp:posOffset>47625</wp:posOffset>
                </wp:positionV>
                <wp:extent cx="2286000" cy="1352550"/>
                <wp:effectExtent l="0" t="0" r="0" b="0"/>
                <wp:wrapNone/>
                <wp:docPr id="259137912" name="Text Box 74"/>
                <wp:cNvGraphicFramePr/>
                <a:graphic xmlns:a="http://schemas.openxmlformats.org/drawingml/2006/main">
                  <a:graphicData uri="http://schemas.microsoft.com/office/word/2010/wordprocessingShape">
                    <wps:wsp>
                      <wps:cNvSpPr txBox="1"/>
                      <wps:spPr>
                        <a:xfrm>
                          <a:off x="0" y="0"/>
                          <a:ext cx="2286000" cy="1352550"/>
                        </a:xfrm>
                        <a:prstGeom prst="rect">
                          <a:avLst/>
                        </a:prstGeom>
                        <a:noFill/>
                        <a:ln w="6350">
                          <a:noFill/>
                        </a:ln>
                      </wps:spPr>
                      <wps:txbx>
                        <w:txbxContent>
                          <w:p w14:paraId="7B8C7DFD" w14:textId="77777777" w:rsidR="000C465B" w:rsidRPr="00517244" w:rsidRDefault="000C465B" w:rsidP="000C465B">
                            <w:pPr>
                              <w:spacing w:after="0"/>
                              <w:rPr>
                                <w:b/>
                                <w:color w:val="00B050"/>
                                <w:sz w:val="36"/>
                                <w:szCs w:val="36"/>
                              </w:rPr>
                            </w:pPr>
                            <w:r w:rsidRPr="00517244">
                              <w:rPr>
                                <w:b/>
                                <w:color w:val="00B050"/>
                                <w:sz w:val="36"/>
                                <w:szCs w:val="36"/>
                              </w:rPr>
                              <w:t>PREFERRED</w:t>
                            </w:r>
                          </w:p>
                          <w:p w14:paraId="57CA4C5E" w14:textId="77777777" w:rsidR="000C465B" w:rsidRDefault="000C465B" w:rsidP="000C465B">
                            <w:pPr>
                              <w:spacing w:after="0"/>
                              <w:rPr>
                                <w:spacing w:val="-3"/>
                              </w:rPr>
                            </w:pPr>
                            <w:r w:rsidRPr="00A90DD4">
                              <w:t xml:space="preserve">In this example, the derived unit is </w:t>
                            </w:r>
                            <w:r w:rsidRPr="00C24F25">
                              <w:rPr>
                                <w:spacing w:val="14"/>
                              </w:rPr>
                              <w:t>defined to be 8 fluid ounces of</w:t>
                            </w:r>
                            <w:r w:rsidRPr="00A90DD4">
                              <w:t xml:space="preserve"> </w:t>
                            </w:r>
                            <w:r w:rsidRPr="00C24F25">
                              <w:rPr>
                                <w:spacing w:val="-3"/>
                              </w:rPr>
                              <w:t xml:space="preserve">detergent. This is clear and verifiable. </w:t>
                            </w:r>
                          </w:p>
                          <w:p w14:paraId="06E09CED" w14:textId="77777777" w:rsidR="000C465B" w:rsidRDefault="000C465B" w:rsidP="000C4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8596E" id="_x0000_s1056" type="#_x0000_t202" style="position:absolute;margin-left:-3.75pt;margin-top:3.75pt;width:180pt;height:10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" filled="f" stroked="f" strokeweight=".5pt">
                <v:textbox>
                  <w:txbxContent>
                    <w:p w14:paraId="7B8C7DFD" w14:textId="77777777" w:rsidR="000C465B" w:rsidRPr="00517244" w:rsidRDefault="000C465B" w:rsidP="000C465B">
                      <w:pPr>
                        <w:spacing w:after="0"/>
                        <w:rPr>
                          <w:b/>
                          <w:color w:val="00B050"/>
                          <w:sz w:val="36"/>
                          <w:szCs w:val="36"/>
                        </w:rPr>
                      </w:pPr>
                      <w:r w:rsidRPr="00517244">
                        <w:rPr>
                          <w:b/>
                          <w:color w:val="00B050"/>
                          <w:sz w:val="36"/>
                          <w:szCs w:val="36"/>
                        </w:rPr>
                        <w:t>PREFERRED</w:t>
                      </w:r>
                    </w:p>
                    <w:p w14:paraId="57CA4C5E" w14:textId="77777777" w:rsidR="000C465B" w:rsidRDefault="000C465B" w:rsidP="000C465B">
                      <w:pPr>
                        <w:spacing w:after="0"/>
                        <w:rPr>
                          <w:spacing w:val="-3"/>
                        </w:rPr>
                      </w:pPr>
                      <w:r w:rsidRPr="00A90DD4">
                        <w:t xml:space="preserve">In this example, the derived unit is </w:t>
                      </w:r>
                      <w:r w:rsidRPr="00C24F25">
                        <w:rPr>
                          <w:spacing w:val="14"/>
                        </w:rPr>
                        <w:t>defined to be 8 fluid ounces of</w:t>
                      </w:r>
                      <w:r w:rsidRPr="00A90DD4">
                        <w:t xml:space="preserve"> </w:t>
                      </w:r>
                      <w:r w:rsidRPr="00C24F25">
                        <w:rPr>
                          <w:spacing w:val="-3"/>
                        </w:rPr>
                        <w:t xml:space="preserve">detergent. This is clear and verifiable. </w:t>
                      </w:r>
                    </w:p>
                    <w:p w14:paraId="06E09CED" w14:textId="77777777" w:rsidR="000C465B" w:rsidRDefault="000C465B" w:rsidP="000C465B"/>
                  </w:txbxContent>
                </v:textbox>
              </v:shape>
            </w:pict>
          </mc:Fallback>
        </mc:AlternateContent>
      </w:r>
      <w:r w:rsidR="000C465B" w:rsidRPr="000C465B">
        <w:rPr>
          <w:noProof/>
          <w:sz w:val="22"/>
        </w:rPr>
        <w:t xml:space="preserve"> </w:t>
      </w:r>
    </w:p>
    <w:p w14:paraId="43B5D555" w14:textId="77777777" w:rsidR="000C465B" w:rsidRPr="000C465B" w:rsidRDefault="000C465B" w:rsidP="000C465B">
      <w:pPr>
        <w:spacing w:after="200" w:line="276" w:lineRule="auto"/>
        <w:jc w:val="left"/>
        <w:rPr>
          <w:noProof/>
          <w:sz w:val="22"/>
        </w:rPr>
      </w:pPr>
    </w:p>
    <w:p w14:paraId="31C603DC" w14:textId="4278A554" w:rsidR="000C465B" w:rsidRPr="000C465B" w:rsidRDefault="001F7B3F" w:rsidP="000C465B">
      <w:pPr>
        <w:spacing w:after="200" w:line="276" w:lineRule="auto"/>
        <w:jc w:val="left"/>
        <w:rPr>
          <w:noProof/>
          <w:sz w:val="22"/>
        </w:rPr>
      </w:pPr>
      <w:r w:rsidRPr="000C465B">
        <w:rPr>
          <w:noProof/>
          <w:sz w:val="22"/>
        </w:rPr>
        <mc:AlternateContent>
          <mc:Choice Requires="wps">
            <w:drawing>
              <wp:anchor distT="0" distB="0" distL="114300" distR="114300" simplePos="0" relativeHeight="251658242" behindDoc="0" locked="0" layoutInCell="1" allowOverlap="1" wp14:anchorId="2F7C7FAE" wp14:editId="22E192BB">
                <wp:simplePos x="0" y="0"/>
                <wp:positionH relativeFrom="column">
                  <wp:posOffset>-48260</wp:posOffset>
                </wp:positionH>
                <wp:positionV relativeFrom="paragraph">
                  <wp:posOffset>312420</wp:posOffset>
                </wp:positionV>
                <wp:extent cx="2011045" cy="638175"/>
                <wp:effectExtent l="0" t="0" r="27305" b="28575"/>
                <wp:wrapNone/>
                <wp:docPr id="975718740" name="Rectangle 78"/>
                <wp:cNvGraphicFramePr/>
                <a:graphic xmlns:a="http://schemas.openxmlformats.org/drawingml/2006/main">
                  <a:graphicData uri="http://schemas.microsoft.com/office/word/2010/wordprocessingShape">
                    <wps:wsp>
                      <wps:cNvSpPr/>
                      <wps:spPr>
                        <a:xfrm>
                          <a:off x="0" y="0"/>
                          <a:ext cx="2011045" cy="638175"/>
                        </a:xfrm>
                        <a:prstGeom prst="rect">
                          <a:avLst/>
                        </a:prstGeom>
                        <a:solidFill>
                          <a:srgbClr val="8064A2"/>
                        </a:solidFill>
                        <a:ln w="12700" cap="flat" cmpd="sng" algn="ctr">
                          <a:solidFill>
                            <a:srgbClr val="4F81BD">
                              <a:shade val="15000"/>
                            </a:srgbClr>
                          </a:solidFill>
                          <a:prstDash val="solid"/>
                        </a:ln>
                        <a:effectLst/>
                      </wps:spPr>
                      <wps:txbx>
                        <w:txbxContent>
                          <w:p w14:paraId="20321FBE" w14:textId="77777777" w:rsidR="000C465B" w:rsidRPr="00C24F25" w:rsidRDefault="000C465B" w:rsidP="000C465B">
                            <w:pPr>
                              <w:jc w:val="center"/>
                              <w:rPr>
                                <w:b/>
                                <w:bCs/>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C7FAE" id="Rectangle 78" o:spid="_x0000_s1057" style="position:absolute;margin-left:-3.8pt;margin-top:24.6pt;width:158.35pt;height:5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" fillcolor="#8064a2" strokecolor="#1c334e" strokeweight="1pt">
                <v:textbox>
                  <w:txbxContent>
                    <w:p w14:paraId="20321FBE" w14:textId="77777777" w:rsidR="000C465B" w:rsidRPr="00C24F25" w:rsidRDefault="000C465B" w:rsidP="000C465B">
                      <w:pPr>
                        <w:jc w:val="center"/>
                        <w:rPr>
                          <w:b/>
                          <w:bCs/>
                          <w:szCs w:val="20"/>
                        </w:rPr>
                      </w:pPr>
                    </w:p>
                  </w:txbxContent>
                </v:textbox>
              </v:rect>
            </w:pict>
          </mc:Fallback>
        </mc:AlternateContent>
      </w:r>
      <w:r w:rsidRPr="000C465B">
        <w:rPr>
          <w:noProof/>
          <w:sz w:val="22"/>
        </w:rPr>
        <mc:AlternateContent>
          <mc:Choice Requires="wps">
            <w:drawing>
              <wp:anchor distT="0" distB="0" distL="114300" distR="114300" simplePos="0" relativeHeight="251658308" behindDoc="0" locked="0" layoutInCell="1" allowOverlap="1" wp14:anchorId="4BD8AD75" wp14:editId="158308C1">
                <wp:simplePos x="0" y="0"/>
                <wp:positionH relativeFrom="column">
                  <wp:posOffset>2333625</wp:posOffset>
                </wp:positionH>
                <wp:positionV relativeFrom="paragraph">
                  <wp:posOffset>205105</wp:posOffset>
                </wp:positionV>
                <wp:extent cx="2419350" cy="504825"/>
                <wp:effectExtent l="0" t="0" r="0" b="0"/>
                <wp:wrapNone/>
                <wp:docPr id="1137949961" name="Text Box 79"/>
                <wp:cNvGraphicFramePr/>
                <a:graphic xmlns:a="http://schemas.openxmlformats.org/drawingml/2006/main">
                  <a:graphicData uri="http://schemas.microsoft.com/office/word/2010/wordprocessingShape">
                    <wps:wsp>
                      <wps:cNvSpPr txBox="1"/>
                      <wps:spPr>
                        <a:xfrm>
                          <a:off x="0" y="0"/>
                          <a:ext cx="2419350" cy="504825"/>
                        </a:xfrm>
                        <a:prstGeom prst="rect">
                          <a:avLst/>
                        </a:prstGeom>
                        <a:noFill/>
                        <a:ln w="6350">
                          <a:noFill/>
                        </a:ln>
                      </wps:spPr>
                      <wps:txbx>
                        <w:txbxContent>
                          <w:p w14:paraId="4B8D3710" w14:textId="77777777" w:rsidR="000C465B" w:rsidRPr="000C465B" w:rsidRDefault="000C465B" w:rsidP="000C465B">
                            <w:pPr>
                              <w:spacing w:before="100" w:beforeAutospacing="1" w:after="0"/>
                              <w:jc w:val="center"/>
                              <w:rPr>
                                <w:rFonts w:cs="Calibri"/>
                                <w:b/>
                                <w:bCs/>
                                <w:color w:val="FFFFFF"/>
                                <w:spacing w:val="-4"/>
                                <w:szCs w:val="20"/>
                              </w:rPr>
                            </w:pPr>
                            <w:r w:rsidRPr="000C465B">
                              <w:rPr>
                                <w:rFonts w:cs="Calibri"/>
                                <w:b/>
                                <w:bCs/>
                                <w:color w:val="FFFFFF"/>
                                <w:spacing w:val="-4"/>
                                <w:szCs w:val="20"/>
                              </w:rPr>
                              <w:t>USE APPROXIMATELY ONE CUP OF DETERGENT FOR YOUR LAUNDRY 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AD75" id="Text Box 79" o:spid="_x0000_s1058" type="#_x0000_t202" style="position:absolute;margin-left:183.75pt;margin-top:16.15pt;width:190.5pt;height:39.7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" filled="f" stroked="f" strokeweight=".5pt">
                <v:textbox>
                  <w:txbxContent>
                    <w:p w14:paraId="4B8D3710" w14:textId="77777777" w:rsidR="000C465B" w:rsidRPr="000C465B" w:rsidRDefault="000C465B" w:rsidP="000C465B">
                      <w:pPr>
                        <w:spacing w:before="100" w:beforeAutospacing="1" w:after="0"/>
                        <w:jc w:val="center"/>
                        <w:rPr>
                          <w:rFonts w:cs="Calibri"/>
                          <w:b/>
                          <w:bCs/>
                          <w:color w:val="FFFFFF"/>
                          <w:spacing w:val="-4"/>
                          <w:szCs w:val="20"/>
                        </w:rPr>
                      </w:pPr>
                      <w:r w:rsidRPr="000C465B">
                        <w:rPr>
                          <w:rFonts w:cs="Calibri"/>
                          <w:b/>
                          <w:bCs/>
                          <w:color w:val="FFFFFF"/>
                          <w:spacing w:val="-4"/>
                          <w:szCs w:val="20"/>
                        </w:rPr>
                        <w:t>USE APPROXIMATELY ONE CUP OF DETERGENT FOR YOUR LAUNDRY LOAD</w:t>
                      </w:r>
                    </w:p>
                  </w:txbxContent>
                </v:textbox>
              </v:shape>
            </w:pict>
          </mc:Fallback>
        </mc:AlternateContent>
      </w:r>
      <w:r w:rsidRPr="000C465B">
        <w:rPr>
          <w:noProof/>
          <w:sz w:val="22"/>
        </w:rPr>
        <mc:AlternateContent>
          <mc:Choice Requires="wps">
            <w:drawing>
              <wp:anchor distT="0" distB="0" distL="114300" distR="114300" simplePos="0" relativeHeight="251658240" behindDoc="0" locked="0" layoutInCell="1" allowOverlap="1" wp14:anchorId="46A448C3" wp14:editId="1D40D453">
                <wp:simplePos x="0" y="0"/>
                <wp:positionH relativeFrom="column">
                  <wp:posOffset>2381250</wp:posOffset>
                </wp:positionH>
                <wp:positionV relativeFrom="paragraph">
                  <wp:posOffset>138430</wp:posOffset>
                </wp:positionV>
                <wp:extent cx="2343150" cy="631190"/>
                <wp:effectExtent l="0" t="0" r="19050" b="16510"/>
                <wp:wrapNone/>
                <wp:docPr id="483358105" name="Rectangle 78"/>
                <wp:cNvGraphicFramePr/>
                <a:graphic xmlns:a="http://schemas.openxmlformats.org/drawingml/2006/main">
                  <a:graphicData uri="http://schemas.microsoft.com/office/word/2010/wordprocessingShape">
                    <wps:wsp>
                      <wps:cNvSpPr/>
                      <wps:spPr>
                        <a:xfrm>
                          <a:off x="0" y="0"/>
                          <a:ext cx="2343150" cy="631190"/>
                        </a:xfrm>
                        <a:prstGeom prst="rect">
                          <a:avLst/>
                        </a:prstGeom>
                        <a:solidFill>
                          <a:srgbClr val="8064A2"/>
                        </a:solidFill>
                        <a:ln w="12700" cap="flat" cmpd="sng" algn="ctr">
                          <a:solidFill>
                            <a:srgbClr val="4F81BD">
                              <a:shade val="15000"/>
                            </a:srgbClr>
                          </a:solidFill>
                          <a:prstDash val="solid"/>
                        </a:ln>
                        <a:effectLst/>
                      </wps:spPr>
                      <wps:txbx>
                        <w:txbxContent>
                          <w:p w14:paraId="333A1CEB" w14:textId="77777777" w:rsidR="000C465B" w:rsidRPr="00C24F25" w:rsidRDefault="000C465B" w:rsidP="000C465B">
                            <w:pPr>
                              <w:jc w:val="center"/>
                              <w:rPr>
                                <w:b/>
                                <w:bCs/>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448C3" id="_x0000_s1059" style="position:absolute;margin-left:187.5pt;margin-top:10.9pt;width:184.5pt;height:4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" fillcolor="#8064a2" strokecolor="#1c334e" strokeweight="1pt">
                <v:textbox>
                  <w:txbxContent>
                    <w:p w14:paraId="333A1CEB" w14:textId="77777777" w:rsidR="000C465B" w:rsidRPr="00C24F25" w:rsidRDefault="000C465B" w:rsidP="000C465B">
                      <w:pPr>
                        <w:jc w:val="center"/>
                        <w:rPr>
                          <w:b/>
                          <w:bCs/>
                          <w:szCs w:val="20"/>
                        </w:rPr>
                      </w:pPr>
                    </w:p>
                  </w:txbxContent>
                </v:textbox>
              </v:rect>
            </w:pict>
          </mc:Fallback>
        </mc:AlternateContent>
      </w:r>
    </w:p>
    <w:p w14:paraId="148ECA91" w14:textId="5401B1BF" w:rsidR="000C465B" w:rsidRPr="000C465B" w:rsidRDefault="001F7B3F" w:rsidP="000C465B">
      <w:pPr>
        <w:spacing w:after="200" w:line="276" w:lineRule="auto"/>
        <w:jc w:val="left"/>
        <w:rPr>
          <w:noProof/>
          <w:sz w:val="22"/>
        </w:rPr>
      </w:pPr>
      <w:r w:rsidRPr="000C465B">
        <w:rPr>
          <w:noProof/>
          <w:sz w:val="22"/>
        </w:rPr>
        <mc:AlternateContent>
          <mc:Choice Requires="wps">
            <w:drawing>
              <wp:anchor distT="0" distB="0" distL="114300" distR="114300" simplePos="0" relativeHeight="251658307" behindDoc="0" locked="0" layoutInCell="1" allowOverlap="1" wp14:anchorId="0EE49804" wp14:editId="28558C5F">
                <wp:simplePos x="0" y="0"/>
                <wp:positionH relativeFrom="column">
                  <wp:posOffset>-142875</wp:posOffset>
                </wp:positionH>
                <wp:positionV relativeFrom="paragraph">
                  <wp:posOffset>57150</wp:posOffset>
                </wp:positionV>
                <wp:extent cx="2192020" cy="796925"/>
                <wp:effectExtent l="0" t="0" r="0" b="3175"/>
                <wp:wrapNone/>
                <wp:docPr id="1493860975" name="Text Box 79"/>
                <wp:cNvGraphicFramePr/>
                <a:graphic xmlns:a="http://schemas.openxmlformats.org/drawingml/2006/main">
                  <a:graphicData uri="http://schemas.microsoft.com/office/word/2010/wordprocessingShape">
                    <wps:wsp>
                      <wps:cNvSpPr txBox="1"/>
                      <wps:spPr>
                        <a:xfrm>
                          <a:off x="0" y="0"/>
                          <a:ext cx="2192020" cy="796925"/>
                        </a:xfrm>
                        <a:prstGeom prst="rect">
                          <a:avLst/>
                        </a:prstGeom>
                        <a:noFill/>
                        <a:ln w="6350">
                          <a:noFill/>
                        </a:ln>
                      </wps:spPr>
                      <wps:txbx>
                        <w:txbxContent>
                          <w:p w14:paraId="4FBE67C1" w14:textId="77777777" w:rsidR="000C465B" w:rsidRPr="000C465B" w:rsidRDefault="000C465B" w:rsidP="000C465B">
                            <w:pPr>
                              <w:spacing w:before="100" w:beforeAutospacing="1" w:after="0"/>
                              <w:jc w:val="center"/>
                              <w:rPr>
                                <w:rFonts w:cs="Calibri"/>
                                <w:b/>
                                <w:bCs/>
                                <w:color w:val="FFFFFF"/>
                                <w:sz w:val="18"/>
                                <w:szCs w:val="18"/>
                              </w:rPr>
                            </w:pPr>
                            <w:r w:rsidRPr="000C465B">
                              <w:rPr>
                                <w:rFonts w:cs="Calibri"/>
                                <w:b/>
                                <w:bCs/>
                                <w:color w:val="FFFFFF"/>
                                <w:sz w:val="18"/>
                                <w:szCs w:val="18"/>
                              </w:rPr>
                              <w:t xml:space="preserve">ONE LOAD IS 1 CUP (8 FL </w:t>
                            </w:r>
                            <w:r w:rsidRPr="000C465B">
                              <w:rPr>
                                <w:rFonts w:cs="Calibri"/>
                                <w:b/>
                                <w:bCs/>
                                <w:color w:val="FFFFFF"/>
                                <w:sz w:val="18"/>
                                <w:szCs w:val="18"/>
                              </w:rPr>
                              <w:t>OZ)           WHICH IS THE AMOUNT OF DETERGENT TO DO A MEDIUM 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49804" id="_x0000_s1060" type="#_x0000_t202" style="position:absolute;margin-left:-11.25pt;margin-top:4.5pt;width:172.6pt;height:62.7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" filled="f" stroked="f" strokeweight=".5pt">
                <v:textbox>
                  <w:txbxContent>
                    <w:p w14:paraId="4FBE67C1" w14:textId="77777777" w:rsidR="000C465B" w:rsidRPr="000C465B" w:rsidRDefault="000C465B" w:rsidP="000C465B">
                      <w:pPr>
                        <w:spacing w:before="100" w:beforeAutospacing="1" w:after="0"/>
                        <w:jc w:val="center"/>
                        <w:rPr>
                          <w:rFonts w:cs="Calibri"/>
                          <w:b/>
                          <w:bCs/>
                          <w:color w:val="FFFFFF"/>
                          <w:sz w:val="18"/>
                          <w:szCs w:val="18"/>
                        </w:rPr>
                      </w:pPr>
                      <w:r w:rsidRPr="000C465B">
                        <w:rPr>
                          <w:rFonts w:cs="Calibri"/>
                          <w:b/>
                          <w:bCs/>
                          <w:color w:val="FFFFFF"/>
                          <w:sz w:val="18"/>
                          <w:szCs w:val="18"/>
                        </w:rPr>
                        <w:t xml:space="preserve">ONE LOAD IS 1 CUP (8 FL </w:t>
                      </w:r>
                      <w:r w:rsidRPr="000C465B">
                        <w:rPr>
                          <w:rFonts w:cs="Calibri"/>
                          <w:b/>
                          <w:bCs/>
                          <w:color w:val="FFFFFF"/>
                          <w:sz w:val="18"/>
                          <w:szCs w:val="18"/>
                        </w:rPr>
                        <w:t>OZ)           WHICH IS THE AMOUNT OF DETERGENT TO DO A MEDIUM LOAD</w:t>
                      </w:r>
                    </w:p>
                  </w:txbxContent>
                </v:textbox>
              </v:shape>
            </w:pict>
          </mc:Fallback>
        </mc:AlternateContent>
      </w:r>
    </w:p>
    <w:p w14:paraId="44FDE6A1" w14:textId="2A3C6A78" w:rsidR="000C465B" w:rsidRPr="000C465B" w:rsidRDefault="000C465B" w:rsidP="000C465B">
      <w:pPr>
        <w:spacing w:after="200" w:line="276" w:lineRule="auto"/>
        <w:jc w:val="left"/>
        <w:rPr>
          <w:noProof/>
          <w:sz w:val="22"/>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C465B" w:rsidRPr="000C465B" w14:paraId="1EDCEE8A" w14:textId="77777777" w:rsidTr="005F0F3E">
        <w:tc>
          <w:tcPr>
            <w:tcW w:w="4680" w:type="dxa"/>
          </w:tcPr>
          <w:p w14:paraId="2E66DDB2" w14:textId="40607808" w:rsidR="000C465B" w:rsidRPr="000C465B" w:rsidRDefault="000C465B" w:rsidP="00517244">
            <w:pPr>
              <w:spacing w:after="60"/>
              <w:jc w:val="center"/>
            </w:pPr>
            <w:r w:rsidRPr="000C465B">
              <w:rPr>
                <w:noProof/>
              </w:rPr>
              <w:lastRenderedPageBreak/>
              <w:drawing>
                <wp:inline distT="0" distB="0" distL="0" distR="0" wp14:anchorId="2ED30336" wp14:editId="702F03A8">
                  <wp:extent cx="2353190" cy="4016111"/>
                  <wp:effectExtent l="0" t="0" r="9525" b="3810"/>
                  <wp:docPr id="7926984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98402" name="Picture 6"/>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2353190" cy="4016111"/>
                          </a:xfrm>
                          <a:prstGeom prst="rect">
                            <a:avLst/>
                          </a:prstGeom>
                          <a:noFill/>
                          <a:ln>
                            <a:noFill/>
                          </a:ln>
                        </pic:spPr>
                      </pic:pic>
                    </a:graphicData>
                  </a:graphic>
                </wp:inline>
              </w:drawing>
            </w:r>
          </w:p>
        </w:tc>
        <w:tc>
          <w:tcPr>
            <w:tcW w:w="4680" w:type="dxa"/>
          </w:tcPr>
          <w:p w14:paraId="45E7349B" w14:textId="77777777" w:rsidR="00517244" w:rsidRDefault="00517244" w:rsidP="000C465B">
            <w:pPr>
              <w:spacing w:after="0"/>
              <w:rPr>
                <w:b/>
                <w:color w:val="EE0000"/>
                <w:sz w:val="36"/>
                <w:szCs w:val="36"/>
              </w:rPr>
            </w:pPr>
          </w:p>
          <w:p w14:paraId="650A0F8D" w14:textId="77777777" w:rsidR="00517244" w:rsidRDefault="00517244" w:rsidP="000C465B">
            <w:pPr>
              <w:spacing w:after="0"/>
              <w:rPr>
                <w:b/>
                <w:color w:val="EE0000"/>
                <w:sz w:val="36"/>
                <w:szCs w:val="36"/>
              </w:rPr>
            </w:pPr>
          </w:p>
          <w:p w14:paraId="7A424CB0" w14:textId="77777777" w:rsidR="00517244" w:rsidRDefault="00517244" w:rsidP="000C465B">
            <w:pPr>
              <w:spacing w:after="0"/>
              <w:rPr>
                <w:b/>
                <w:color w:val="EE0000"/>
                <w:sz w:val="36"/>
                <w:szCs w:val="36"/>
              </w:rPr>
            </w:pPr>
          </w:p>
          <w:p w14:paraId="5A8AB50B" w14:textId="4E03939A" w:rsidR="000C465B" w:rsidRPr="000C465B" w:rsidRDefault="000C465B" w:rsidP="000C465B">
            <w:pPr>
              <w:spacing w:after="0"/>
              <w:rPr>
                <w:color w:val="EE0000"/>
                <w:sz w:val="36"/>
                <w:szCs w:val="36"/>
              </w:rPr>
            </w:pPr>
            <w:r w:rsidRPr="000C465B">
              <w:rPr>
                <w:b/>
                <w:color w:val="EE0000"/>
                <w:sz w:val="36"/>
                <w:szCs w:val="36"/>
              </w:rPr>
              <w:t>PROBLEMATIC</w:t>
            </w:r>
          </w:p>
          <w:p w14:paraId="16503A65" w14:textId="77777777" w:rsidR="000C465B" w:rsidRPr="000C465B" w:rsidRDefault="000C465B" w:rsidP="000C465B">
            <w:pPr>
              <w:spacing w:after="0"/>
              <w:rPr>
                <w:sz w:val="20"/>
                <w:szCs w:val="20"/>
              </w:rPr>
            </w:pPr>
            <w:r w:rsidRPr="000C465B">
              <w:rPr>
                <w:sz w:val="20"/>
                <w:szCs w:val="20"/>
              </w:rPr>
              <w:t xml:space="preserve">In this diagram, the derived unit expression appears with minimal separation from the </w:t>
            </w:r>
            <w:proofErr w:type="spellStart"/>
            <w:r w:rsidRPr="000C465B">
              <w:rPr>
                <w:sz w:val="20"/>
                <w:szCs w:val="20"/>
              </w:rPr>
              <w:t>DoNQ</w:t>
            </w:r>
            <w:proofErr w:type="spellEnd"/>
            <w:r w:rsidRPr="000C465B">
              <w:rPr>
                <w:sz w:val="20"/>
                <w:szCs w:val="20"/>
              </w:rPr>
              <w:t xml:space="preserve"> in the lower 30% of PDP.  With this spacing the “20 Loads” appears to be part of the </w:t>
            </w:r>
            <w:proofErr w:type="spellStart"/>
            <w:r w:rsidRPr="000C465B">
              <w:rPr>
                <w:sz w:val="20"/>
                <w:szCs w:val="20"/>
              </w:rPr>
              <w:t>DoNQ</w:t>
            </w:r>
            <w:proofErr w:type="spellEnd"/>
            <w:r w:rsidRPr="000C465B">
              <w:rPr>
                <w:sz w:val="20"/>
                <w:szCs w:val="20"/>
              </w:rPr>
              <w:t xml:space="preserve">, which is in violation of </w:t>
            </w:r>
            <w:proofErr w:type="spellStart"/>
            <w:r w:rsidRPr="000C465B">
              <w:rPr>
                <w:sz w:val="20"/>
                <w:szCs w:val="20"/>
              </w:rPr>
              <w:t>DoNQ</w:t>
            </w:r>
            <w:proofErr w:type="spellEnd"/>
            <w:r w:rsidRPr="000C465B">
              <w:rPr>
                <w:sz w:val="20"/>
                <w:szCs w:val="20"/>
              </w:rPr>
              <w:t xml:space="preserve"> requirements since Loads (and other Derived Units) are not units of Legal Metrology.   As a result, separation of </w:t>
            </w:r>
            <w:proofErr w:type="gramStart"/>
            <w:r w:rsidRPr="000C465B">
              <w:rPr>
                <w:sz w:val="20"/>
                <w:szCs w:val="20"/>
              </w:rPr>
              <w:t>a DUE</w:t>
            </w:r>
            <w:proofErr w:type="gramEnd"/>
            <w:r w:rsidRPr="000C465B">
              <w:rPr>
                <w:sz w:val="20"/>
                <w:szCs w:val="20"/>
              </w:rPr>
              <w:t xml:space="preserve"> from the </w:t>
            </w:r>
            <w:proofErr w:type="spellStart"/>
            <w:r w:rsidRPr="000C465B">
              <w:rPr>
                <w:sz w:val="20"/>
                <w:szCs w:val="20"/>
              </w:rPr>
              <w:t>DoNQ</w:t>
            </w:r>
            <w:proofErr w:type="spellEnd"/>
            <w:r w:rsidRPr="000C465B">
              <w:rPr>
                <w:sz w:val="20"/>
                <w:szCs w:val="20"/>
              </w:rPr>
              <w:t xml:space="preserve"> must be sufficiently large to ensure that the DUE is clearly not part of the </w:t>
            </w:r>
            <w:proofErr w:type="spellStart"/>
            <w:r w:rsidRPr="000C465B">
              <w:rPr>
                <w:sz w:val="20"/>
                <w:szCs w:val="20"/>
              </w:rPr>
              <w:t>DoNQ</w:t>
            </w:r>
            <w:proofErr w:type="spellEnd"/>
            <w:r w:rsidRPr="000C465B">
              <w:rPr>
                <w:sz w:val="20"/>
                <w:szCs w:val="20"/>
              </w:rPr>
              <w:t xml:space="preserve">.  </w:t>
            </w:r>
          </w:p>
        </w:tc>
      </w:tr>
      <w:tr w:rsidR="000C465B" w:rsidRPr="000C465B" w14:paraId="7268E88B" w14:textId="77777777" w:rsidTr="005F0F3E">
        <w:tc>
          <w:tcPr>
            <w:tcW w:w="4680" w:type="dxa"/>
          </w:tcPr>
          <w:p w14:paraId="1CB7E04D" w14:textId="77777777" w:rsidR="000C465B" w:rsidRPr="000C465B" w:rsidRDefault="000C465B" w:rsidP="000C465B">
            <w:pPr>
              <w:spacing w:after="60"/>
              <w:rPr>
                <w:noProof/>
              </w:rPr>
            </w:pPr>
            <w:r w:rsidRPr="000C465B">
              <w:rPr>
                <w:noProof/>
              </w:rPr>
              <w:t xml:space="preserve">       </w:t>
            </w:r>
            <w:r w:rsidRPr="000C465B">
              <w:rPr>
                <w:noProof/>
              </w:rPr>
              <w:drawing>
                <wp:inline distT="0" distB="0" distL="0" distR="0" wp14:anchorId="56AC4A74" wp14:editId="2AB118E3">
                  <wp:extent cx="2402205" cy="4067175"/>
                  <wp:effectExtent l="0" t="0" r="0" b="9525"/>
                  <wp:docPr id="16889950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95073" name="Picture 7"/>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2402411" cy="4067524"/>
                          </a:xfrm>
                          <a:prstGeom prst="rect">
                            <a:avLst/>
                          </a:prstGeom>
                          <a:noFill/>
                          <a:ln>
                            <a:noFill/>
                          </a:ln>
                        </pic:spPr>
                      </pic:pic>
                    </a:graphicData>
                  </a:graphic>
                </wp:inline>
              </w:drawing>
            </w:r>
            <w:r w:rsidRPr="000C465B">
              <w:rPr>
                <w:noProof/>
              </w:rPr>
              <w:t xml:space="preserve">   </w:t>
            </w:r>
          </w:p>
        </w:tc>
        <w:tc>
          <w:tcPr>
            <w:tcW w:w="4680" w:type="dxa"/>
          </w:tcPr>
          <w:p w14:paraId="75C3D7A5" w14:textId="77777777" w:rsidR="00517244" w:rsidRDefault="00517244" w:rsidP="000C465B">
            <w:pPr>
              <w:spacing w:after="0"/>
              <w:rPr>
                <w:b/>
                <w:color w:val="FF0000"/>
                <w:sz w:val="36"/>
                <w:szCs w:val="36"/>
              </w:rPr>
            </w:pPr>
          </w:p>
          <w:p w14:paraId="06EA5DE1" w14:textId="77777777" w:rsidR="00517244" w:rsidRDefault="00517244" w:rsidP="000C465B">
            <w:pPr>
              <w:spacing w:after="0"/>
              <w:rPr>
                <w:b/>
                <w:color w:val="FF0000"/>
                <w:sz w:val="36"/>
                <w:szCs w:val="36"/>
              </w:rPr>
            </w:pPr>
          </w:p>
          <w:p w14:paraId="36ADF196" w14:textId="77777777" w:rsidR="00517244" w:rsidRDefault="00517244" w:rsidP="000C465B">
            <w:pPr>
              <w:spacing w:after="0"/>
              <w:rPr>
                <w:b/>
                <w:color w:val="FF0000"/>
                <w:sz w:val="36"/>
                <w:szCs w:val="36"/>
              </w:rPr>
            </w:pPr>
          </w:p>
          <w:p w14:paraId="0A5EA92C" w14:textId="68203569" w:rsidR="000C465B" w:rsidRPr="000C465B" w:rsidRDefault="000C465B" w:rsidP="000C465B">
            <w:pPr>
              <w:spacing w:after="0"/>
              <w:rPr>
                <w:b/>
                <w:color w:val="FF0000"/>
                <w:sz w:val="36"/>
                <w:szCs w:val="36"/>
              </w:rPr>
            </w:pPr>
            <w:r w:rsidRPr="000C465B">
              <w:rPr>
                <w:b/>
                <w:color w:val="FF0000"/>
                <w:sz w:val="36"/>
                <w:szCs w:val="36"/>
              </w:rPr>
              <w:t>PROBLEMATIC</w:t>
            </w:r>
          </w:p>
          <w:p w14:paraId="6C8CAFDC" w14:textId="77777777" w:rsidR="000C465B" w:rsidRPr="000C465B" w:rsidRDefault="000C465B" w:rsidP="000C465B">
            <w:pPr>
              <w:spacing w:after="0"/>
              <w:rPr>
                <w:sz w:val="20"/>
                <w:szCs w:val="20"/>
              </w:rPr>
            </w:pPr>
            <w:r w:rsidRPr="000C465B">
              <w:rPr>
                <w:sz w:val="20"/>
                <w:szCs w:val="20"/>
              </w:rPr>
              <w:t xml:space="preserve">In this diagram, the DUE statement “Makes Up to 20 Loads” is an inexact expression that does not provide accurate quantity information that consumers can rely upon and regulators can verify.  Exactly how many Loads are delivered?  Expressions appearing on the PDP need to provide precise and accurate values, not ranges.   </w:t>
            </w:r>
          </w:p>
          <w:p w14:paraId="6C437192" w14:textId="77777777" w:rsidR="000C465B" w:rsidRPr="000C465B" w:rsidRDefault="000C465B" w:rsidP="000C465B">
            <w:pPr>
              <w:spacing w:after="0"/>
              <w:rPr>
                <w:noProof/>
              </w:rPr>
            </w:pPr>
            <w:r w:rsidRPr="000C465B">
              <w:t xml:space="preserve">  </w:t>
            </w:r>
          </w:p>
        </w:tc>
      </w:tr>
    </w:tbl>
    <w:p w14:paraId="706C8B5D" w14:textId="77777777" w:rsidR="000C465B" w:rsidRPr="000C465B" w:rsidRDefault="000C465B" w:rsidP="000C465B">
      <w:pPr>
        <w:spacing w:after="200" w:line="276" w:lineRule="auto"/>
        <w:rPr>
          <w:szCs w:val="20"/>
        </w:rPr>
      </w:pPr>
      <w:r w:rsidRPr="000C465B">
        <w:rPr>
          <w:b/>
          <w:szCs w:val="20"/>
        </w:rPr>
        <w:lastRenderedPageBreak/>
        <w:t>4.  </w:t>
      </w:r>
      <w:r w:rsidRPr="000C465B">
        <w:rPr>
          <w:b/>
          <w:szCs w:val="20"/>
          <w:u w:val="single"/>
        </w:rPr>
        <w:t>Comparative Quantity Representation (CQR)</w:t>
      </w:r>
      <w:r w:rsidRPr="000C465B">
        <w:rPr>
          <w:b/>
          <w:bCs/>
          <w:szCs w:val="20"/>
        </w:rPr>
        <w:t xml:space="preserve"> </w:t>
      </w:r>
      <w:r w:rsidRPr="000C465B">
        <w:rPr>
          <w:szCs w:val="20"/>
        </w:rPr>
        <w:t>– A manufacturer is responsible for ensuring a Comparative Quantity Representation (CQR’s) location, font, graphics or wording provides clear and non-misleading information which does not contradict or marginalize the information provided in the required Declaration of Net Quantity (</w:t>
      </w:r>
      <w:proofErr w:type="spellStart"/>
      <w:r w:rsidRPr="000C465B">
        <w:rPr>
          <w:szCs w:val="20"/>
        </w:rPr>
        <w:t>DoNQ</w:t>
      </w:r>
      <w:proofErr w:type="spellEnd"/>
      <w:r w:rsidRPr="000C465B">
        <w:rPr>
          <w:szCs w:val="20"/>
        </w:rPr>
        <w:t xml:space="preserve">).   Because CQRs may employ the same units as those contained in the </w:t>
      </w:r>
      <w:proofErr w:type="spellStart"/>
      <w:r w:rsidRPr="000C465B">
        <w:rPr>
          <w:szCs w:val="20"/>
        </w:rPr>
        <w:t>DoNQ</w:t>
      </w:r>
      <w:proofErr w:type="spellEnd"/>
      <w:r w:rsidRPr="000C465B">
        <w:rPr>
          <w:szCs w:val="20"/>
        </w:rPr>
        <w:t xml:space="preserve">, manufacturers should carefully consider the CQR expression content, location, graphics and fonts to minimize the likelihood that a portion of the CQR is misinterpreted to be </w:t>
      </w:r>
      <w:proofErr w:type="gramStart"/>
      <w:r w:rsidRPr="000C465B">
        <w:rPr>
          <w:szCs w:val="20"/>
        </w:rPr>
        <w:t xml:space="preserve">the </w:t>
      </w:r>
      <w:proofErr w:type="spellStart"/>
      <w:r w:rsidRPr="000C465B">
        <w:rPr>
          <w:szCs w:val="20"/>
        </w:rPr>
        <w:t>DoNQ</w:t>
      </w:r>
      <w:proofErr w:type="spellEnd"/>
      <w:proofErr w:type="gramEnd"/>
      <w:r w:rsidRPr="000C465B">
        <w:rPr>
          <w:szCs w:val="20"/>
        </w:rPr>
        <w:t xml:space="preserve">.        </w:t>
      </w:r>
    </w:p>
    <w:p w14:paraId="0F2B5717" w14:textId="77777777" w:rsidR="000C465B" w:rsidRPr="000C465B" w:rsidRDefault="000C465B" w:rsidP="000C465B">
      <w:pPr>
        <w:spacing w:after="200" w:line="276" w:lineRule="auto"/>
        <w:rPr>
          <w:sz w:val="22"/>
        </w:rPr>
      </w:pPr>
      <w:r w:rsidRPr="000C465B">
        <w:rPr>
          <w:szCs w:val="20"/>
        </w:rPr>
        <w:t xml:space="preserve">Comparative Quantity Representations should appear in the upper 70% of the Principal Display Panel (PDP) as illustrated in the following examples which illustrate differences in color, font size, expression wording, and graphic designs.  A CQR may employ a single color and font type or may combine 2 or more colors and fonts.  </w:t>
      </w:r>
      <w:proofErr w:type="gramStart"/>
      <w:r w:rsidRPr="000C465B">
        <w:rPr>
          <w:szCs w:val="20"/>
        </w:rPr>
        <w:t>CQR’s</w:t>
      </w:r>
      <w:proofErr w:type="gramEnd"/>
      <w:r w:rsidRPr="000C465B">
        <w:rPr>
          <w:szCs w:val="20"/>
        </w:rPr>
        <w:t xml:space="preserve"> may express information in the same unit as in the </w:t>
      </w:r>
      <w:proofErr w:type="spellStart"/>
      <w:r w:rsidRPr="000C465B">
        <w:rPr>
          <w:szCs w:val="20"/>
        </w:rPr>
        <w:t>DoNQ</w:t>
      </w:r>
      <w:proofErr w:type="spellEnd"/>
      <w:r w:rsidRPr="000C465B">
        <w:rPr>
          <w:szCs w:val="20"/>
        </w:rPr>
        <w:t xml:space="preserve"> or other common recognizable units of legal metrology or count appropriate for the type of product and package size</w:t>
      </w:r>
      <w:r w:rsidRPr="000C465B">
        <w:rPr>
          <w:sz w:val="22"/>
        </w:rPr>
        <w:t xml:space="preserve">.  </w:t>
      </w:r>
    </w:p>
    <w:p w14:paraId="0CB8BAD7" w14:textId="77777777" w:rsidR="000C465B" w:rsidRPr="000C465B" w:rsidRDefault="000C465B" w:rsidP="000C465B">
      <w:pPr>
        <w:spacing w:after="0" w:line="276" w:lineRule="auto"/>
        <w:rPr>
          <w:sz w:val="16"/>
          <w:szCs w:val="16"/>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00"/>
        <w:gridCol w:w="4466"/>
      </w:tblGrid>
      <w:tr w:rsidR="000C465B" w:rsidRPr="000C465B" w14:paraId="439C2213" w14:textId="77777777" w:rsidTr="005F0F3E">
        <w:tc>
          <w:tcPr>
            <w:tcW w:w="4484" w:type="dxa"/>
          </w:tcPr>
          <w:p w14:paraId="25E48766" w14:textId="77777777" w:rsidR="000C465B" w:rsidRPr="000C465B" w:rsidRDefault="000C465B" w:rsidP="000C465B">
            <w:pPr>
              <w:spacing w:after="0"/>
              <w:jc w:val="center"/>
            </w:pPr>
            <w:r w:rsidRPr="000C465B">
              <w:rPr>
                <w:noProof/>
              </w:rPr>
              <w:drawing>
                <wp:inline distT="0" distB="0" distL="0" distR="0" wp14:anchorId="671480A6" wp14:editId="18984563">
                  <wp:extent cx="2657475" cy="3522457"/>
                  <wp:effectExtent l="0" t="0" r="0" b="1905"/>
                  <wp:docPr id="10461416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41653" name="Picture 11"/>
                          <pic:cNvPicPr>
                            <a:picLocks noChangeAspect="1" noChangeArrowheads="1"/>
                          </pic:cNvPicPr>
                        </pic:nvPicPr>
                        <pic:blipFill rotWithShape="1">
                          <a:blip r:embed="rId81">
                            <a:extLst>
                              <a:ext uri="{28A0092B-C50C-407E-A947-70E740481C1C}">
                                <a14:useLocalDpi xmlns:a14="http://schemas.microsoft.com/office/drawing/2010/main" val="0"/>
                              </a:ext>
                            </a:extLst>
                          </a:blip>
                          <a:srcRect l="9720" t="3921" r="12858" b="7725"/>
                          <a:stretch>
                            <a:fillRect/>
                          </a:stretch>
                        </pic:blipFill>
                        <pic:spPr bwMode="auto">
                          <a:xfrm>
                            <a:off x="0" y="0"/>
                            <a:ext cx="2657475" cy="35224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0" w:type="dxa"/>
          </w:tcPr>
          <w:p w14:paraId="4B2B1DDC" w14:textId="77777777" w:rsidR="000C465B" w:rsidRPr="000C465B" w:rsidRDefault="000C465B" w:rsidP="000C465B">
            <w:pPr>
              <w:spacing w:after="0"/>
              <w:jc w:val="center"/>
              <w:rPr>
                <w:noProof/>
              </w:rPr>
            </w:pPr>
          </w:p>
        </w:tc>
        <w:tc>
          <w:tcPr>
            <w:tcW w:w="4466" w:type="dxa"/>
          </w:tcPr>
          <w:p w14:paraId="5025578A" w14:textId="77777777" w:rsidR="000C465B" w:rsidRPr="000C465B" w:rsidRDefault="000C465B" w:rsidP="000C465B">
            <w:pPr>
              <w:spacing w:after="0"/>
              <w:jc w:val="center"/>
            </w:pPr>
            <w:r w:rsidRPr="000C465B">
              <w:rPr>
                <w:noProof/>
              </w:rPr>
              <w:drawing>
                <wp:inline distT="0" distB="0" distL="0" distR="0" wp14:anchorId="24AA9BB7" wp14:editId="40249086">
                  <wp:extent cx="2693035" cy="3583619"/>
                  <wp:effectExtent l="0" t="0" r="0" b="0"/>
                  <wp:docPr id="15531544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2">
                            <a:extLst>
                              <a:ext uri="{28A0092B-C50C-407E-A947-70E740481C1C}">
                                <a14:useLocalDpi xmlns:a14="http://schemas.microsoft.com/office/drawing/2010/main" val="0"/>
                              </a:ext>
                            </a:extLst>
                          </a:blip>
                          <a:srcRect l="6907" t="2786" r="25401" b="6407"/>
                          <a:stretch>
                            <a:fillRect/>
                          </a:stretch>
                        </pic:blipFill>
                        <pic:spPr bwMode="auto">
                          <a:xfrm>
                            <a:off x="0" y="0"/>
                            <a:ext cx="2698744" cy="35912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465B" w:rsidRPr="000C465B" w14:paraId="74E3A094" w14:textId="77777777" w:rsidTr="005F0F3E">
        <w:tc>
          <w:tcPr>
            <w:tcW w:w="4484" w:type="dxa"/>
          </w:tcPr>
          <w:p w14:paraId="57D3FDAE" w14:textId="77777777" w:rsidR="000C465B" w:rsidRPr="000C465B" w:rsidRDefault="000C465B" w:rsidP="000C465B">
            <w:pPr>
              <w:spacing w:after="0"/>
              <w:jc w:val="center"/>
              <w:rPr>
                <w:color w:val="80319F"/>
                <w:sz w:val="36"/>
                <w:szCs w:val="36"/>
              </w:rPr>
            </w:pPr>
            <w:r w:rsidRPr="000C465B">
              <w:rPr>
                <w:b/>
                <w:color w:val="80319F"/>
                <w:sz w:val="36"/>
                <w:szCs w:val="36"/>
              </w:rPr>
              <w:t>QUESTIONABLE</w:t>
            </w:r>
          </w:p>
          <w:p w14:paraId="7AB7E0B0" w14:textId="77777777" w:rsidR="000C465B" w:rsidRPr="000C465B" w:rsidRDefault="000C465B" w:rsidP="000C465B">
            <w:pPr>
              <w:spacing w:after="0"/>
              <w:rPr>
                <w:sz w:val="20"/>
                <w:szCs w:val="20"/>
              </w:rPr>
            </w:pPr>
            <w:r w:rsidRPr="000C465B">
              <w:rPr>
                <w:sz w:val="20"/>
                <w:szCs w:val="20"/>
              </w:rPr>
              <w:t xml:space="preserve">The CQR on this package is questionable because the expression is very close to extending into the lower 30% of the PDP.    Because CQRs are full statements which have numbers which can be over emphasized, the statements in their entirety need to remain outside the lower 30% of the PDP to ensure separation from the </w:t>
            </w:r>
            <w:proofErr w:type="spellStart"/>
            <w:r w:rsidRPr="000C465B">
              <w:rPr>
                <w:sz w:val="20"/>
                <w:szCs w:val="20"/>
              </w:rPr>
              <w:t>DoNQ</w:t>
            </w:r>
            <w:proofErr w:type="spellEnd"/>
            <w:r w:rsidRPr="000C465B">
              <w:rPr>
                <w:sz w:val="20"/>
                <w:szCs w:val="20"/>
              </w:rPr>
              <w:t xml:space="preserve">.     </w:t>
            </w:r>
          </w:p>
        </w:tc>
        <w:tc>
          <w:tcPr>
            <w:tcW w:w="400" w:type="dxa"/>
          </w:tcPr>
          <w:p w14:paraId="7B33B007" w14:textId="77777777" w:rsidR="000C465B" w:rsidRPr="000C465B" w:rsidRDefault="000C465B" w:rsidP="000C465B">
            <w:pPr>
              <w:spacing w:after="0"/>
              <w:jc w:val="center"/>
              <w:rPr>
                <w:b/>
                <w:color w:val="FF0000"/>
                <w:sz w:val="40"/>
                <w:szCs w:val="40"/>
              </w:rPr>
            </w:pPr>
          </w:p>
        </w:tc>
        <w:tc>
          <w:tcPr>
            <w:tcW w:w="4466" w:type="dxa"/>
          </w:tcPr>
          <w:p w14:paraId="08F4F28F" w14:textId="77777777" w:rsidR="000C465B" w:rsidRPr="000C465B" w:rsidRDefault="000C465B" w:rsidP="000C465B">
            <w:pPr>
              <w:spacing w:after="0"/>
              <w:jc w:val="center"/>
              <w:rPr>
                <w:b/>
                <w:color w:val="FF0000"/>
                <w:sz w:val="36"/>
                <w:szCs w:val="36"/>
              </w:rPr>
            </w:pPr>
            <w:r w:rsidRPr="000C465B">
              <w:rPr>
                <w:b/>
                <w:color w:val="FF0000"/>
                <w:sz w:val="36"/>
                <w:szCs w:val="36"/>
              </w:rPr>
              <w:t>PROBLEMATIC</w:t>
            </w:r>
          </w:p>
          <w:p w14:paraId="380A0EB9" w14:textId="77777777" w:rsidR="000C465B" w:rsidRPr="000C465B" w:rsidRDefault="000C465B" w:rsidP="000C465B">
            <w:pPr>
              <w:spacing w:after="0"/>
              <w:rPr>
                <w:sz w:val="20"/>
                <w:szCs w:val="20"/>
              </w:rPr>
            </w:pPr>
            <w:r w:rsidRPr="000C465B">
              <w:rPr>
                <w:sz w:val="20"/>
                <w:szCs w:val="20"/>
              </w:rPr>
              <w:t xml:space="preserve">The CQR on this package covers the entire right side of the PDP.  The expression extends into the lower 30% of the PDP where the 15 LB portion of the expression appears in a larger font with a </w:t>
            </w:r>
            <w:r w:rsidRPr="000C465B">
              <w:rPr>
                <w:spacing w:val="10"/>
                <w:sz w:val="20"/>
                <w:szCs w:val="20"/>
              </w:rPr>
              <w:t>bolder color. This presentation can be</w:t>
            </w:r>
            <w:r w:rsidRPr="000C465B">
              <w:rPr>
                <w:sz w:val="20"/>
                <w:szCs w:val="20"/>
              </w:rPr>
              <w:t xml:space="preserve"> misinterpreted by a consumer shopping in a retail establishment as being a 15 LB package, not the 8 LB package it really is.  While CQRs can make words and numbers of differing sizes, colors, and fonts, these statements are to remain outside the lower 30% of the PDP to avoid potential confusion.  </w:t>
            </w:r>
          </w:p>
        </w:tc>
      </w:tr>
    </w:tbl>
    <w:p w14:paraId="5B9431A5" w14:textId="77777777" w:rsidR="000C465B" w:rsidRPr="000C465B" w:rsidRDefault="000C465B" w:rsidP="000C465B">
      <w:pPr>
        <w:spacing w:after="200" w:line="276" w:lineRule="auto"/>
        <w:jc w:val="left"/>
        <w:rPr>
          <w:sz w:val="22"/>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61"/>
        <w:gridCol w:w="4405"/>
      </w:tblGrid>
      <w:tr w:rsidR="000C465B" w:rsidRPr="000C465B" w14:paraId="295C8AC9" w14:textId="77777777" w:rsidTr="005F0F3E">
        <w:tc>
          <w:tcPr>
            <w:tcW w:w="4484" w:type="dxa"/>
          </w:tcPr>
          <w:p w14:paraId="5F4165B9" w14:textId="77777777" w:rsidR="000C465B" w:rsidRPr="000C465B" w:rsidRDefault="000C465B" w:rsidP="000C465B">
            <w:pPr>
              <w:spacing w:after="0"/>
              <w:jc w:val="left"/>
              <w:rPr>
                <w:b/>
                <w:color w:val="FF0000"/>
              </w:rPr>
            </w:pPr>
            <w:r w:rsidRPr="000C465B">
              <w:rPr>
                <w:b/>
                <w:noProof/>
                <w:color w:val="FF0000"/>
              </w:rPr>
              <w:lastRenderedPageBreak/>
              <w:drawing>
                <wp:inline distT="0" distB="0" distL="0" distR="0" wp14:anchorId="55C944BD" wp14:editId="255EDB42">
                  <wp:extent cx="2695575" cy="3501096"/>
                  <wp:effectExtent l="0" t="0" r="0" b="4445"/>
                  <wp:docPr id="122445236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40612" name="Picture 1973240612"/>
                          <pic:cNvPicPr/>
                        </pic:nvPicPr>
                        <pic:blipFill rotWithShape="1">
                          <a:blip r:embed="rId83">
                            <a:extLst>
                              <a:ext uri="{28A0092B-C50C-407E-A947-70E740481C1C}">
                                <a14:useLocalDpi xmlns:a14="http://schemas.microsoft.com/office/drawing/2010/main" val="0"/>
                              </a:ext>
                            </a:extLst>
                          </a:blip>
                          <a:srcRect l="3757" t="3531" r="54372" b="7025"/>
                          <a:stretch>
                            <a:fillRect/>
                          </a:stretch>
                        </pic:blipFill>
                        <pic:spPr bwMode="auto">
                          <a:xfrm>
                            <a:off x="0" y="0"/>
                            <a:ext cx="2718297" cy="3530608"/>
                          </a:xfrm>
                          <a:prstGeom prst="rect">
                            <a:avLst/>
                          </a:prstGeom>
                          <a:ln>
                            <a:noFill/>
                          </a:ln>
                          <a:extLst>
                            <a:ext uri="{53640926-AAD7-44D8-BBD7-CCE9431645EC}">
                              <a14:shadowObscured xmlns:a14="http://schemas.microsoft.com/office/drawing/2010/main"/>
                            </a:ext>
                          </a:extLst>
                        </pic:spPr>
                      </pic:pic>
                    </a:graphicData>
                  </a:graphic>
                </wp:inline>
              </w:drawing>
            </w:r>
          </w:p>
        </w:tc>
        <w:tc>
          <w:tcPr>
            <w:tcW w:w="461" w:type="dxa"/>
          </w:tcPr>
          <w:p w14:paraId="6AE861CA" w14:textId="77777777" w:rsidR="000C465B" w:rsidRPr="000C465B" w:rsidRDefault="000C465B" w:rsidP="000C465B">
            <w:pPr>
              <w:spacing w:after="0"/>
              <w:jc w:val="left"/>
              <w:rPr>
                <w:b/>
                <w:color w:val="00B050"/>
                <w:sz w:val="40"/>
                <w:szCs w:val="40"/>
              </w:rPr>
            </w:pPr>
          </w:p>
        </w:tc>
        <w:tc>
          <w:tcPr>
            <w:tcW w:w="4405" w:type="dxa"/>
          </w:tcPr>
          <w:p w14:paraId="6FFC7EB0" w14:textId="77777777" w:rsidR="000C465B" w:rsidRPr="000C465B" w:rsidRDefault="000C465B" w:rsidP="000C465B">
            <w:pPr>
              <w:spacing w:after="0"/>
              <w:jc w:val="left"/>
              <w:rPr>
                <w:b/>
                <w:color w:val="00B050"/>
                <w:sz w:val="40"/>
                <w:szCs w:val="40"/>
              </w:rPr>
            </w:pPr>
          </w:p>
          <w:p w14:paraId="44950CF7" w14:textId="77777777" w:rsidR="000C465B" w:rsidRPr="000C465B" w:rsidRDefault="000C465B" w:rsidP="000C465B">
            <w:pPr>
              <w:spacing w:after="0"/>
              <w:jc w:val="left"/>
              <w:rPr>
                <w:b/>
                <w:color w:val="00B050"/>
                <w:sz w:val="40"/>
                <w:szCs w:val="40"/>
              </w:rPr>
            </w:pPr>
          </w:p>
          <w:p w14:paraId="251F3048" w14:textId="77777777" w:rsidR="000C465B" w:rsidRPr="000C465B" w:rsidRDefault="000C465B" w:rsidP="000C465B">
            <w:pPr>
              <w:spacing w:after="0"/>
              <w:jc w:val="left"/>
              <w:rPr>
                <w:b/>
                <w:color w:val="00B050"/>
                <w:sz w:val="36"/>
                <w:szCs w:val="36"/>
              </w:rPr>
            </w:pPr>
            <w:r w:rsidRPr="000C465B">
              <w:rPr>
                <w:b/>
                <w:color w:val="00B050"/>
                <w:sz w:val="36"/>
                <w:szCs w:val="36"/>
              </w:rPr>
              <w:t>PREFERRED</w:t>
            </w:r>
          </w:p>
          <w:p w14:paraId="388BF7C0" w14:textId="77777777" w:rsidR="000C465B" w:rsidRPr="000C465B" w:rsidRDefault="000C465B" w:rsidP="000C465B">
            <w:pPr>
              <w:spacing w:after="0"/>
              <w:rPr>
                <w:sz w:val="20"/>
                <w:szCs w:val="20"/>
              </w:rPr>
            </w:pPr>
            <w:r w:rsidRPr="000C465B">
              <w:rPr>
                <w:sz w:val="20"/>
                <w:szCs w:val="20"/>
              </w:rPr>
              <w:t xml:space="preserve">The CQR on this package label provides a comparison between this package and another package which is clearly defined.  Its location is outside the lower 30% in its entirety and clearly separate from the </w:t>
            </w:r>
            <w:proofErr w:type="spellStart"/>
            <w:r w:rsidRPr="000C465B">
              <w:rPr>
                <w:sz w:val="20"/>
                <w:szCs w:val="20"/>
              </w:rPr>
              <w:t>DoNQ</w:t>
            </w:r>
            <w:proofErr w:type="spellEnd"/>
          </w:p>
          <w:p w14:paraId="6CAC4010" w14:textId="77777777" w:rsidR="000C465B" w:rsidRPr="000C465B" w:rsidRDefault="000C465B" w:rsidP="000C465B">
            <w:pPr>
              <w:spacing w:after="0"/>
              <w:jc w:val="left"/>
              <w:rPr>
                <w:b/>
                <w:color w:val="80319F"/>
              </w:rPr>
            </w:pPr>
          </w:p>
          <w:p w14:paraId="2722924F" w14:textId="77777777" w:rsidR="000C465B" w:rsidRPr="000C465B" w:rsidRDefault="000C465B" w:rsidP="000C465B">
            <w:pPr>
              <w:spacing w:after="0"/>
              <w:jc w:val="left"/>
              <w:rPr>
                <w:b/>
                <w:color w:val="80319F"/>
              </w:rPr>
            </w:pPr>
          </w:p>
          <w:p w14:paraId="7453BB23" w14:textId="77777777" w:rsidR="000C465B" w:rsidRPr="000C465B" w:rsidRDefault="000C465B" w:rsidP="000C465B">
            <w:pPr>
              <w:spacing w:after="0"/>
              <w:jc w:val="left"/>
              <w:rPr>
                <w:b/>
                <w:color w:val="80319F"/>
              </w:rPr>
            </w:pPr>
          </w:p>
          <w:p w14:paraId="4B3F10C5" w14:textId="77777777" w:rsidR="000C465B" w:rsidRPr="000C465B" w:rsidRDefault="000C465B" w:rsidP="000C465B">
            <w:pPr>
              <w:spacing w:after="0"/>
              <w:jc w:val="left"/>
              <w:rPr>
                <w:b/>
                <w:color w:val="80319F"/>
              </w:rPr>
            </w:pPr>
          </w:p>
          <w:p w14:paraId="4D733480" w14:textId="77777777" w:rsidR="000C465B" w:rsidRPr="000C465B" w:rsidRDefault="000C465B" w:rsidP="000C465B">
            <w:pPr>
              <w:spacing w:after="0"/>
              <w:jc w:val="left"/>
              <w:rPr>
                <w:b/>
                <w:color w:val="80319F"/>
              </w:rPr>
            </w:pPr>
          </w:p>
          <w:p w14:paraId="57B1F1A8" w14:textId="77777777" w:rsidR="000C465B" w:rsidRPr="000C465B" w:rsidRDefault="000C465B" w:rsidP="000C465B">
            <w:pPr>
              <w:spacing w:after="0"/>
              <w:jc w:val="left"/>
              <w:rPr>
                <w:b/>
                <w:color w:val="80319F"/>
              </w:rPr>
            </w:pPr>
          </w:p>
          <w:p w14:paraId="6090AE18" w14:textId="77777777" w:rsidR="000C465B" w:rsidRPr="000C465B" w:rsidRDefault="000C465B" w:rsidP="000C465B">
            <w:pPr>
              <w:spacing w:after="0"/>
              <w:jc w:val="left"/>
              <w:rPr>
                <w:b/>
                <w:color w:val="80319F"/>
              </w:rPr>
            </w:pPr>
          </w:p>
          <w:p w14:paraId="2973B66C" w14:textId="77777777" w:rsidR="000C465B" w:rsidRPr="000C465B" w:rsidRDefault="000C465B" w:rsidP="000C465B">
            <w:pPr>
              <w:spacing w:after="0"/>
              <w:jc w:val="left"/>
              <w:rPr>
                <w:b/>
                <w:color w:val="80319F"/>
              </w:rPr>
            </w:pPr>
          </w:p>
          <w:p w14:paraId="572A0FB2" w14:textId="77777777" w:rsidR="000C465B" w:rsidRPr="000C465B" w:rsidRDefault="000C465B" w:rsidP="000C465B">
            <w:pPr>
              <w:spacing w:after="0"/>
              <w:jc w:val="left"/>
              <w:rPr>
                <w:b/>
                <w:color w:val="80319F"/>
              </w:rPr>
            </w:pPr>
          </w:p>
          <w:p w14:paraId="03A8FDEE" w14:textId="77777777" w:rsidR="000C465B" w:rsidRPr="000C465B" w:rsidRDefault="000C465B" w:rsidP="000C465B">
            <w:pPr>
              <w:spacing w:after="0"/>
              <w:jc w:val="left"/>
              <w:rPr>
                <w:b/>
                <w:color w:val="80319F"/>
              </w:rPr>
            </w:pPr>
          </w:p>
          <w:p w14:paraId="052233E9" w14:textId="77777777" w:rsidR="000C465B" w:rsidRPr="000C465B" w:rsidRDefault="000C465B" w:rsidP="000C465B">
            <w:pPr>
              <w:spacing w:after="0"/>
              <w:jc w:val="left"/>
              <w:rPr>
                <w:b/>
                <w:color w:val="80319F"/>
              </w:rPr>
            </w:pPr>
          </w:p>
          <w:p w14:paraId="0C2E17B6" w14:textId="77777777" w:rsidR="000C465B" w:rsidRPr="000C465B" w:rsidRDefault="000C465B" w:rsidP="000C465B">
            <w:pPr>
              <w:spacing w:after="0"/>
              <w:jc w:val="left"/>
              <w:rPr>
                <w:b/>
                <w:color w:val="80319F"/>
              </w:rPr>
            </w:pPr>
          </w:p>
          <w:p w14:paraId="5F505F15" w14:textId="77777777" w:rsidR="000C465B" w:rsidRPr="000C465B" w:rsidRDefault="000C465B" w:rsidP="000C465B">
            <w:pPr>
              <w:spacing w:after="0"/>
              <w:jc w:val="left"/>
              <w:rPr>
                <w:b/>
                <w:color w:val="FF0000"/>
              </w:rPr>
            </w:pPr>
          </w:p>
        </w:tc>
      </w:tr>
      <w:tr w:rsidR="000C465B" w:rsidRPr="000C465B" w14:paraId="4E085C03" w14:textId="77777777" w:rsidTr="005F0F3E">
        <w:tc>
          <w:tcPr>
            <w:tcW w:w="4484" w:type="dxa"/>
          </w:tcPr>
          <w:p w14:paraId="5E4518E9" w14:textId="77777777" w:rsidR="000C465B" w:rsidRPr="000C465B" w:rsidRDefault="000C465B" w:rsidP="000C465B">
            <w:pPr>
              <w:spacing w:after="0"/>
              <w:jc w:val="left"/>
              <w:rPr>
                <w:b/>
                <w:color w:val="FF0000"/>
              </w:rPr>
            </w:pPr>
            <w:r w:rsidRPr="000C465B">
              <w:rPr>
                <w:b/>
                <w:noProof/>
                <w:color w:val="FF0000"/>
              </w:rPr>
              <w:drawing>
                <wp:inline distT="0" distB="0" distL="0" distR="0" wp14:anchorId="430E293A" wp14:editId="11505D08">
                  <wp:extent cx="2710669" cy="3543300"/>
                  <wp:effectExtent l="0" t="0" r="0" b="0"/>
                  <wp:docPr id="153088538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26056" name="Picture 1075726056"/>
                          <pic:cNvPicPr/>
                        </pic:nvPicPr>
                        <pic:blipFill rotWithShape="1">
                          <a:blip r:embed="rId84">
                            <a:extLst>
                              <a:ext uri="{28A0092B-C50C-407E-A947-70E740481C1C}">
                                <a14:useLocalDpi xmlns:a14="http://schemas.microsoft.com/office/drawing/2010/main" val="0"/>
                              </a:ext>
                            </a:extLst>
                          </a:blip>
                          <a:srcRect l="4115" t="3826" r="54551" b="7311"/>
                          <a:stretch>
                            <a:fillRect/>
                          </a:stretch>
                        </pic:blipFill>
                        <pic:spPr bwMode="auto">
                          <a:xfrm>
                            <a:off x="0" y="0"/>
                            <a:ext cx="2738661" cy="3579890"/>
                          </a:xfrm>
                          <a:prstGeom prst="rect">
                            <a:avLst/>
                          </a:prstGeom>
                          <a:ln>
                            <a:noFill/>
                          </a:ln>
                          <a:extLst>
                            <a:ext uri="{53640926-AAD7-44D8-BBD7-CCE9431645EC}">
                              <a14:shadowObscured xmlns:a14="http://schemas.microsoft.com/office/drawing/2010/main"/>
                            </a:ext>
                          </a:extLst>
                        </pic:spPr>
                      </pic:pic>
                    </a:graphicData>
                  </a:graphic>
                </wp:inline>
              </w:drawing>
            </w:r>
          </w:p>
        </w:tc>
        <w:tc>
          <w:tcPr>
            <w:tcW w:w="461" w:type="dxa"/>
          </w:tcPr>
          <w:p w14:paraId="1BD97EF5" w14:textId="77777777" w:rsidR="000C465B" w:rsidRPr="000C465B" w:rsidRDefault="000C465B" w:rsidP="000C465B">
            <w:pPr>
              <w:spacing w:after="0"/>
              <w:jc w:val="left"/>
              <w:rPr>
                <w:b/>
                <w:color w:val="FF0000"/>
                <w:sz w:val="40"/>
                <w:szCs w:val="40"/>
              </w:rPr>
            </w:pPr>
          </w:p>
        </w:tc>
        <w:tc>
          <w:tcPr>
            <w:tcW w:w="4405" w:type="dxa"/>
          </w:tcPr>
          <w:p w14:paraId="01E84E74" w14:textId="77777777" w:rsidR="000C465B" w:rsidRPr="000C465B" w:rsidRDefault="000C465B" w:rsidP="000C465B">
            <w:pPr>
              <w:spacing w:after="0"/>
              <w:jc w:val="left"/>
              <w:rPr>
                <w:b/>
                <w:color w:val="FF0000"/>
                <w:sz w:val="40"/>
                <w:szCs w:val="40"/>
              </w:rPr>
            </w:pPr>
          </w:p>
          <w:p w14:paraId="48167CA0" w14:textId="77777777" w:rsidR="000C465B" w:rsidRPr="000C465B" w:rsidRDefault="000C465B" w:rsidP="000C465B">
            <w:pPr>
              <w:spacing w:after="0"/>
              <w:jc w:val="left"/>
              <w:rPr>
                <w:b/>
                <w:color w:val="FF0000"/>
                <w:sz w:val="40"/>
                <w:szCs w:val="40"/>
              </w:rPr>
            </w:pPr>
          </w:p>
          <w:p w14:paraId="21B7E0B8" w14:textId="77777777" w:rsidR="000C465B" w:rsidRPr="000C465B" w:rsidRDefault="000C465B" w:rsidP="000C465B">
            <w:pPr>
              <w:spacing w:after="0"/>
              <w:jc w:val="left"/>
              <w:rPr>
                <w:b/>
                <w:color w:val="FF0000"/>
                <w:sz w:val="36"/>
                <w:szCs w:val="36"/>
              </w:rPr>
            </w:pPr>
            <w:r w:rsidRPr="000C465B">
              <w:rPr>
                <w:b/>
                <w:color w:val="FF0000"/>
                <w:sz w:val="36"/>
                <w:szCs w:val="36"/>
              </w:rPr>
              <w:t>PROBLEMATIC</w:t>
            </w:r>
          </w:p>
          <w:p w14:paraId="2634AE1D" w14:textId="77777777" w:rsidR="000C465B" w:rsidRPr="000C465B" w:rsidRDefault="000C465B" w:rsidP="000C465B">
            <w:pPr>
              <w:spacing w:after="0"/>
              <w:rPr>
                <w:b/>
                <w:color w:val="FF0000"/>
                <w:sz w:val="20"/>
                <w:szCs w:val="20"/>
              </w:rPr>
            </w:pPr>
            <w:r w:rsidRPr="000C465B">
              <w:rPr>
                <w:sz w:val="20"/>
                <w:szCs w:val="20"/>
              </w:rPr>
              <w:t xml:space="preserve">The CQR on this package is problematic because the expression is clearly within the lower 30% of the PDP. Because CQRs are full statements which have numbers which can be over emphasized, the statements in their entirety need to remain outside the lower 30% of the PDP to ensure separation from the </w:t>
            </w:r>
            <w:proofErr w:type="spellStart"/>
            <w:r w:rsidRPr="000C465B">
              <w:rPr>
                <w:sz w:val="20"/>
                <w:szCs w:val="20"/>
              </w:rPr>
              <w:t>DoNQ</w:t>
            </w:r>
            <w:proofErr w:type="spellEnd"/>
            <w:r w:rsidRPr="000C465B">
              <w:rPr>
                <w:sz w:val="20"/>
                <w:szCs w:val="20"/>
              </w:rPr>
              <w:t xml:space="preserve">.     </w:t>
            </w:r>
          </w:p>
        </w:tc>
      </w:tr>
      <w:tr w:rsidR="000C465B" w:rsidRPr="000C465B" w14:paraId="2D855544" w14:textId="77777777" w:rsidTr="005F0F3E">
        <w:tc>
          <w:tcPr>
            <w:tcW w:w="4484" w:type="dxa"/>
          </w:tcPr>
          <w:p w14:paraId="31BEB1E3" w14:textId="77777777" w:rsidR="000C465B" w:rsidRPr="000C465B" w:rsidRDefault="000C465B" w:rsidP="000C465B">
            <w:pPr>
              <w:spacing w:after="0"/>
              <w:jc w:val="left"/>
              <w:rPr>
                <w:b/>
                <w:color w:val="FF0000"/>
              </w:rPr>
            </w:pPr>
          </w:p>
        </w:tc>
        <w:tc>
          <w:tcPr>
            <w:tcW w:w="461" w:type="dxa"/>
          </w:tcPr>
          <w:p w14:paraId="7BBB2049" w14:textId="77777777" w:rsidR="000C465B" w:rsidRPr="000C465B" w:rsidRDefault="000C465B" w:rsidP="000C465B">
            <w:pPr>
              <w:spacing w:after="0"/>
              <w:jc w:val="left"/>
              <w:rPr>
                <w:b/>
                <w:color w:val="FF0000"/>
              </w:rPr>
            </w:pPr>
          </w:p>
        </w:tc>
        <w:tc>
          <w:tcPr>
            <w:tcW w:w="4405" w:type="dxa"/>
          </w:tcPr>
          <w:p w14:paraId="54D29405" w14:textId="77777777" w:rsidR="000C465B" w:rsidRPr="000C465B" w:rsidRDefault="000C465B" w:rsidP="000C465B">
            <w:pPr>
              <w:spacing w:after="0"/>
              <w:jc w:val="left"/>
              <w:rPr>
                <w:b/>
                <w:color w:val="FF0000"/>
              </w:rPr>
            </w:pPr>
          </w:p>
        </w:tc>
      </w:tr>
    </w:tbl>
    <w:p w14:paraId="6F24D62F" w14:textId="77777777" w:rsidR="000C465B" w:rsidRPr="000C465B" w:rsidRDefault="000C465B" w:rsidP="000C465B">
      <w:pPr>
        <w:spacing w:after="200" w:line="276" w:lineRule="auto"/>
        <w:jc w:val="left"/>
        <w:rPr>
          <w:sz w:val="22"/>
        </w:rPr>
      </w:pPr>
    </w:p>
    <w:p w14:paraId="7339CA06" w14:textId="77777777" w:rsidR="000C465B" w:rsidRPr="000C465B" w:rsidRDefault="000C465B" w:rsidP="000C465B">
      <w:pPr>
        <w:spacing w:after="200" w:line="276" w:lineRule="auto"/>
        <w:jc w:val="left"/>
        <w:rPr>
          <w:sz w:val="22"/>
        </w:rPr>
      </w:pPr>
    </w:p>
    <w:p w14:paraId="0B083940" w14:textId="77777777" w:rsidR="000C465B" w:rsidRPr="000C465B" w:rsidRDefault="000C465B" w:rsidP="000C465B">
      <w:pPr>
        <w:spacing w:after="200" w:line="276" w:lineRule="auto"/>
        <w:jc w:val="left"/>
        <w:rPr>
          <w:b/>
          <w:sz w:val="22"/>
        </w:rPr>
      </w:pPr>
    </w:p>
    <w:p w14:paraId="55890379" w14:textId="77777777" w:rsidR="000C465B" w:rsidRPr="000C465B" w:rsidRDefault="000C465B" w:rsidP="000C465B">
      <w:pPr>
        <w:spacing w:after="200" w:line="276" w:lineRule="auto"/>
        <w:rPr>
          <w:szCs w:val="20"/>
        </w:rPr>
      </w:pPr>
      <w:r w:rsidRPr="000C465B">
        <w:rPr>
          <w:b/>
          <w:szCs w:val="20"/>
        </w:rPr>
        <w:lastRenderedPageBreak/>
        <w:t xml:space="preserve">5.  </w:t>
      </w:r>
      <w:r w:rsidRPr="000C465B">
        <w:rPr>
          <w:b/>
          <w:szCs w:val="20"/>
          <w:u w:val="single"/>
        </w:rPr>
        <w:t>Comparative Performance Representation (CPR)</w:t>
      </w:r>
      <w:r w:rsidRPr="000C465B">
        <w:rPr>
          <w:b/>
          <w:bCs/>
          <w:szCs w:val="20"/>
        </w:rPr>
        <w:t xml:space="preserve"> </w:t>
      </w:r>
      <w:r w:rsidRPr="000C465B">
        <w:rPr>
          <w:szCs w:val="20"/>
        </w:rPr>
        <w:t>– A manufacturer is responsible for ensuring a Comparative Performance Representation (CPR’s) location, font, graphics or wording provides clear and non-misleading information which does not contradict or marginalize the information provided in the required Declaration of Net Quantity (</w:t>
      </w:r>
      <w:proofErr w:type="spellStart"/>
      <w:r w:rsidRPr="000C465B">
        <w:rPr>
          <w:szCs w:val="20"/>
        </w:rPr>
        <w:t>DoNQ</w:t>
      </w:r>
      <w:proofErr w:type="spellEnd"/>
      <w:r w:rsidRPr="000C465B">
        <w:rPr>
          <w:szCs w:val="20"/>
        </w:rPr>
        <w:t xml:space="preserve">).   </w:t>
      </w:r>
    </w:p>
    <w:p w14:paraId="04570DC8" w14:textId="77777777" w:rsidR="000C465B" w:rsidRPr="000C465B" w:rsidRDefault="000C465B" w:rsidP="000C465B">
      <w:pPr>
        <w:spacing w:after="200" w:line="276" w:lineRule="auto"/>
        <w:rPr>
          <w:noProof/>
          <w:szCs w:val="20"/>
        </w:rPr>
      </w:pPr>
      <w:r w:rsidRPr="000C465B">
        <w:rPr>
          <w:szCs w:val="20"/>
        </w:rPr>
        <w:t xml:space="preserve">Comparative Performance Representations can appear in the upper 70% or lower 30% of the Principal Display Panel (PDP) as illustrated in the following examples which illustrate differences in color, font size, expression wording, and graphic design.   </w:t>
      </w:r>
      <w:proofErr w:type="gramStart"/>
      <w:r w:rsidRPr="000C465B">
        <w:rPr>
          <w:szCs w:val="20"/>
        </w:rPr>
        <w:t>A CPR</w:t>
      </w:r>
      <w:proofErr w:type="gramEnd"/>
      <w:r w:rsidRPr="000C465B">
        <w:rPr>
          <w:szCs w:val="20"/>
        </w:rPr>
        <w:t xml:space="preserve"> may employ a single color and font type or may combine 2 or more colors and fonts.  </w:t>
      </w:r>
      <w:r w:rsidRPr="000C465B">
        <w:rPr>
          <w:noProof/>
          <w:szCs w:val="20"/>
        </w:rPr>
        <w:t xml:space="preserve"> </w:t>
      </w:r>
    </w:p>
    <w:tbl>
      <w:tblPr>
        <w:tblStyle w:val="TableGrid22"/>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5"/>
        <w:gridCol w:w="450"/>
        <w:gridCol w:w="4500"/>
      </w:tblGrid>
      <w:tr w:rsidR="000C465B" w:rsidRPr="000C465B" w14:paraId="371AA593" w14:textId="77777777" w:rsidTr="005F0F3E">
        <w:tc>
          <w:tcPr>
            <w:tcW w:w="4495" w:type="dxa"/>
          </w:tcPr>
          <w:tbl>
            <w:tblPr>
              <w:tblStyle w:val="TableGrid22"/>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70"/>
              <w:gridCol w:w="5055"/>
            </w:tblGrid>
            <w:tr w:rsidR="000C465B" w:rsidRPr="000C465B" w14:paraId="23BAFC00" w14:textId="77777777" w:rsidTr="005F0F3E">
              <w:tc>
                <w:tcPr>
                  <w:tcW w:w="4470" w:type="dxa"/>
                </w:tcPr>
                <w:p w14:paraId="1AB85673" w14:textId="77777777" w:rsidR="000C465B" w:rsidRPr="000C465B" w:rsidRDefault="000C465B" w:rsidP="000C465B">
                  <w:pPr>
                    <w:spacing w:after="0"/>
                    <w:jc w:val="center"/>
                    <w:rPr>
                      <w:bCs/>
                    </w:rPr>
                  </w:pPr>
                  <w:bookmarkStart w:id="896" w:name="_Hlk223872660"/>
                </w:p>
              </w:tc>
              <w:tc>
                <w:tcPr>
                  <w:tcW w:w="5055" w:type="dxa"/>
                </w:tcPr>
                <w:p w14:paraId="2CD9345F" w14:textId="77777777" w:rsidR="000C465B" w:rsidRPr="000C465B" w:rsidRDefault="000C465B" w:rsidP="000C465B">
                  <w:pPr>
                    <w:spacing w:after="0"/>
                    <w:jc w:val="center"/>
                    <w:rPr>
                      <w:bCs/>
                    </w:rPr>
                  </w:pPr>
                </w:p>
              </w:tc>
            </w:tr>
            <w:tr w:rsidR="000C465B" w:rsidRPr="000C465B" w14:paraId="752753D1" w14:textId="77777777" w:rsidTr="005F0F3E">
              <w:tc>
                <w:tcPr>
                  <w:tcW w:w="4470" w:type="dxa"/>
                </w:tcPr>
                <w:p w14:paraId="57625D85" w14:textId="77777777" w:rsidR="000C465B" w:rsidRPr="000C465B" w:rsidRDefault="000C465B" w:rsidP="000C465B">
                  <w:pPr>
                    <w:spacing w:after="0"/>
                    <w:rPr>
                      <w:bCs/>
                    </w:rPr>
                  </w:pPr>
                  <w:r w:rsidRPr="000C465B">
                    <w:t xml:space="preserve">    </w:t>
                  </w:r>
                  <w:r w:rsidRPr="000C465B">
                    <w:rPr>
                      <w:noProof/>
                    </w:rPr>
                    <w:drawing>
                      <wp:inline distT="0" distB="0" distL="0" distR="0" wp14:anchorId="530DAFE8" wp14:editId="4F22335E">
                        <wp:extent cx="2722439" cy="4646295"/>
                        <wp:effectExtent l="0" t="0" r="1905" b="1905"/>
                        <wp:docPr id="5359805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80593" name="Picture 8"/>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2724041" cy="4649029"/>
                                </a:xfrm>
                                <a:prstGeom prst="rect">
                                  <a:avLst/>
                                </a:prstGeom>
                                <a:noFill/>
                                <a:ln>
                                  <a:noFill/>
                                </a:ln>
                              </pic:spPr>
                            </pic:pic>
                          </a:graphicData>
                        </a:graphic>
                      </wp:inline>
                    </w:drawing>
                  </w:r>
                </w:p>
              </w:tc>
              <w:tc>
                <w:tcPr>
                  <w:tcW w:w="5055" w:type="dxa"/>
                </w:tcPr>
                <w:p w14:paraId="73AAA921" w14:textId="77777777" w:rsidR="000C465B" w:rsidRPr="000C465B" w:rsidRDefault="000C465B" w:rsidP="000C465B">
                  <w:pPr>
                    <w:spacing w:after="0"/>
                    <w:jc w:val="center"/>
                    <w:rPr>
                      <w:bCs/>
                    </w:rPr>
                  </w:pPr>
                </w:p>
              </w:tc>
            </w:tr>
            <w:bookmarkEnd w:id="896"/>
          </w:tbl>
          <w:p w14:paraId="00C76A72" w14:textId="77777777" w:rsidR="000C465B" w:rsidRPr="000C465B" w:rsidRDefault="000C465B" w:rsidP="000C465B">
            <w:pPr>
              <w:spacing w:after="0"/>
              <w:jc w:val="center"/>
              <w:rPr>
                <w:bCs/>
              </w:rPr>
            </w:pPr>
          </w:p>
        </w:tc>
        <w:tc>
          <w:tcPr>
            <w:tcW w:w="450" w:type="dxa"/>
          </w:tcPr>
          <w:p w14:paraId="7D4B5214" w14:textId="77777777" w:rsidR="000C465B" w:rsidRPr="000C465B" w:rsidRDefault="000C465B" w:rsidP="000C465B">
            <w:pPr>
              <w:spacing w:after="0"/>
              <w:jc w:val="center"/>
              <w:rPr>
                <w:noProof/>
              </w:rPr>
            </w:pPr>
          </w:p>
        </w:tc>
        <w:tc>
          <w:tcPr>
            <w:tcW w:w="4500" w:type="dxa"/>
          </w:tcPr>
          <w:p w14:paraId="4D98D216" w14:textId="77777777" w:rsidR="000C465B" w:rsidRPr="000C465B" w:rsidRDefault="000C465B" w:rsidP="000C465B">
            <w:pPr>
              <w:spacing w:after="0"/>
              <w:jc w:val="center"/>
              <w:rPr>
                <w:bCs/>
              </w:rPr>
            </w:pPr>
          </w:p>
          <w:p w14:paraId="7AC06EEE" w14:textId="77777777" w:rsidR="000C465B" w:rsidRPr="000C465B" w:rsidRDefault="000C465B" w:rsidP="000C465B">
            <w:pPr>
              <w:spacing w:after="0"/>
              <w:jc w:val="center"/>
              <w:rPr>
                <w:bCs/>
              </w:rPr>
            </w:pPr>
          </w:p>
          <w:p w14:paraId="436C919A" w14:textId="77777777" w:rsidR="000C465B" w:rsidRPr="000C465B" w:rsidRDefault="000C465B" w:rsidP="000C465B">
            <w:pPr>
              <w:spacing w:after="0"/>
              <w:jc w:val="center"/>
              <w:rPr>
                <w:bCs/>
              </w:rPr>
            </w:pPr>
            <w:r w:rsidRPr="000C465B">
              <w:rPr>
                <w:noProof/>
              </w:rPr>
              <w:drawing>
                <wp:inline distT="0" distB="0" distL="0" distR="0" wp14:anchorId="6E19800D" wp14:editId="635269EF">
                  <wp:extent cx="2722772" cy="4646864"/>
                  <wp:effectExtent l="0" t="0" r="1905" b="1905"/>
                  <wp:docPr id="195808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844" name="Picture 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2722772" cy="4646864"/>
                          </a:xfrm>
                          <a:prstGeom prst="rect">
                            <a:avLst/>
                          </a:prstGeom>
                          <a:noFill/>
                          <a:ln>
                            <a:noFill/>
                          </a:ln>
                        </pic:spPr>
                      </pic:pic>
                    </a:graphicData>
                  </a:graphic>
                </wp:inline>
              </w:drawing>
            </w:r>
          </w:p>
        </w:tc>
      </w:tr>
      <w:tr w:rsidR="000C465B" w:rsidRPr="000C465B" w14:paraId="216CB0EF" w14:textId="77777777" w:rsidTr="005F0F3E">
        <w:trPr>
          <w:trHeight w:val="512"/>
        </w:trPr>
        <w:tc>
          <w:tcPr>
            <w:tcW w:w="4495" w:type="dxa"/>
          </w:tcPr>
          <w:p w14:paraId="144ED012" w14:textId="77777777" w:rsidR="000C465B" w:rsidRPr="000C465B" w:rsidRDefault="000C465B" w:rsidP="000C465B">
            <w:pPr>
              <w:spacing w:after="0"/>
              <w:contextualSpacing/>
              <w:jc w:val="center"/>
              <w:rPr>
                <w:sz w:val="36"/>
                <w:szCs w:val="36"/>
              </w:rPr>
            </w:pPr>
            <w:r w:rsidRPr="000C465B">
              <w:rPr>
                <w:b/>
                <w:color w:val="00B050"/>
                <w:sz w:val="36"/>
                <w:szCs w:val="36"/>
              </w:rPr>
              <w:t>PREFERRED</w:t>
            </w:r>
          </w:p>
        </w:tc>
        <w:tc>
          <w:tcPr>
            <w:tcW w:w="450" w:type="dxa"/>
          </w:tcPr>
          <w:p w14:paraId="2E9109F2" w14:textId="77777777" w:rsidR="000C465B" w:rsidRPr="000C465B" w:rsidRDefault="000C465B" w:rsidP="000C465B">
            <w:pPr>
              <w:spacing w:after="0"/>
              <w:contextualSpacing/>
              <w:jc w:val="center"/>
              <w:rPr>
                <w:b/>
                <w:color w:val="FF0000"/>
                <w:sz w:val="40"/>
                <w:szCs w:val="40"/>
              </w:rPr>
            </w:pPr>
          </w:p>
        </w:tc>
        <w:tc>
          <w:tcPr>
            <w:tcW w:w="4500" w:type="dxa"/>
          </w:tcPr>
          <w:p w14:paraId="0D3766BA" w14:textId="77777777" w:rsidR="000C465B" w:rsidRPr="000C465B" w:rsidRDefault="000C465B" w:rsidP="000C465B">
            <w:pPr>
              <w:spacing w:after="0"/>
              <w:contextualSpacing/>
              <w:jc w:val="center"/>
              <w:rPr>
                <w:b/>
                <w:color w:val="FF0000"/>
                <w:sz w:val="36"/>
                <w:szCs w:val="36"/>
              </w:rPr>
            </w:pPr>
            <w:r w:rsidRPr="000C465B">
              <w:rPr>
                <w:b/>
                <w:color w:val="FF0000"/>
                <w:sz w:val="36"/>
                <w:szCs w:val="36"/>
              </w:rPr>
              <w:t>PROBLEMATIC</w:t>
            </w:r>
          </w:p>
        </w:tc>
      </w:tr>
      <w:tr w:rsidR="000C465B" w:rsidRPr="000C465B" w14:paraId="0C094548" w14:textId="77777777" w:rsidTr="005F0F3E">
        <w:tc>
          <w:tcPr>
            <w:tcW w:w="4495" w:type="dxa"/>
          </w:tcPr>
          <w:p w14:paraId="61CC7F9D" w14:textId="77777777" w:rsidR="000C465B" w:rsidRPr="000C465B" w:rsidRDefault="000C465B" w:rsidP="000C465B">
            <w:pPr>
              <w:spacing w:after="0"/>
              <w:rPr>
                <w:sz w:val="20"/>
                <w:szCs w:val="20"/>
              </w:rPr>
            </w:pPr>
            <w:r w:rsidRPr="000C465B">
              <w:rPr>
                <w:sz w:val="20"/>
                <w:szCs w:val="20"/>
              </w:rPr>
              <w:t xml:space="preserve">The CPR on this package is an expression which clearly compares the number of Loads delivered between 2 specific packages. The statement is clearly separate from the </w:t>
            </w:r>
            <w:proofErr w:type="spellStart"/>
            <w:r w:rsidRPr="000C465B">
              <w:rPr>
                <w:sz w:val="20"/>
                <w:szCs w:val="20"/>
              </w:rPr>
              <w:t>DoNQ</w:t>
            </w:r>
            <w:proofErr w:type="spellEnd"/>
            <w:r w:rsidRPr="000C465B">
              <w:rPr>
                <w:sz w:val="20"/>
                <w:szCs w:val="20"/>
              </w:rPr>
              <w:t xml:space="preserve">.     </w:t>
            </w:r>
          </w:p>
          <w:p w14:paraId="7D488C1D" w14:textId="77777777" w:rsidR="000C465B" w:rsidRPr="000C465B" w:rsidRDefault="000C465B" w:rsidP="000C465B">
            <w:pPr>
              <w:spacing w:after="0"/>
              <w:jc w:val="center"/>
              <w:rPr>
                <w:bCs/>
              </w:rPr>
            </w:pPr>
          </w:p>
        </w:tc>
        <w:tc>
          <w:tcPr>
            <w:tcW w:w="450" w:type="dxa"/>
          </w:tcPr>
          <w:p w14:paraId="63342BD2" w14:textId="77777777" w:rsidR="000C465B" w:rsidRPr="000C465B" w:rsidRDefault="000C465B" w:rsidP="000C465B">
            <w:pPr>
              <w:spacing w:after="0"/>
              <w:jc w:val="left"/>
              <w:rPr>
                <w:color w:val="80319F"/>
              </w:rPr>
            </w:pPr>
          </w:p>
        </w:tc>
        <w:tc>
          <w:tcPr>
            <w:tcW w:w="4500" w:type="dxa"/>
          </w:tcPr>
          <w:p w14:paraId="6381F7B8" w14:textId="77777777" w:rsidR="000C465B" w:rsidRPr="000C465B" w:rsidRDefault="000C465B" w:rsidP="000C465B">
            <w:pPr>
              <w:spacing w:after="0"/>
              <w:rPr>
                <w:bCs/>
                <w:sz w:val="20"/>
                <w:szCs w:val="20"/>
              </w:rPr>
            </w:pPr>
            <w:r w:rsidRPr="000C465B">
              <w:rPr>
                <w:sz w:val="20"/>
                <w:szCs w:val="20"/>
              </w:rPr>
              <w:t xml:space="preserve">The CPR on this package is a general statement comparing this package to powdered detergents </w:t>
            </w:r>
            <w:r w:rsidRPr="000C465B">
              <w:rPr>
                <w:spacing w:val="4"/>
                <w:sz w:val="20"/>
                <w:szCs w:val="20"/>
              </w:rPr>
              <w:t xml:space="preserve">without clear comparison to any specific package. While located separate from the </w:t>
            </w:r>
            <w:proofErr w:type="spellStart"/>
            <w:r w:rsidRPr="000C465B">
              <w:rPr>
                <w:spacing w:val="4"/>
                <w:sz w:val="20"/>
                <w:szCs w:val="20"/>
              </w:rPr>
              <w:t>DoNQ</w:t>
            </w:r>
            <w:proofErr w:type="spellEnd"/>
            <w:r w:rsidRPr="000C465B">
              <w:rPr>
                <w:spacing w:val="4"/>
                <w:sz w:val="20"/>
                <w:szCs w:val="20"/>
              </w:rPr>
              <w:t xml:space="preserve">, a CPR needs to provide </w:t>
            </w:r>
            <w:proofErr w:type="gramStart"/>
            <w:r w:rsidRPr="000C465B">
              <w:rPr>
                <w:spacing w:val="4"/>
                <w:sz w:val="20"/>
                <w:szCs w:val="20"/>
              </w:rPr>
              <w:t>specific and</w:t>
            </w:r>
            <w:proofErr w:type="gramEnd"/>
            <w:r w:rsidRPr="000C465B">
              <w:rPr>
                <w:sz w:val="20"/>
                <w:szCs w:val="20"/>
              </w:rPr>
              <w:t xml:space="preserve"> comparisons which can be used by consumers and verified by regulators.   </w:t>
            </w:r>
          </w:p>
        </w:tc>
      </w:tr>
    </w:tbl>
    <w:p w14:paraId="5AB3A329" w14:textId="77777777" w:rsidR="000C465B" w:rsidRPr="000C465B" w:rsidRDefault="000C465B" w:rsidP="000C465B">
      <w:pPr>
        <w:spacing w:after="200" w:line="276" w:lineRule="auto"/>
        <w:jc w:val="left"/>
        <w:rPr>
          <w:b/>
          <w:bCs/>
          <w:sz w:val="22"/>
          <w:u w:val="single"/>
        </w:rPr>
      </w:pPr>
    </w:p>
    <w:p w14:paraId="24DCE834" w14:textId="77777777" w:rsidR="0028091E" w:rsidRDefault="0028091E" w:rsidP="000C465B">
      <w:pPr>
        <w:spacing w:after="200" w:line="276" w:lineRule="auto"/>
        <w:jc w:val="center"/>
        <w:rPr>
          <w:b/>
          <w:sz w:val="40"/>
          <w:szCs w:val="40"/>
        </w:rPr>
      </w:pPr>
    </w:p>
    <w:p w14:paraId="38874B17" w14:textId="701D0886" w:rsidR="000C465B" w:rsidRPr="000C465B" w:rsidRDefault="000C465B" w:rsidP="000C465B">
      <w:pPr>
        <w:spacing w:after="200" w:line="276" w:lineRule="auto"/>
        <w:jc w:val="center"/>
        <w:rPr>
          <w:b/>
          <w:sz w:val="40"/>
          <w:szCs w:val="40"/>
        </w:rPr>
      </w:pPr>
      <w:bookmarkStart w:id="897" w:name="Resources"/>
      <w:bookmarkEnd w:id="897"/>
      <w:r w:rsidRPr="000C465B">
        <w:rPr>
          <w:b/>
          <w:sz w:val="40"/>
          <w:szCs w:val="40"/>
        </w:rPr>
        <w:lastRenderedPageBreak/>
        <w:t>Resources</w:t>
      </w:r>
    </w:p>
    <w:p w14:paraId="39587A1D" w14:textId="77777777" w:rsidR="000C465B" w:rsidRPr="000C465B" w:rsidRDefault="000C465B" w:rsidP="000C465B">
      <w:pPr>
        <w:spacing w:after="0"/>
        <w:jc w:val="left"/>
        <w:rPr>
          <w:b/>
          <w:bCs/>
          <w:sz w:val="22"/>
        </w:rPr>
      </w:pPr>
    </w:p>
    <w:p w14:paraId="12516C53" w14:textId="77777777" w:rsidR="000C465B" w:rsidRPr="000C465B" w:rsidRDefault="000C465B" w:rsidP="000C465B">
      <w:pPr>
        <w:spacing w:after="0"/>
        <w:jc w:val="left"/>
        <w:rPr>
          <w:b/>
          <w:bCs/>
          <w:sz w:val="22"/>
        </w:rPr>
      </w:pPr>
    </w:p>
    <w:p w14:paraId="58B5720F" w14:textId="77777777" w:rsidR="000C465B" w:rsidRPr="000C465B" w:rsidRDefault="000C465B" w:rsidP="000C465B">
      <w:pPr>
        <w:spacing w:after="0"/>
        <w:rPr>
          <w:b/>
          <w:bCs/>
          <w:sz w:val="22"/>
        </w:rPr>
      </w:pPr>
      <w:r w:rsidRPr="000C465B">
        <w:rPr>
          <w:b/>
          <w:bCs/>
          <w:sz w:val="22"/>
        </w:rPr>
        <w:t xml:space="preserve">Federal Trade Commission Act (15 U.S.C. § 45) </w:t>
      </w:r>
    </w:p>
    <w:p w14:paraId="43E59559" w14:textId="77777777" w:rsidR="000C465B" w:rsidRPr="000C465B" w:rsidRDefault="000C465B" w:rsidP="000C465B">
      <w:pPr>
        <w:spacing w:after="0"/>
        <w:rPr>
          <w:sz w:val="22"/>
        </w:rPr>
      </w:pPr>
      <w:hyperlink r:id="rId87" w:history="1">
        <w:r w:rsidRPr="000C465B">
          <w:rPr>
            <w:color w:val="0000FF"/>
            <w:sz w:val="22"/>
            <w:u w:val="single"/>
          </w:rPr>
          <w:t>https://www.ftc.gov/legal-library/browse/statutes/federal-trade-commission-act</w:t>
        </w:r>
      </w:hyperlink>
    </w:p>
    <w:p w14:paraId="599F4063" w14:textId="77777777" w:rsidR="000C465B" w:rsidRPr="000C465B" w:rsidRDefault="000C465B" w:rsidP="000C465B">
      <w:pPr>
        <w:spacing w:after="0"/>
        <w:rPr>
          <w:sz w:val="8"/>
          <w:szCs w:val="8"/>
        </w:rPr>
      </w:pPr>
    </w:p>
    <w:p w14:paraId="4D75F3A0" w14:textId="77777777" w:rsidR="000C465B" w:rsidRPr="000C465B" w:rsidRDefault="000C465B" w:rsidP="000C465B">
      <w:pPr>
        <w:spacing w:after="0"/>
        <w:rPr>
          <w:sz w:val="22"/>
        </w:rPr>
      </w:pPr>
      <w:hyperlink r:id="rId88" w:history="1">
        <w:r w:rsidRPr="000C465B">
          <w:rPr>
            <w:color w:val="0000FF"/>
            <w:sz w:val="22"/>
            <w:u w:val="single"/>
          </w:rPr>
          <w:t>https://www.ftc.govhttp://uscode.house.gov/view.xhtml</w:t>
        </w:r>
      </w:hyperlink>
    </w:p>
    <w:p w14:paraId="41101CEA" w14:textId="77777777" w:rsidR="000C465B" w:rsidRPr="000C465B" w:rsidRDefault="000C465B" w:rsidP="000C465B">
      <w:pPr>
        <w:spacing w:after="0"/>
        <w:jc w:val="left"/>
        <w:rPr>
          <w:b/>
          <w:bCs/>
          <w:sz w:val="22"/>
        </w:rPr>
      </w:pPr>
    </w:p>
    <w:p w14:paraId="2232040B" w14:textId="77777777" w:rsidR="000C465B" w:rsidRPr="000C465B" w:rsidRDefault="000C465B" w:rsidP="000C465B">
      <w:pPr>
        <w:spacing w:after="0"/>
        <w:jc w:val="left"/>
        <w:rPr>
          <w:b/>
          <w:bCs/>
          <w:sz w:val="22"/>
        </w:rPr>
      </w:pPr>
      <w:r w:rsidRPr="000C465B">
        <w:rPr>
          <w:b/>
          <w:bCs/>
          <w:sz w:val="22"/>
        </w:rPr>
        <w:t xml:space="preserve">Fair Packaging and Labeling Act </w:t>
      </w:r>
    </w:p>
    <w:p w14:paraId="258BE7BD" w14:textId="7482167D" w:rsidR="00E95F83" w:rsidRPr="006749C7" w:rsidRDefault="00E95F83" w:rsidP="006749C7">
      <w:pPr>
        <w:pStyle w:val="EmailWeb"/>
      </w:pPr>
      <w:hyperlink r:id="rId89" w:history="1">
        <w:r w:rsidRPr="006749C7">
          <w:t>https://www.ftc.gov/legal-library/browse/rules/fair-packaging-labeling-act-regulations-under-section-4-fair-packaging-labeling-act</w:t>
        </w:r>
      </w:hyperlink>
    </w:p>
    <w:p w14:paraId="3E9E5720" w14:textId="77777777" w:rsidR="00E95F83" w:rsidRDefault="00E95F83" w:rsidP="00E95F83">
      <w:pPr>
        <w:spacing w:after="0"/>
      </w:pPr>
    </w:p>
    <w:p w14:paraId="525CDAFB" w14:textId="63D0B589" w:rsidR="000C465B" w:rsidRPr="000C465B" w:rsidRDefault="000C465B" w:rsidP="00613847">
      <w:pPr>
        <w:rPr>
          <w:sz w:val="22"/>
        </w:rPr>
      </w:pPr>
      <w:r w:rsidRPr="000C465B">
        <w:rPr>
          <w:b/>
          <w:bCs/>
          <w:sz w:val="22"/>
        </w:rPr>
        <w:t>NIST Handbook 130 Uniform Laws and Regulations</w:t>
      </w:r>
      <w:r w:rsidRPr="000C465B">
        <w:rPr>
          <w:sz w:val="22"/>
        </w:rPr>
        <w:t xml:space="preserve"> </w:t>
      </w:r>
      <w:r w:rsidRPr="000C465B">
        <w:rPr>
          <w:i/>
          <w:iCs/>
          <w:sz w:val="22"/>
        </w:rPr>
        <w:t>(includes Uniform Weights and Measures Law, Uniform Packaging and Labeling Regulation, Uniform E-Commerce Regulation</w:t>
      </w:r>
      <w:r w:rsidR="00E95F83">
        <w:rPr>
          <w:i/>
          <w:iCs/>
          <w:sz w:val="22"/>
        </w:rPr>
        <w:t>)</w:t>
      </w:r>
      <w:r w:rsidRPr="000C465B">
        <w:rPr>
          <w:i/>
          <w:iCs/>
          <w:sz w:val="22"/>
        </w:rPr>
        <w:t xml:space="preserve"> </w:t>
      </w:r>
      <w:hyperlink r:id="rId90" w:history="1">
        <w:r w:rsidR="00613847" w:rsidRPr="00613847">
          <w:rPr>
            <w:rStyle w:val="EmailWebChar"/>
          </w:rPr>
          <w:t>https://www.nist.gov/pml/owm/owm-products-and-services/publications-and-documentary-standards/handbooks</w:t>
        </w:r>
      </w:hyperlink>
    </w:p>
    <w:p w14:paraId="31427DC2" w14:textId="77777777" w:rsidR="00613847" w:rsidRDefault="000C465B" w:rsidP="000C465B">
      <w:pPr>
        <w:spacing w:after="0"/>
        <w:jc w:val="left"/>
        <w:rPr>
          <w:b/>
          <w:bCs/>
          <w:sz w:val="22"/>
        </w:rPr>
      </w:pPr>
      <w:r w:rsidRPr="000C465B">
        <w:rPr>
          <w:b/>
          <w:bCs/>
          <w:sz w:val="22"/>
        </w:rPr>
        <w:t>FDA Food Labeling Guide</w:t>
      </w:r>
    </w:p>
    <w:p w14:paraId="4F49B22A" w14:textId="6BF85785" w:rsidR="000C465B" w:rsidRPr="000C465B" w:rsidRDefault="000C465B" w:rsidP="000C465B">
      <w:pPr>
        <w:spacing w:after="0"/>
        <w:jc w:val="left"/>
        <w:rPr>
          <w:color w:val="595959"/>
          <w:sz w:val="22"/>
        </w:rPr>
      </w:pPr>
      <w:hyperlink r:id="rId91" w:history="1">
        <w:r w:rsidRPr="000C465B">
          <w:rPr>
            <w:color w:val="0000FF"/>
            <w:sz w:val="22"/>
            <w:u w:val="single"/>
          </w:rPr>
          <w:t>https://www.fda.gov/foodlabelingguide</w:t>
        </w:r>
      </w:hyperlink>
      <w:r w:rsidRPr="000C465B">
        <w:rPr>
          <w:color w:val="595959"/>
          <w:sz w:val="22"/>
        </w:rPr>
        <w:t xml:space="preserve"> </w:t>
      </w:r>
    </w:p>
    <w:p w14:paraId="5944CD13" w14:textId="77777777" w:rsidR="000C465B" w:rsidRPr="000C465B" w:rsidRDefault="000C465B" w:rsidP="000C465B">
      <w:pPr>
        <w:spacing w:after="0"/>
        <w:jc w:val="left"/>
        <w:rPr>
          <w:color w:val="595959"/>
          <w:sz w:val="22"/>
        </w:rPr>
      </w:pPr>
    </w:p>
    <w:p w14:paraId="33487725" w14:textId="77777777" w:rsidR="00613847" w:rsidRDefault="000C465B" w:rsidP="000C465B">
      <w:pPr>
        <w:spacing w:after="0"/>
        <w:jc w:val="left"/>
        <w:rPr>
          <w:sz w:val="22"/>
        </w:rPr>
      </w:pPr>
      <w:r w:rsidRPr="000C465B">
        <w:rPr>
          <w:b/>
          <w:bCs/>
          <w:sz w:val="22"/>
        </w:rPr>
        <w:t>FDA Updated Nutrition Labeling Examples</w:t>
      </w:r>
    </w:p>
    <w:p w14:paraId="3F7C273F" w14:textId="34AB8635" w:rsidR="000C465B" w:rsidRPr="000C465B" w:rsidRDefault="000C465B" w:rsidP="000C465B">
      <w:pPr>
        <w:spacing w:after="0"/>
        <w:jc w:val="left"/>
        <w:rPr>
          <w:color w:val="595959"/>
          <w:sz w:val="22"/>
        </w:rPr>
      </w:pPr>
      <w:hyperlink r:id="rId92" w:history="1">
        <w:r w:rsidRPr="000C465B">
          <w:rPr>
            <w:color w:val="0000FF"/>
            <w:sz w:val="22"/>
            <w:u w:val="single"/>
          </w:rPr>
          <w:t>https://www.fda.gov/media/99151/download</w:t>
        </w:r>
      </w:hyperlink>
      <w:r w:rsidRPr="000C465B">
        <w:rPr>
          <w:color w:val="595959"/>
          <w:sz w:val="22"/>
        </w:rPr>
        <w:t xml:space="preserve"> </w:t>
      </w:r>
    </w:p>
    <w:p w14:paraId="18FA7175" w14:textId="77777777" w:rsidR="000C465B" w:rsidRPr="000C465B" w:rsidRDefault="000C465B" w:rsidP="000C465B">
      <w:pPr>
        <w:spacing w:after="0"/>
        <w:jc w:val="left"/>
        <w:rPr>
          <w:color w:val="595959"/>
          <w:sz w:val="22"/>
        </w:rPr>
      </w:pPr>
    </w:p>
    <w:p w14:paraId="5ADF599D" w14:textId="381FEC48" w:rsidR="000C465B" w:rsidRPr="000C465B" w:rsidRDefault="000C465B" w:rsidP="000C465B">
      <w:pPr>
        <w:spacing w:after="0"/>
        <w:jc w:val="left"/>
        <w:rPr>
          <w:sz w:val="22"/>
        </w:rPr>
      </w:pPr>
      <w:r w:rsidRPr="000C465B">
        <w:rPr>
          <w:b/>
          <w:bCs/>
          <w:sz w:val="22"/>
        </w:rPr>
        <w:t xml:space="preserve">FDA Cosmetic Labeling Regulations                                                                  </w:t>
      </w:r>
      <w:hyperlink r:id="rId93" w:history="1">
        <w:r w:rsidR="00613847" w:rsidRPr="00613847">
          <w:rPr>
            <w:rStyle w:val="EmailWebChar"/>
          </w:rPr>
          <w:t>https://www.fda.gov/cosmetics/cosmetics-laws-regulations/regulations-related-cosmetics-title-21-code-federal-regulations-21-cfr</w:t>
        </w:r>
      </w:hyperlink>
    </w:p>
    <w:p w14:paraId="457DBA25" w14:textId="77777777" w:rsidR="000C465B" w:rsidRPr="000C465B" w:rsidRDefault="000C465B" w:rsidP="000C465B">
      <w:pPr>
        <w:spacing w:after="0"/>
        <w:jc w:val="left"/>
        <w:rPr>
          <w:sz w:val="22"/>
        </w:rPr>
      </w:pPr>
    </w:p>
    <w:p w14:paraId="035AFCAE" w14:textId="77777777" w:rsidR="000C465B" w:rsidRPr="000C465B" w:rsidRDefault="000C465B" w:rsidP="000C465B">
      <w:pPr>
        <w:spacing w:after="0"/>
        <w:jc w:val="left"/>
        <w:rPr>
          <w:sz w:val="22"/>
        </w:rPr>
      </w:pPr>
      <w:r w:rsidRPr="000C465B">
        <w:rPr>
          <w:b/>
          <w:bCs/>
          <w:sz w:val="22"/>
        </w:rPr>
        <w:t>FDA Cosmetic Labeling Guide</w:t>
      </w:r>
      <w:r w:rsidRPr="000C465B">
        <w:rPr>
          <w:i/>
          <w:iCs/>
          <w:sz w:val="22"/>
        </w:rPr>
        <w:t xml:space="preserve">                                                                      </w:t>
      </w:r>
      <w:hyperlink r:id="rId94" w:history="1">
        <w:r w:rsidRPr="000C465B">
          <w:rPr>
            <w:color w:val="0000FF"/>
            <w:sz w:val="22"/>
            <w:u w:val="single"/>
          </w:rPr>
          <w:t>https://www.fda.gov/cosmetics/cosmetics-labeling-regulations/cosmetics-labeling-guide</w:t>
        </w:r>
      </w:hyperlink>
    </w:p>
    <w:p w14:paraId="549C4D84" w14:textId="77777777" w:rsidR="000C465B" w:rsidRPr="000C465B" w:rsidRDefault="000C465B" w:rsidP="000C465B">
      <w:pPr>
        <w:spacing w:after="0"/>
        <w:jc w:val="left"/>
        <w:rPr>
          <w:sz w:val="22"/>
        </w:rPr>
      </w:pPr>
    </w:p>
    <w:p w14:paraId="0B56A489" w14:textId="77777777" w:rsidR="000C465B" w:rsidRPr="000C465B" w:rsidRDefault="000C465B" w:rsidP="000C465B">
      <w:pPr>
        <w:spacing w:after="0"/>
        <w:rPr>
          <w:rFonts w:ascii="Arial" w:hAnsi="Arial"/>
          <w:szCs w:val="20"/>
        </w:rPr>
      </w:pPr>
    </w:p>
    <w:p w14:paraId="15F2DE9C" w14:textId="77777777" w:rsidR="000C465B" w:rsidRPr="000C465B" w:rsidRDefault="000C465B" w:rsidP="000C465B">
      <w:pPr>
        <w:spacing w:after="0"/>
        <w:rPr>
          <w:rFonts w:ascii="Arial" w:hAnsi="Arial"/>
          <w:szCs w:val="20"/>
        </w:rPr>
      </w:pPr>
    </w:p>
    <w:p w14:paraId="2152BB0D" w14:textId="77777777" w:rsidR="000C465B" w:rsidRPr="000C465B" w:rsidRDefault="000C465B" w:rsidP="000C465B">
      <w:pPr>
        <w:spacing w:after="0"/>
        <w:jc w:val="left"/>
        <w:rPr>
          <w:rFonts w:ascii="Calibri" w:hAnsi="Calibri" w:cs="Calibri"/>
          <w:sz w:val="22"/>
        </w:rPr>
      </w:pPr>
    </w:p>
    <w:p w14:paraId="7DDE93EC" w14:textId="77777777" w:rsidR="000C465B" w:rsidRPr="000C465B" w:rsidRDefault="000C465B" w:rsidP="000C465B">
      <w:pPr>
        <w:spacing w:after="0"/>
        <w:jc w:val="left"/>
        <w:rPr>
          <w:rFonts w:ascii="Calibri" w:hAnsi="Calibri" w:cs="Calibri"/>
          <w:color w:val="595959"/>
          <w:sz w:val="22"/>
        </w:rPr>
      </w:pPr>
    </w:p>
    <w:p w14:paraId="5EDDB965" w14:textId="77777777" w:rsidR="000C465B" w:rsidRPr="000C465B" w:rsidRDefault="000C465B" w:rsidP="000C465B">
      <w:pPr>
        <w:spacing w:after="0"/>
        <w:jc w:val="left"/>
        <w:rPr>
          <w:rFonts w:ascii="Arial" w:hAnsi="Arial" w:cs="Arial"/>
          <w:color w:val="595959"/>
          <w:sz w:val="22"/>
        </w:rPr>
      </w:pPr>
    </w:p>
    <w:p w14:paraId="7B1E50D9" w14:textId="77777777" w:rsidR="000C465B" w:rsidRPr="000C465B" w:rsidRDefault="000C465B" w:rsidP="000C465B">
      <w:pPr>
        <w:spacing w:after="0"/>
        <w:jc w:val="left"/>
        <w:rPr>
          <w:rFonts w:ascii="Calibri" w:hAnsi="Calibri" w:cs="Calibri"/>
          <w:color w:val="595959"/>
          <w:sz w:val="22"/>
        </w:rPr>
      </w:pPr>
    </w:p>
    <w:p w14:paraId="55108A05" w14:textId="77777777" w:rsidR="000C465B" w:rsidRPr="000C465B" w:rsidRDefault="000C465B" w:rsidP="000C465B">
      <w:pPr>
        <w:spacing w:after="0"/>
        <w:jc w:val="left"/>
        <w:rPr>
          <w:rFonts w:ascii="Calibri" w:hAnsi="Calibri" w:cs="Calibri"/>
          <w:color w:val="595959"/>
          <w:sz w:val="22"/>
        </w:rPr>
      </w:pPr>
    </w:p>
    <w:p w14:paraId="4F46F805" w14:textId="582A2E62" w:rsidR="007D489A" w:rsidRPr="00185462" w:rsidRDefault="007D489A" w:rsidP="009170BE">
      <w:pPr>
        <w:spacing w:after="0"/>
        <w:jc w:val="left"/>
        <w:rPr>
          <w:b/>
          <w:sz w:val="28"/>
          <w:szCs w:val="28"/>
        </w:rPr>
      </w:pPr>
    </w:p>
    <w:sectPr w:rsidR="007D489A" w:rsidRPr="00185462" w:rsidSect="00063DA2">
      <w:headerReference w:type="even" r:id="rId95"/>
      <w:headerReference w:type="default" r:id="rId96"/>
      <w:footerReference w:type="even" r:id="rId97"/>
      <w:footerReference w:type="default" r:id="rId98"/>
      <w:pgSz w:w="12240" w:h="15840"/>
      <w:pgMar w:top="1440" w:right="1350" w:bottom="1440" w:left="1440" w:header="576" w:footer="0" w:gutter="0"/>
      <w:pgNumType w:start="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08C0" w14:textId="77777777" w:rsidR="00CE3D5D" w:rsidRDefault="00CE3D5D" w:rsidP="0082263A">
      <w:r>
        <w:separator/>
      </w:r>
    </w:p>
    <w:p w14:paraId="6ADF8497" w14:textId="77777777" w:rsidR="00CE3D5D" w:rsidRDefault="00CE3D5D"/>
  </w:endnote>
  <w:endnote w:type="continuationSeparator" w:id="0">
    <w:p w14:paraId="2818F1F5" w14:textId="77777777" w:rsidR="00CE3D5D" w:rsidRDefault="00CE3D5D" w:rsidP="0082263A">
      <w:r>
        <w:continuationSeparator/>
      </w:r>
    </w:p>
    <w:p w14:paraId="6007112E" w14:textId="77777777" w:rsidR="00CE3D5D" w:rsidRDefault="00CE3D5D"/>
  </w:endnote>
  <w:endnote w:type="continuationNotice" w:id="1">
    <w:p w14:paraId="2C1F8BF2" w14:textId="77777777" w:rsidR="00CE3D5D" w:rsidRDefault="00CE3D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73B9" w14:textId="7A658A92" w:rsidR="00B63703" w:rsidRDefault="00B63703" w:rsidP="008468A0">
    <w:pPr>
      <w:tabs>
        <w:tab w:val="center" w:pos="4680"/>
        <w:tab w:val="right" w:pos="9360"/>
      </w:tabs>
      <w:jc w:val="center"/>
    </w:pPr>
    <w:r w:rsidRPr="000126FA">
      <w:t xml:space="preserve">L&amp;R - </w:t>
    </w:r>
    <w:r w:rsidRPr="000126FA">
      <w:fldChar w:fldCharType="begin"/>
    </w:r>
    <w:r w:rsidRPr="000126FA">
      <w:instrText xml:space="preserve"> PAGE   \* MERGEFORMAT </w:instrText>
    </w:r>
    <w:r w:rsidRPr="000126FA">
      <w:fldChar w:fldCharType="separate"/>
    </w:r>
    <w:r w:rsidR="00FB3795">
      <w:rPr>
        <w:noProof/>
      </w:rPr>
      <w:t>154</w:t>
    </w:r>
    <w:r w:rsidRPr="000126FA">
      <w:rPr>
        <w:noProof/>
      </w:rPr>
      <w:fldChar w:fldCharType="end"/>
    </w:r>
  </w:p>
  <w:p w14:paraId="6AA3DA68" w14:textId="77777777" w:rsidR="00286D22" w:rsidRDefault="00286D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80A9" w14:textId="43AC0F5D" w:rsidR="00CA54F9" w:rsidRDefault="00CA54F9">
    <w:pPr>
      <w:pStyle w:val="Footer"/>
      <w:jc w:val="center"/>
    </w:pPr>
    <w:r>
      <w:t xml:space="preserve">L&amp;R- </w:t>
    </w:r>
    <w:sdt>
      <w:sdtPr>
        <w:id w:val="-18561759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67E6C50" w14:textId="77777777" w:rsidR="00CA54F9" w:rsidRDefault="00CA54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8D05" w14:textId="0843B46A" w:rsidR="00B314B4" w:rsidRDefault="00B314B4" w:rsidP="008468A0">
    <w:pPr>
      <w:tabs>
        <w:tab w:val="center" w:pos="4680"/>
        <w:tab w:val="right" w:pos="9360"/>
      </w:tabs>
      <w:jc w:val="center"/>
    </w:pPr>
    <w:r w:rsidRPr="000126FA">
      <w:t xml:space="preserve">L&amp;R - </w:t>
    </w:r>
    <w:r w:rsidR="00CF704C">
      <w:t>A</w:t>
    </w:r>
    <w:r w:rsidRPr="000126FA">
      <w:fldChar w:fldCharType="begin"/>
    </w:r>
    <w:r w:rsidRPr="000126FA">
      <w:instrText xml:space="preserve"> PAGE   \* MERGEFORMAT </w:instrText>
    </w:r>
    <w:r w:rsidRPr="000126FA">
      <w:fldChar w:fldCharType="separate"/>
    </w:r>
    <w:r>
      <w:rPr>
        <w:noProof/>
      </w:rPr>
      <w:t>154</w:t>
    </w:r>
    <w:r w:rsidRPr="000126FA">
      <w:rPr>
        <w:noProof/>
      </w:rPr>
      <w:fldChar w:fldCharType="end"/>
    </w:r>
  </w:p>
  <w:p w14:paraId="2258A27B" w14:textId="77777777" w:rsidR="00B314B4" w:rsidRDefault="00B314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699E" w14:textId="08D897B2" w:rsidR="00B314B4" w:rsidRDefault="00B314B4">
    <w:pPr>
      <w:pStyle w:val="Footer"/>
      <w:jc w:val="center"/>
    </w:pPr>
    <w:r>
      <w:t xml:space="preserve">L&amp;R- </w:t>
    </w:r>
    <w:sdt>
      <w:sdtPr>
        <w:id w:val="581798814"/>
        <w:docPartObj>
          <w:docPartGallery w:val="Page Numbers (Bottom of Page)"/>
          <w:docPartUnique/>
        </w:docPartObj>
      </w:sdtPr>
      <w:sdtEndPr>
        <w:rPr>
          <w:noProof/>
        </w:rPr>
      </w:sdtEndPr>
      <w:sdtContent>
        <w:r w:rsidR="00CF704C">
          <w:t>A</w:t>
        </w:r>
        <w:r>
          <w:fldChar w:fldCharType="begin"/>
        </w:r>
        <w:r>
          <w:instrText xml:space="preserve"> PAGE   \* MERGEFORMAT </w:instrText>
        </w:r>
        <w:r>
          <w:fldChar w:fldCharType="separate"/>
        </w:r>
        <w:r>
          <w:rPr>
            <w:noProof/>
          </w:rPr>
          <w:t>2</w:t>
        </w:r>
        <w:r>
          <w:rPr>
            <w:noProof/>
          </w:rPr>
          <w:fldChar w:fldCharType="end"/>
        </w:r>
      </w:sdtContent>
    </w:sdt>
  </w:p>
  <w:p w14:paraId="54D8B202" w14:textId="77777777" w:rsidR="00B314B4" w:rsidRDefault="00B31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717A" w14:textId="77777777" w:rsidR="00CE3D5D" w:rsidRDefault="00CE3D5D" w:rsidP="0082263A">
      <w:r>
        <w:separator/>
      </w:r>
    </w:p>
    <w:p w14:paraId="7911274A" w14:textId="77777777" w:rsidR="00CE3D5D" w:rsidRDefault="00CE3D5D"/>
  </w:footnote>
  <w:footnote w:type="continuationSeparator" w:id="0">
    <w:p w14:paraId="55D96A9F" w14:textId="77777777" w:rsidR="00CE3D5D" w:rsidRDefault="00CE3D5D" w:rsidP="0082263A">
      <w:r>
        <w:continuationSeparator/>
      </w:r>
    </w:p>
    <w:p w14:paraId="10DC29FC" w14:textId="77777777" w:rsidR="00CE3D5D" w:rsidRDefault="00CE3D5D"/>
  </w:footnote>
  <w:footnote w:type="continuationNotice" w:id="1">
    <w:p w14:paraId="591F98FD" w14:textId="77777777" w:rsidR="00CE3D5D" w:rsidRDefault="00CE3D5D">
      <w:pPr>
        <w:spacing w:after="0"/>
      </w:pPr>
    </w:p>
  </w:footnote>
  <w:footnote w:id="2">
    <w:p w14:paraId="6508BFE1" w14:textId="77777777" w:rsidR="0076491B" w:rsidRDefault="0076491B" w:rsidP="0076491B">
      <w:pPr>
        <w:pStyle w:val="FootnoteText"/>
      </w:pPr>
      <w:r>
        <w:rPr>
          <w:rStyle w:val="FootnoteReference"/>
        </w:rPr>
        <w:footnoteRef/>
      </w:r>
      <w:r>
        <w:t xml:space="preserve"> </w:t>
      </w:r>
      <w:hyperlink r:id="rId1" w:history="1">
        <w:r w:rsidRPr="00975A8D">
          <w:rPr>
            <w:rStyle w:val="Hyperlink"/>
          </w:rPr>
          <w:t>https://www.api.org/-/media/files/publications/2024-catalog/2024-publication-catalog.pdf</w:t>
        </w:r>
      </w:hyperlink>
      <w:r>
        <w:t xml:space="preserve">. </w:t>
      </w:r>
    </w:p>
  </w:footnote>
  <w:footnote w:id="3">
    <w:p w14:paraId="5E2CD2A0" w14:textId="77777777" w:rsidR="000C465B" w:rsidRDefault="000C465B" w:rsidP="000C465B">
      <w:pPr>
        <w:pStyle w:val="FootnoteText"/>
      </w:pPr>
      <w:r>
        <w:rPr>
          <w:rStyle w:val="FootnoteReference"/>
        </w:rPr>
        <w:footnoteRef/>
      </w:r>
      <w:r>
        <w:t xml:space="preserve"> </w:t>
      </w:r>
      <w:r>
        <w:rPr>
          <w:i/>
        </w:rPr>
        <w:t>See</w:t>
      </w:r>
      <w:r w:rsidRPr="00EE238B">
        <w:rPr>
          <w:i/>
        </w:rPr>
        <w:t>, e.g.</w:t>
      </w:r>
      <w:r w:rsidRPr="00EE238B">
        <w:t xml:space="preserve">, </w:t>
      </w:r>
      <w:r>
        <w:t xml:space="preserve">NIST </w:t>
      </w:r>
      <w:r w:rsidRPr="00EE238B">
        <w:t>Handbook 130– Uniform Weights and Measures Law § 15 (Misrepresentation of Quantity).</w:t>
      </w:r>
    </w:p>
  </w:footnote>
  <w:footnote w:id="4">
    <w:p w14:paraId="78993D22" w14:textId="77777777" w:rsidR="000C465B" w:rsidRPr="003147A5" w:rsidRDefault="000C465B" w:rsidP="000C465B">
      <w:pPr>
        <w:pStyle w:val="FootnoteText"/>
      </w:pPr>
      <w:r>
        <w:rPr>
          <w:rStyle w:val="FootnoteReference"/>
        </w:rPr>
        <w:footnoteRef/>
      </w:r>
      <w:r>
        <w:t xml:space="preserve"> </w:t>
      </w:r>
      <w:r>
        <w:rPr>
          <w:i/>
        </w:rPr>
        <w:t>See, e.g.</w:t>
      </w:r>
      <w:r>
        <w:t xml:space="preserve">, Federal Trade Commission Act § 5 (15 U.S.C. § 45). </w:t>
      </w:r>
    </w:p>
  </w:footnote>
  <w:footnote w:id="5">
    <w:p w14:paraId="29CB289B" w14:textId="77777777" w:rsidR="000C465B" w:rsidRDefault="000C465B" w:rsidP="000C465B">
      <w:pPr>
        <w:pStyle w:val="FootnoteText"/>
      </w:pPr>
      <w:r>
        <w:rPr>
          <w:rStyle w:val="FootnoteReference"/>
        </w:rPr>
        <w:footnoteRef/>
      </w:r>
      <w:r>
        <w:t xml:space="preserve"> The National Advertising Division of the Council of Better Business Bureaus offers an alternative dispute resolution service that reviews claims made in national advertisements.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F45A" w14:textId="45FF2BAD" w:rsidR="007D489A" w:rsidRDefault="00F017F9" w:rsidP="007D489A">
    <w:pPr>
      <w:pStyle w:val="Header"/>
      <w:spacing w:after="0"/>
    </w:pPr>
    <w:r>
      <w:t>L&amp;R</w:t>
    </w:r>
    <w:r w:rsidR="00386898" w:rsidRPr="00540700">
      <w:t xml:space="preserve"> </w:t>
    </w:r>
    <w:r w:rsidR="001750E4">
      <w:t>202</w:t>
    </w:r>
    <w:r w:rsidR="005C516F">
      <w:t>6</w:t>
    </w:r>
    <w:r w:rsidR="001750E4">
      <w:t xml:space="preserve"> </w:t>
    </w:r>
    <w:r w:rsidR="009051B5">
      <w:t>Annual Meeting Agenda</w:t>
    </w:r>
  </w:p>
  <w:p w14:paraId="40828DDB" w14:textId="77777777" w:rsidR="00EF4192" w:rsidRPr="007D489A" w:rsidRDefault="00EF4192" w:rsidP="00EF4192">
    <w:pPr>
      <w:rPr>
        <w:bCs/>
        <w:szCs w:val="20"/>
      </w:rPr>
    </w:pPr>
  </w:p>
  <w:p w14:paraId="255C3DB1" w14:textId="77777777" w:rsidR="00EF4192" w:rsidRDefault="00EF4192" w:rsidP="007D489A">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80A2" w14:textId="48B66B74" w:rsidR="00B63703" w:rsidRDefault="00F017F9" w:rsidP="008F01A9">
    <w:pPr>
      <w:pStyle w:val="Header"/>
      <w:tabs>
        <w:tab w:val="clear" w:pos="4680"/>
      </w:tabs>
      <w:spacing w:after="0"/>
      <w:jc w:val="right"/>
    </w:pPr>
    <w:r>
      <w:t>L&amp;R</w:t>
    </w:r>
    <w:r w:rsidR="00386898" w:rsidRPr="00540700">
      <w:t xml:space="preserve"> </w:t>
    </w:r>
    <w:r w:rsidR="001750E4">
      <w:t>202</w:t>
    </w:r>
    <w:r w:rsidR="005C516F">
      <w:t>6</w:t>
    </w:r>
    <w:r w:rsidR="001750E4">
      <w:t xml:space="preserve"> </w:t>
    </w:r>
    <w:r w:rsidR="00805362">
      <w:t>A</w:t>
    </w:r>
    <w:r w:rsidR="009051B5">
      <w:t>nnual Meeting Agenda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EBB3" w14:textId="77777777" w:rsidR="00EF4192" w:rsidRDefault="00EF4192" w:rsidP="007D489A">
    <w:pPr>
      <w:pStyle w:val="Header"/>
      <w:spacing w:after="0"/>
    </w:pPr>
    <w:r>
      <w:t>L&amp;R</w:t>
    </w:r>
    <w:r w:rsidRPr="00540700">
      <w:t xml:space="preserve"> </w:t>
    </w:r>
    <w:r>
      <w:t>2026 Annual Meeting Agenda</w:t>
    </w:r>
  </w:p>
  <w:p w14:paraId="4074A483" w14:textId="46E5C117" w:rsidR="00EF4192" w:rsidRPr="00CF704C" w:rsidRDefault="00B314B4" w:rsidP="00CF704C">
    <w:pPr>
      <w:pStyle w:val="Header"/>
      <w:spacing w:after="0"/>
    </w:pPr>
    <w:r>
      <w:t>Appendix A</w:t>
    </w:r>
    <w:r w:rsidR="00CF704C">
      <w:t xml:space="preserve"> - </w:t>
    </w:r>
    <w:r w:rsidR="00EF4192" w:rsidRPr="007D489A">
      <w:rPr>
        <w:bCs/>
        <w:szCs w:val="20"/>
      </w:rPr>
      <w:t>Quantity-Related Expressions on a Principal Display Panel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AB3D" w14:textId="77777777" w:rsidR="007D489A" w:rsidRDefault="007D489A" w:rsidP="008F01A9">
    <w:pPr>
      <w:pStyle w:val="Header"/>
      <w:tabs>
        <w:tab w:val="clear" w:pos="4680"/>
      </w:tabs>
      <w:spacing w:after="0"/>
      <w:jc w:val="right"/>
    </w:pPr>
    <w:r>
      <w:t>L&amp;R</w:t>
    </w:r>
    <w:r w:rsidRPr="00540700">
      <w:t xml:space="preserve"> </w:t>
    </w:r>
    <w:r>
      <w:t>2026 Annual Meeting Agenda</w:t>
    </w:r>
  </w:p>
  <w:p w14:paraId="0B9731DD" w14:textId="48C49EF3" w:rsidR="00EF4192" w:rsidRPr="00CF704C" w:rsidRDefault="00B314B4" w:rsidP="00CF704C">
    <w:pPr>
      <w:pStyle w:val="Header"/>
      <w:tabs>
        <w:tab w:val="clear" w:pos="4680"/>
      </w:tabs>
      <w:spacing w:after="0"/>
      <w:jc w:val="right"/>
    </w:pPr>
    <w:r>
      <w:t>Appendix A</w:t>
    </w:r>
    <w:r w:rsidR="00CF704C">
      <w:t xml:space="preserve"> - </w:t>
    </w:r>
    <w:r w:rsidR="00EF4192" w:rsidRPr="007D489A">
      <w:rPr>
        <w:bCs/>
        <w:szCs w:val="20"/>
      </w:rPr>
      <w:t>Quantity-Related Expressions on a Principal Display Panel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6390"/>
        </w:tabs>
        <w:ind w:left="6390"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C9AC6D92"/>
    <w:lvl w:ilvl="0">
      <w:start w:val="1"/>
      <w:numFmt w:val="bullet"/>
      <w:pStyle w:val="ListBullet"/>
      <w:lvlText w:val=""/>
      <w:lvlJc w:val="left"/>
      <w:pPr>
        <w:tabs>
          <w:tab w:val="num" w:pos="0"/>
        </w:tabs>
        <w:ind w:left="0" w:hanging="360"/>
      </w:pPr>
      <w:rPr>
        <w:rFonts w:ascii="Symbol" w:hAnsi="Symbol" w:hint="default"/>
      </w:rPr>
    </w:lvl>
  </w:abstractNum>
  <w:abstractNum w:abstractNumId="9" w15:restartNumberingAfterBreak="0">
    <w:nsid w:val="01E71924"/>
    <w:multiLevelType w:val="hybridMultilevel"/>
    <w:tmpl w:val="7F1E33BA"/>
    <w:lvl w:ilvl="0" w:tplc="0409001B">
      <w:start w:val="1"/>
      <w:numFmt w:val="lowerRoman"/>
      <w:lvlText w:val="%1."/>
      <w:lvlJc w:val="right"/>
      <w:pPr>
        <w:ind w:left="450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028E2DA1"/>
    <w:multiLevelType w:val="hybridMultilevel"/>
    <w:tmpl w:val="EEC6B28A"/>
    <w:lvl w:ilvl="0" w:tplc="FFFFFFFF">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2DD137F"/>
    <w:multiLevelType w:val="hybridMultilevel"/>
    <w:tmpl w:val="17C8D10C"/>
    <w:lvl w:ilvl="0" w:tplc="6A140F60">
      <w:start w:val="2"/>
      <w:numFmt w:val="bullet"/>
      <w:pStyle w:val="BulletsLvl1"/>
      <w:lvlText w:val="•"/>
      <w:lvlJc w:val="left"/>
      <w:pPr>
        <w:ind w:left="990" w:hanging="360"/>
      </w:pPr>
      <w:rPr>
        <w:rFonts w:ascii="Arial" w:eastAsia="Calibri"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2" w15:restartNumberingAfterBreak="0">
    <w:nsid w:val="034B715D"/>
    <w:multiLevelType w:val="hybridMultilevel"/>
    <w:tmpl w:val="39722A52"/>
    <w:lvl w:ilvl="0" w:tplc="00087F2E">
      <w:start w:val="1"/>
      <w:numFmt w:val="lowerLetter"/>
      <w:lvlText w:val="(%1)"/>
      <w:lvlJc w:val="left"/>
      <w:pPr>
        <w:ind w:left="1440" w:hanging="360"/>
      </w:pPr>
      <w:rPr>
        <w:rFonts w:cs="Times New Roman" w:hint="default"/>
        <w:b/>
        <w:bCs w:val="0"/>
        <w:strike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C2605B"/>
    <w:multiLevelType w:val="multilevel"/>
    <w:tmpl w:val="920E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134947"/>
    <w:multiLevelType w:val="hybridMultilevel"/>
    <w:tmpl w:val="C8EA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123F1F"/>
    <w:multiLevelType w:val="hybridMultilevel"/>
    <w:tmpl w:val="AC6E9902"/>
    <w:lvl w:ilvl="0" w:tplc="0409000F">
      <w:start w:val="1"/>
      <w:numFmt w:val="decimal"/>
      <w:lvlText w:val="%1."/>
      <w:lvlJc w:val="left"/>
      <w:pPr>
        <w:ind w:left="54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2D5D57"/>
    <w:multiLevelType w:val="hybridMultilevel"/>
    <w:tmpl w:val="26E8D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F303D8"/>
    <w:multiLevelType w:val="hybridMultilevel"/>
    <w:tmpl w:val="209E8FA6"/>
    <w:styleLink w:val="Chapter"/>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CE1B08"/>
    <w:multiLevelType w:val="hybridMultilevel"/>
    <w:tmpl w:val="1700A23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0ED06D39"/>
    <w:multiLevelType w:val="hybridMultilevel"/>
    <w:tmpl w:val="9118C5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F571CCB"/>
    <w:multiLevelType w:val="hybridMultilevel"/>
    <w:tmpl w:val="3CA4D83C"/>
    <w:lvl w:ilvl="0" w:tplc="1700A9F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566CC7"/>
    <w:multiLevelType w:val="multilevel"/>
    <w:tmpl w:val="E786AA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4F4359"/>
    <w:multiLevelType w:val="hybridMultilevel"/>
    <w:tmpl w:val="61429D88"/>
    <w:lvl w:ilvl="0" w:tplc="091255A0">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2C95213"/>
    <w:multiLevelType w:val="hybridMultilevel"/>
    <w:tmpl w:val="DB9ED3A8"/>
    <w:lvl w:ilvl="0" w:tplc="A30C81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2F20B68"/>
    <w:multiLevelType w:val="hybridMultilevel"/>
    <w:tmpl w:val="EFD8C270"/>
    <w:lvl w:ilvl="0" w:tplc="F2A2B916">
      <w:start w:val="1"/>
      <w:numFmt w:val="bullet"/>
      <w:lvlText w:val=""/>
      <w:lvlJc w:val="left"/>
      <w:pPr>
        <w:ind w:left="108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CC3320"/>
    <w:multiLevelType w:val="multilevel"/>
    <w:tmpl w:val="1060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7E6798F"/>
    <w:multiLevelType w:val="hybridMultilevel"/>
    <w:tmpl w:val="BEFEA344"/>
    <w:lvl w:ilvl="0" w:tplc="B2EC9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AB83C3E"/>
    <w:multiLevelType w:val="hybridMultilevel"/>
    <w:tmpl w:val="B5CA9920"/>
    <w:lvl w:ilvl="0" w:tplc="C726A982">
      <w:start w:val="1"/>
      <w:numFmt w:val="decimal"/>
      <w:lvlText w:val="(%1)"/>
      <w:lvlJc w:val="left"/>
      <w:pPr>
        <w:ind w:left="1440" w:hanging="360"/>
      </w:pPr>
      <w:rPr>
        <w:rFonts w:ascii="Times New Roman" w:eastAsia="Times New Roman" w:hAnsi="Times New Roman" w:cs="Times New Roman" w:hint="default"/>
        <w:b/>
        <w:strike w:val="0"/>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DB56D79"/>
    <w:multiLevelType w:val="hybridMultilevel"/>
    <w:tmpl w:val="55ECD1E6"/>
    <w:lvl w:ilvl="0" w:tplc="DD046A2A">
      <w:start w:val="1"/>
      <w:numFmt w:val="lowerLetter"/>
      <w:lvlText w:val="(%1)"/>
      <w:lvlJc w:val="left"/>
      <w:pPr>
        <w:ind w:left="1440" w:hanging="360"/>
      </w:pPr>
      <w:rPr>
        <w:rFonts w:cs="Times New Roman" w:hint="default"/>
        <w:b/>
        <w:bCs w:val="0"/>
        <w:strike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026712"/>
    <w:multiLevelType w:val="hybridMultilevel"/>
    <w:tmpl w:val="86A297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71063C"/>
    <w:multiLevelType w:val="hybridMultilevel"/>
    <w:tmpl w:val="805E0B56"/>
    <w:lvl w:ilvl="0" w:tplc="D77E8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180763"/>
    <w:multiLevelType w:val="hybridMultilevel"/>
    <w:tmpl w:val="0E0E7716"/>
    <w:lvl w:ilvl="0" w:tplc="F6F6D5A2">
      <w:start w:val="1"/>
      <w:numFmt w:val="bullet"/>
      <w:lvlText w:val="•"/>
      <w:lvlJc w:val="left"/>
      <w:pPr>
        <w:tabs>
          <w:tab w:val="num" w:pos="360"/>
        </w:tabs>
        <w:ind w:left="360" w:hanging="360"/>
      </w:pPr>
      <w:rPr>
        <w:rFonts w:ascii="Arial" w:hAnsi="Arial" w:hint="default"/>
      </w:rPr>
    </w:lvl>
    <w:lvl w:ilvl="1" w:tplc="6710308E" w:tentative="1">
      <w:start w:val="1"/>
      <w:numFmt w:val="bullet"/>
      <w:lvlText w:val="•"/>
      <w:lvlJc w:val="left"/>
      <w:pPr>
        <w:tabs>
          <w:tab w:val="num" w:pos="1080"/>
        </w:tabs>
        <w:ind w:left="1080" w:hanging="360"/>
      </w:pPr>
      <w:rPr>
        <w:rFonts w:ascii="Arial" w:hAnsi="Arial" w:hint="default"/>
      </w:rPr>
    </w:lvl>
    <w:lvl w:ilvl="2" w:tplc="373A0120" w:tentative="1">
      <w:start w:val="1"/>
      <w:numFmt w:val="bullet"/>
      <w:lvlText w:val="•"/>
      <w:lvlJc w:val="left"/>
      <w:pPr>
        <w:tabs>
          <w:tab w:val="num" w:pos="1800"/>
        </w:tabs>
        <w:ind w:left="1800" w:hanging="360"/>
      </w:pPr>
      <w:rPr>
        <w:rFonts w:ascii="Arial" w:hAnsi="Arial" w:hint="default"/>
      </w:rPr>
    </w:lvl>
    <w:lvl w:ilvl="3" w:tplc="9814A178" w:tentative="1">
      <w:start w:val="1"/>
      <w:numFmt w:val="bullet"/>
      <w:lvlText w:val="•"/>
      <w:lvlJc w:val="left"/>
      <w:pPr>
        <w:tabs>
          <w:tab w:val="num" w:pos="2520"/>
        </w:tabs>
        <w:ind w:left="2520" w:hanging="360"/>
      </w:pPr>
      <w:rPr>
        <w:rFonts w:ascii="Arial" w:hAnsi="Arial" w:hint="default"/>
      </w:rPr>
    </w:lvl>
    <w:lvl w:ilvl="4" w:tplc="11369018" w:tentative="1">
      <w:start w:val="1"/>
      <w:numFmt w:val="bullet"/>
      <w:lvlText w:val="•"/>
      <w:lvlJc w:val="left"/>
      <w:pPr>
        <w:tabs>
          <w:tab w:val="num" w:pos="3240"/>
        </w:tabs>
        <w:ind w:left="3240" w:hanging="360"/>
      </w:pPr>
      <w:rPr>
        <w:rFonts w:ascii="Arial" w:hAnsi="Arial" w:hint="default"/>
      </w:rPr>
    </w:lvl>
    <w:lvl w:ilvl="5" w:tplc="84EE03F2" w:tentative="1">
      <w:start w:val="1"/>
      <w:numFmt w:val="bullet"/>
      <w:lvlText w:val="•"/>
      <w:lvlJc w:val="left"/>
      <w:pPr>
        <w:tabs>
          <w:tab w:val="num" w:pos="3960"/>
        </w:tabs>
        <w:ind w:left="3960" w:hanging="360"/>
      </w:pPr>
      <w:rPr>
        <w:rFonts w:ascii="Arial" w:hAnsi="Arial" w:hint="default"/>
      </w:rPr>
    </w:lvl>
    <w:lvl w:ilvl="6" w:tplc="BA4C7090" w:tentative="1">
      <w:start w:val="1"/>
      <w:numFmt w:val="bullet"/>
      <w:lvlText w:val="•"/>
      <w:lvlJc w:val="left"/>
      <w:pPr>
        <w:tabs>
          <w:tab w:val="num" w:pos="4680"/>
        </w:tabs>
        <w:ind w:left="4680" w:hanging="360"/>
      </w:pPr>
      <w:rPr>
        <w:rFonts w:ascii="Arial" w:hAnsi="Arial" w:hint="default"/>
      </w:rPr>
    </w:lvl>
    <w:lvl w:ilvl="7" w:tplc="E62CB8AC" w:tentative="1">
      <w:start w:val="1"/>
      <w:numFmt w:val="bullet"/>
      <w:lvlText w:val="•"/>
      <w:lvlJc w:val="left"/>
      <w:pPr>
        <w:tabs>
          <w:tab w:val="num" w:pos="5400"/>
        </w:tabs>
        <w:ind w:left="5400" w:hanging="360"/>
      </w:pPr>
      <w:rPr>
        <w:rFonts w:ascii="Arial" w:hAnsi="Arial" w:hint="default"/>
      </w:rPr>
    </w:lvl>
    <w:lvl w:ilvl="8" w:tplc="0E400D32"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0657A7C"/>
    <w:multiLevelType w:val="hybridMultilevel"/>
    <w:tmpl w:val="952A0E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08C4417"/>
    <w:multiLevelType w:val="hybridMultilevel"/>
    <w:tmpl w:val="670CA91E"/>
    <w:lvl w:ilvl="0" w:tplc="04090001">
      <w:start w:val="1"/>
      <w:numFmt w:val="bullet"/>
      <w:lvlText w:val=""/>
      <w:lvlJc w:val="left"/>
      <w:pPr>
        <w:ind w:left="-468" w:hanging="360"/>
      </w:pPr>
      <w:rPr>
        <w:rFonts w:ascii="Symbol" w:hAnsi="Symbol" w:hint="default"/>
      </w:rPr>
    </w:lvl>
    <w:lvl w:ilvl="1" w:tplc="FFFFFFFF" w:tentative="1">
      <w:start w:val="1"/>
      <w:numFmt w:val="bullet"/>
      <w:lvlText w:val="o"/>
      <w:lvlJc w:val="left"/>
      <w:pPr>
        <w:ind w:left="-468" w:hanging="360"/>
      </w:pPr>
      <w:rPr>
        <w:rFonts w:ascii="Courier New" w:hAnsi="Courier New" w:cs="Courier New" w:hint="default"/>
      </w:rPr>
    </w:lvl>
    <w:lvl w:ilvl="2" w:tplc="FFFFFFFF" w:tentative="1">
      <w:start w:val="1"/>
      <w:numFmt w:val="bullet"/>
      <w:lvlText w:val=""/>
      <w:lvlJc w:val="left"/>
      <w:pPr>
        <w:ind w:left="252" w:hanging="360"/>
      </w:pPr>
      <w:rPr>
        <w:rFonts w:ascii="Wingdings" w:hAnsi="Wingdings" w:hint="default"/>
      </w:rPr>
    </w:lvl>
    <w:lvl w:ilvl="3" w:tplc="FFFFFFFF" w:tentative="1">
      <w:start w:val="1"/>
      <w:numFmt w:val="bullet"/>
      <w:lvlText w:val=""/>
      <w:lvlJc w:val="left"/>
      <w:pPr>
        <w:ind w:left="972" w:hanging="360"/>
      </w:pPr>
      <w:rPr>
        <w:rFonts w:ascii="Symbol" w:hAnsi="Symbol" w:hint="default"/>
      </w:rPr>
    </w:lvl>
    <w:lvl w:ilvl="4" w:tplc="FFFFFFFF" w:tentative="1">
      <w:start w:val="1"/>
      <w:numFmt w:val="bullet"/>
      <w:lvlText w:val="o"/>
      <w:lvlJc w:val="left"/>
      <w:pPr>
        <w:ind w:left="1692" w:hanging="360"/>
      </w:pPr>
      <w:rPr>
        <w:rFonts w:ascii="Courier New" w:hAnsi="Courier New" w:cs="Courier New" w:hint="default"/>
      </w:rPr>
    </w:lvl>
    <w:lvl w:ilvl="5" w:tplc="FFFFFFFF" w:tentative="1">
      <w:start w:val="1"/>
      <w:numFmt w:val="bullet"/>
      <w:lvlText w:val=""/>
      <w:lvlJc w:val="left"/>
      <w:pPr>
        <w:ind w:left="2412" w:hanging="360"/>
      </w:pPr>
      <w:rPr>
        <w:rFonts w:ascii="Wingdings" w:hAnsi="Wingdings" w:hint="default"/>
      </w:rPr>
    </w:lvl>
    <w:lvl w:ilvl="6" w:tplc="FFFFFFFF" w:tentative="1">
      <w:start w:val="1"/>
      <w:numFmt w:val="bullet"/>
      <w:lvlText w:val=""/>
      <w:lvlJc w:val="left"/>
      <w:pPr>
        <w:ind w:left="3132" w:hanging="360"/>
      </w:pPr>
      <w:rPr>
        <w:rFonts w:ascii="Symbol" w:hAnsi="Symbol" w:hint="default"/>
      </w:rPr>
    </w:lvl>
    <w:lvl w:ilvl="7" w:tplc="FFFFFFFF" w:tentative="1">
      <w:start w:val="1"/>
      <w:numFmt w:val="bullet"/>
      <w:lvlText w:val="o"/>
      <w:lvlJc w:val="left"/>
      <w:pPr>
        <w:ind w:left="3852" w:hanging="360"/>
      </w:pPr>
      <w:rPr>
        <w:rFonts w:ascii="Courier New" w:hAnsi="Courier New" w:cs="Courier New" w:hint="default"/>
      </w:rPr>
    </w:lvl>
    <w:lvl w:ilvl="8" w:tplc="FFFFFFFF" w:tentative="1">
      <w:start w:val="1"/>
      <w:numFmt w:val="bullet"/>
      <w:lvlText w:val=""/>
      <w:lvlJc w:val="left"/>
      <w:pPr>
        <w:ind w:left="4572" w:hanging="360"/>
      </w:pPr>
      <w:rPr>
        <w:rFonts w:ascii="Wingdings" w:hAnsi="Wingdings" w:hint="default"/>
      </w:rPr>
    </w:lvl>
  </w:abstractNum>
  <w:abstractNum w:abstractNumId="34" w15:restartNumberingAfterBreak="0">
    <w:nsid w:val="2376135B"/>
    <w:multiLevelType w:val="hybridMultilevel"/>
    <w:tmpl w:val="81D67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A606BE"/>
    <w:multiLevelType w:val="multilevel"/>
    <w:tmpl w:val="4CDE2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DAB3AF9"/>
    <w:multiLevelType w:val="hybridMultilevel"/>
    <w:tmpl w:val="56322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EBF106B"/>
    <w:multiLevelType w:val="hybridMultilevel"/>
    <w:tmpl w:val="AC6E9902"/>
    <w:lvl w:ilvl="0" w:tplc="FFFFFFFF">
      <w:start w:val="1"/>
      <w:numFmt w:val="decimal"/>
      <w:lvlText w:val="%1."/>
      <w:lvlJc w:val="left"/>
      <w:pPr>
        <w:ind w:left="549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04056E8"/>
    <w:multiLevelType w:val="hybridMultilevel"/>
    <w:tmpl w:val="A48AE73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0EE46D1"/>
    <w:multiLevelType w:val="hybridMultilevel"/>
    <w:tmpl w:val="6B24E0E2"/>
    <w:lvl w:ilvl="0" w:tplc="1700A9FC">
      <w:start w:val="1"/>
      <w:numFmt w:val="decimal"/>
      <w:lvlText w:val="(%1)"/>
      <w:lvlJc w:val="left"/>
      <w:pPr>
        <w:ind w:left="1080"/>
      </w:pPr>
      <w:rPr>
        <w:rFonts w:hint="default"/>
        <w:b/>
        <w:bCs/>
        <w:i w:val="0"/>
        <w:strike w:val="0"/>
        <w:dstrike w:val="0"/>
        <w:color w:val="000000"/>
        <w:sz w:val="22"/>
        <w:szCs w:val="22"/>
        <w:u w:val="single" w:color="000000"/>
        <w:bdr w:val="none" w:sz="0" w:space="0" w:color="auto"/>
        <w:shd w:val="clear" w:color="auto" w:fill="auto"/>
        <w:vertAlign w:val="baseline"/>
      </w:rPr>
    </w:lvl>
    <w:lvl w:ilvl="1" w:tplc="65E45388">
      <w:start w:val="1"/>
      <w:numFmt w:val="lowerLetter"/>
      <w:lvlText w:val="%2"/>
      <w:lvlJc w:val="left"/>
      <w:pPr>
        <w:ind w:left="10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409000F">
      <w:start w:val="1"/>
      <w:numFmt w:val="decimal"/>
      <w:lvlText w:val="%3."/>
      <w:lvlJc w:val="left"/>
      <w:pPr>
        <w:ind w:left="810" w:hanging="360"/>
      </w:pPr>
    </w:lvl>
    <w:lvl w:ilvl="3" w:tplc="C8E0F616">
      <w:start w:val="1"/>
      <w:numFmt w:val="decimal"/>
      <w:lvlText w:val="%4"/>
      <w:lvlJc w:val="left"/>
      <w:pPr>
        <w:ind w:left="2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46C32C6">
      <w:start w:val="1"/>
      <w:numFmt w:val="lowerLetter"/>
      <w:lvlText w:val="%5"/>
      <w:lvlJc w:val="left"/>
      <w:pPr>
        <w:ind w:left="3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A18F402">
      <w:start w:val="1"/>
      <w:numFmt w:val="lowerRoman"/>
      <w:lvlText w:val="%6"/>
      <w:lvlJc w:val="left"/>
      <w:pPr>
        <w:ind w:left="3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A166014">
      <w:start w:val="1"/>
      <w:numFmt w:val="decimal"/>
      <w:lvlText w:val="%7"/>
      <w:lvlJc w:val="left"/>
      <w:pPr>
        <w:ind w:left="45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B2C753C">
      <w:start w:val="1"/>
      <w:numFmt w:val="lowerLetter"/>
      <w:lvlText w:val="%8"/>
      <w:lvlJc w:val="left"/>
      <w:pPr>
        <w:ind w:left="52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8AA1D04">
      <w:start w:val="1"/>
      <w:numFmt w:val="lowerRoman"/>
      <w:lvlText w:val="%9"/>
      <w:lvlJc w:val="left"/>
      <w:pPr>
        <w:ind w:left="59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27C7E70"/>
    <w:multiLevelType w:val="hybridMultilevel"/>
    <w:tmpl w:val="CE00552C"/>
    <w:lvl w:ilvl="0" w:tplc="638E9D6E">
      <w:start w:val="1"/>
      <w:numFmt w:val="lowerLetter"/>
      <w:pStyle w:val="a"/>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15:restartNumberingAfterBreak="0">
    <w:nsid w:val="33BB58FB"/>
    <w:multiLevelType w:val="hybridMultilevel"/>
    <w:tmpl w:val="46D84CBC"/>
    <w:lvl w:ilvl="0" w:tplc="B41E575E">
      <w:start w:val="2"/>
      <w:numFmt w:val="lowerLetter"/>
      <w:pStyle w:val="HB133H2a"/>
      <w:lvlText w:val="%1."/>
      <w:lvlJc w:val="left"/>
      <w:pPr>
        <w:ind w:left="1800" w:hanging="36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270" w:hanging="360"/>
      </w:pPr>
    </w:lvl>
    <w:lvl w:ilvl="2" w:tplc="0409001B" w:tentative="1">
      <w:start w:val="1"/>
      <w:numFmt w:val="lowerRoman"/>
      <w:lvlText w:val="%3."/>
      <w:lvlJc w:val="right"/>
      <w:pPr>
        <w:ind w:left="450" w:hanging="180"/>
      </w:pPr>
    </w:lvl>
    <w:lvl w:ilvl="3" w:tplc="0409000F" w:tentative="1">
      <w:start w:val="1"/>
      <w:numFmt w:val="decimal"/>
      <w:lvlText w:val="%4."/>
      <w:lvlJc w:val="left"/>
      <w:pPr>
        <w:ind w:left="1170" w:hanging="360"/>
      </w:pPr>
    </w:lvl>
    <w:lvl w:ilvl="4" w:tplc="04090019" w:tentative="1">
      <w:start w:val="1"/>
      <w:numFmt w:val="lowerLetter"/>
      <w:lvlText w:val="%5."/>
      <w:lvlJc w:val="left"/>
      <w:pPr>
        <w:ind w:left="1890" w:hanging="360"/>
      </w:pPr>
    </w:lvl>
    <w:lvl w:ilvl="5" w:tplc="0409001B" w:tentative="1">
      <w:start w:val="1"/>
      <w:numFmt w:val="lowerRoman"/>
      <w:lvlText w:val="%6."/>
      <w:lvlJc w:val="right"/>
      <w:pPr>
        <w:ind w:left="2610" w:hanging="180"/>
      </w:pPr>
    </w:lvl>
    <w:lvl w:ilvl="6" w:tplc="0409000F" w:tentative="1">
      <w:start w:val="1"/>
      <w:numFmt w:val="decimal"/>
      <w:lvlText w:val="%7."/>
      <w:lvlJc w:val="left"/>
      <w:pPr>
        <w:ind w:left="3330" w:hanging="360"/>
      </w:pPr>
    </w:lvl>
    <w:lvl w:ilvl="7" w:tplc="04090019" w:tentative="1">
      <w:start w:val="1"/>
      <w:numFmt w:val="lowerLetter"/>
      <w:lvlText w:val="%8."/>
      <w:lvlJc w:val="left"/>
      <w:pPr>
        <w:ind w:left="4050" w:hanging="360"/>
      </w:pPr>
    </w:lvl>
    <w:lvl w:ilvl="8" w:tplc="0409001B" w:tentative="1">
      <w:start w:val="1"/>
      <w:numFmt w:val="lowerRoman"/>
      <w:lvlText w:val="%9."/>
      <w:lvlJc w:val="right"/>
      <w:pPr>
        <w:ind w:left="4770" w:hanging="180"/>
      </w:pPr>
    </w:lvl>
  </w:abstractNum>
  <w:abstractNum w:abstractNumId="45" w15:restartNumberingAfterBreak="0">
    <w:nsid w:val="353E479E"/>
    <w:multiLevelType w:val="hybridMultilevel"/>
    <w:tmpl w:val="934C557A"/>
    <w:lvl w:ilvl="0" w:tplc="0409001B">
      <w:start w:val="1"/>
      <w:numFmt w:val="lowerRoman"/>
      <w:lvlText w:val="%1."/>
      <w:lvlJc w:val="right"/>
      <w:pPr>
        <w:ind w:left="549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356825D4"/>
    <w:multiLevelType w:val="hybridMultilevel"/>
    <w:tmpl w:val="FD1CA342"/>
    <w:lvl w:ilvl="0" w:tplc="47BA0432">
      <w:start w:val="1"/>
      <w:numFmt w:val="lowerLetter"/>
      <w:pStyle w:val="Style2"/>
      <w:lvlText w:val="(%1)"/>
      <w:lvlJc w:val="left"/>
      <w:pPr>
        <w:tabs>
          <w:tab w:val="num" w:pos="2340"/>
        </w:tabs>
        <w:ind w:left="2340" w:hanging="360"/>
      </w:pPr>
      <w:rPr>
        <w:rFonts w:cs="Times New Roman" w:hint="default"/>
      </w:rPr>
    </w:lvl>
    <w:lvl w:ilvl="1" w:tplc="EF78713C">
      <w:start w:val="1"/>
      <w:numFmt w:val="decimal"/>
      <w:lvlText w:val="(%2)"/>
      <w:lvlJc w:val="left"/>
      <w:pPr>
        <w:tabs>
          <w:tab w:val="num" w:pos="1620"/>
        </w:tabs>
        <w:ind w:left="1620" w:hanging="360"/>
      </w:pPr>
      <w:rPr>
        <w:rFonts w:cs="Times New Roman" w:hint="default"/>
        <w:b w:val="0"/>
        <w:bCs w:val="0"/>
        <w:strike w:val="0"/>
      </w:rPr>
    </w:lvl>
    <w:lvl w:ilvl="2" w:tplc="9A8A3564">
      <w:start w:val="3"/>
      <w:numFmt w:val="lowerLetter"/>
      <w:lvlText w:val="(%3)"/>
      <w:lvlJc w:val="left"/>
      <w:pPr>
        <w:tabs>
          <w:tab w:val="num" w:pos="1440"/>
        </w:tabs>
        <w:ind w:left="1440" w:hanging="360"/>
      </w:pPr>
      <w:rPr>
        <w:rFonts w:cs="Times New Roman" w:hint="default"/>
        <w:b/>
        <w:bCs/>
        <w:strike/>
      </w:rPr>
    </w:lvl>
    <w:lvl w:ilvl="3" w:tplc="BCA0F9F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364231EE"/>
    <w:multiLevelType w:val="hybridMultilevel"/>
    <w:tmpl w:val="7A625F56"/>
    <w:lvl w:ilvl="0" w:tplc="A30C811C">
      <w:start w:val="1"/>
      <w:numFmt w:val="decimal"/>
      <w:lvlText w:val="(%1)"/>
      <w:lvlJc w:val="left"/>
      <w:pPr>
        <w:ind w:left="45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6EE79C2"/>
    <w:multiLevelType w:val="hybridMultilevel"/>
    <w:tmpl w:val="9FF289D6"/>
    <w:lvl w:ilvl="0" w:tplc="675A4360">
      <w:start w:val="1"/>
      <w:numFmt w:val="lowerLetter"/>
      <w:lvlText w:val="(%1)"/>
      <w:lvlJc w:val="left"/>
      <w:pPr>
        <w:ind w:left="5850" w:hanging="360"/>
      </w:pPr>
      <w:rPr>
        <w:rFonts w:cs="Times New Roman" w:hint="default"/>
        <w:b/>
        <w:bCs w:val="0"/>
        <w:strike w:val="0"/>
        <w:u w:val="single"/>
      </w:r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abstractNum w:abstractNumId="49" w15:restartNumberingAfterBreak="0">
    <w:nsid w:val="38A14402"/>
    <w:multiLevelType w:val="multilevel"/>
    <w:tmpl w:val="4CEA2100"/>
    <w:lvl w:ilvl="0">
      <w:start w:val="1"/>
      <w:numFmt w:val="lowerLetter"/>
      <w:pStyle w:val="Style3"/>
      <w:lvlText w:val="%1."/>
      <w:lvlJc w:val="left"/>
      <w:pPr>
        <w:tabs>
          <w:tab w:val="num" w:pos="720"/>
        </w:tabs>
        <w:ind w:left="720" w:hanging="360"/>
      </w:pPr>
      <w:rPr>
        <w:rFonts w:ascii="Times New Roman Bold" w:hAnsi="Times New Roman Bold" w:hint="default"/>
        <w:b/>
        <w:i w:val="0"/>
        <w:strike w:val="0"/>
        <w:dstrike w:val="0"/>
        <w:sz w:val="22"/>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8DA3AA8"/>
    <w:multiLevelType w:val="multilevel"/>
    <w:tmpl w:val="23F0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96505C9"/>
    <w:multiLevelType w:val="hybridMultilevel"/>
    <w:tmpl w:val="637AA6F8"/>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8125C1"/>
    <w:multiLevelType w:val="multilevel"/>
    <w:tmpl w:val="3A6E0540"/>
    <w:lvl w:ilvl="0">
      <w:start w:val="1"/>
      <w:numFmt w:val="decimal"/>
      <w:pStyle w:val="numberedlist"/>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40251FA6"/>
    <w:multiLevelType w:val="hybridMultilevel"/>
    <w:tmpl w:val="7A48A542"/>
    <w:lvl w:ilvl="0" w:tplc="0409000F">
      <w:start w:val="1"/>
      <w:numFmt w:val="decimal"/>
      <w:pStyle w:val="Style11ptBoldJu1JustifiedLeft05Hanging038"/>
      <w:lvlText w:val="(%1)"/>
      <w:lvlJc w:val="left"/>
      <w:pPr>
        <w:tabs>
          <w:tab w:val="num" w:pos="1224"/>
        </w:tabs>
        <w:ind w:left="1224" w:hanging="504"/>
      </w:pPr>
      <w:rPr>
        <w:rFonts w:hint="default"/>
      </w:rPr>
    </w:lvl>
    <w:lvl w:ilvl="1" w:tplc="75326552">
      <w:start w:val="1"/>
      <w:numFmt w:val="decimal"/>
      <w:lvlText w:val="%2."/>
      <w:lvlJc w:val="left"/>
      <w:pPr>
        <w:tabs>
          <w:tab w:val="num" w:pos="1440"/>
        </w:tabs>
        <w:ind w:left="1440" w:hanging="360"/>
      </w:pPr>
      <w:rPr>
        <w:rFonts w:hint="default"/>
        <w:strike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0943E1B"/>
    <w:multiLevelType w:val="hybridMultilevel"/>
    <w:tmpl w:val="817625E8"/>
    <w:lvl w:ilvl="0" w:tplc="A8D2EA10">
      <w:start w:val="1"/>
      <w:numFmt w:val="lowerLetter"/>
      <w:lvlText w:val="(%1)"/>
      <w:lvlJc w:val="left"/>
      <w:pPr>
        <w:ind w:left="720" w:hanging="360"/>
      </w:pPr>
      <w:rPr>
        <w:rFonts w:cs="Times New Roman"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BF1E90"/>
    <w:multiLevelType w:val="hybridMultilevel"/>
    <w:tmpl w:val="8FB69C7E"/>
    <w:lvl w:ilvl="0" w:tplc="FA8A1EF8">
      <w:start w:val="1"/>
      <w:numFmt w:val="lowerLetter"/>
      <w:lvlText w:val="(%1)"/>
      <w:lvlJc w:val="left"/>
      <w:pPr>
        <w:ind w:left="1440" w:hanging="360"/>
      </w:pPr>
      <w:rPr>
        <w:rFonts w:cs="Times New Roman" w:hint="default"/>
        <w:b/>
        <w:bCs w:val="0"/>
        <w:strike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4F46BD"/>
    <w:multiLevelType w:val="hybridMultilevel"/>
    <w:tmpl w:val="7DD003EE"/>
    <w:lvl w:ilvl="0" w:tplc="287803E0">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27D6FB1"/>
    <w:multiLevelType w:val="hybridMultilevel"/>
    <w:tmpl w:val="2EAE4D76"/>
    <w:lvl w:ilvl="0" w:tplc="3D2044E4">
      <w:start w:val="1"/>
      <w:numFmt w:val="bullet"/>
      <w:lvlText w:val="•"/>
      <w:lvlJc w:val="left"/>
      <w:pPr>
        <w:tabs>
          <w:tab w:val="num" w:pos="360"/>
        </w:tabs>
        <w:ind w:left="360" w:hanging="360"/>
      </w:pPr>
      <w:rPr>
        <w:rFonts w:ascii="Arial" w:hAnsi="Arial" w:hint="default"/>
      </w:rPr>
    </w:lvl>
    <w:lvl w:ilvl="1" w:tplc="63A8B8C2">
      <w:start w:val="1"/>
      <w:numFmt w:val="bullet"/>
      <w:lvlText w:val="•"/>
      <w:lvlJc w:val="left"/>
      <w:pPr>
        <w:tabs>
          <w:tab w:val="num" w:pos="1080"/>
        </w:tabs>
        <w:ind w:left="1080" w:hanging="360"/>
      </w:pPr>
      <w:rPr>
        <w:rFonts w:ascii="Arial" w:hAnsi="Arial" w:hint="default"/>
      </w:rPr>
    </w:lvl>
    <w:lvl w:ilvl="2" w:tplc="6DA01F7A" w:tentative="1">
      <w:start w:val="1"/>
      <w:numFmt w:val="bullet"/>
      <w:lvlText w:val="•"/>
      <w:lvlJc w:val="left"/>
      <w:pPr>
        <w:tabs>
          <w:tab w:val="num" w:pos="1800"/>
        </w:tabs>
        <w:ind w:left="1800" w:hanging="360"/>
      </w:pPr>
      <w:rPr>
        <w:rFonts w:ascii="Arial" w:hAnsi="Arial" w:hint="default"/>
      </w:rPr>
    </w:lvl>
    <w:lvl w:ilvl="3" w:tplc="10943B12" w:tentative="1">
      <w:start w:val="1"/>
      <w:numFmt w:val="bullet"/>
      <w:lvlText w:val="•"/>
      <w:lvlJc w:val="left"/>
      <w:pPr>
        <w:tabs>
          <w:tab w:val="num" w:pos="2520"/>
        </w:tabs>
        <w:ind w:left="2520" w:hanging="360"/>
      </w:pPr>
      <w:rPr>
        <w:rFonts w:ascii="Arial" w:hAnsi="Arial" w:hint="default"/>
      </w:rPr>
    </w:lvl>
    <w:lvl w:ilvl="4" w:tplc="81287638" w:tentative="1">
      <w:start w:val="1"/>
      <w:numFmt w:val="bullet"/>
      <w:lvlText w:val="•"/>
      <w:lvlJc w:val="left"/>
      <w:pPr>
        <w:tabs>
          <w:tab w:val="num" w:pos="3240"/>
        </w:tabs>
        <w:ind w:left="3240" w:hanging="360"/>
      </w:pPr>
      <w:rPr>
        <w:rFonts w:ascii="Arial" w:hAnsi="Arial" w:hint="default"/>
      </w:rPr>
    </w:lvl>
    <w:lvl w:ilvl="5" w:tplc="C7EAFC62" w:tentative="1">
      <w:start w:val="1"/>
      <w:numFmt w:val="bullet"/>
      <w:lvlText w:val="•"/>
      <w:lvlJc w:val="left"/>
      <w:pPr>
        <w:tabs>
          <w:tab w:val="num" w:pos="3960"/>
        </w:tabs>
        <w:ind w:left="3960" w:hanging="360"/>
      </w:pPr>
      <w:rPr>
        <w:rFonts w:ascii="Arial" w:hAnsi="Arial" w:hint="default"/>
      </w:rPr>
    </w:lvl>
    <w:lvl w:ilvl="6" w:tplc="F9B2BE82" w:tentative="1">
      <w:start w:val="1"/>
      <w:numFmt w:val="bullet"/>
      <w:lvlText w:val="•"/>
      <w:lvlJc w:val="left"/>
      <w:pPr>
        <w:tabs>
          <w:tab w:val="num" w:pos="4680"/>
        </w:tabs>
        <w:ind w:left="4680" w:hanging="360"/>
      </w:pPr>
      <w:rPr>
        <w:rFonts w:ascii="Arial" w:hAnsi="Arial" w:hint="default"/>
      </w:rPr>
    </w:lvl>
    <w:lvl w:ilvl="7" w:tplc="06181210" w:tentative="1">
      <w:start w:val="1"/>
      <w:numFmt w:val="bullet"/>
      <w:lvlText w:val="•"/>
      <w:lvlJc w:val="left"/>
      <w:pPr>
        <w:tabs>
          <w:tab w:val="num" w:pos="5400"/>
        </w:tabs>
        <w:ind w:left="5400" w:hanging="360"/>
      </w:pPr>
      <w:rPr>
        <w:rFonts w:ascii="Arial" w:hAnsi="Arial" w:hint="default"/>
      </w:rPr>
    </w:lvl>
    <w:lvl w:ilvl="8" w:tplc="3170F1F0" w:tentative="1">
      <w:start w:val="1"/>
      <w:numFmt w:val="bullet"/>
      <w:lvlText w:val="•"/>
      <w:lvlJc w:val="left"/>
      <w:pPr>
        <w:tabs>
          <w:tab w:val="num" w:pos="6120"/>
        </w:tabs>
        <w:ind w:left="6120" w:hanging="360"/>
      </w:pPr>
      <w:rPr>
        <w:rFonts w:ascii="Arial" w:hAnsi="Arial" w:hint="default"/>
      </w:rPr>
    </w:lvl>
  </w:abstractNum>
  <w:abstractNum w:abstractNumId="59" w15:restartNumberingAfterBreak="0">
    <w:nsid w:val="43AF5057"/>
    <w:multiLevelType w:val="hybridMultilevel"/>
    <w:tmpl w:val="1A7A11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C08193D"/>
    <w:multiLevelType w:val="hybridMultilevel"/>
    <w:tmpl w:val="31DC455C"/>
    <w:lvl w:ilvl="0" w:tplc="0409001B">
      <w:start w:val="1"/>
      <w:numFmt w:val="lowerRoman"/>
      <w:lvlText w:val="%1."/>
      <w:lvlJc w:val="right"/>
      <w:pPr>
        <w:ind w:left="1980" w:hanging="360"/>
      </w:pPr>
    </w:lvl>
    <w:lvl w:ilvl="1" w:tplc="0409000F">
      <w:start w:val="1"/>
      <w:numFmt w:val="decimal"/>
      <w:lvlText w:val="%2."/>
      <w:lvlJc w:val="left"/>
      <w:pPr>
        <w:ind w:left="234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1" w15:restartNumberingAfterBreak="0">
    <w:nsid w:val="4C2D2FC4"/>
    <w:multiLevelType w:val="multilevel"/>
    <w:tmpl w:val="37DA2280"/>
    <w:lvl w:ilvl="0">
      <w:start w:val="1"/>
      <w:numFmt w:val="lowerLetter"/>
      <w:pStyle w:val="StyleBodyTextIndentLeft05Hanging02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4C4E1A92"/>
    <w:multiLevelType w:val="multilevel"/>
    <w:tmpl w:val="2DDC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D5A458E"/>
    <w:multiLevelType w:val="hybridMultilevel"/>
    <w:tmpl w:val="59581A9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456FBC"/>
    <w:multiLevelType w:val="hybridMultilevel"/>
    <w:tmpl w:val="9C1E9120"/>
    <w:lvl w:ilvl="0" w:tplc="3174964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28360B"/>
    <w:multiLevelType w:val="hybridMultilevel"/>
    <w:tmpl w:val="232EE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51E74E29"/>
    <w:multiLevelType w:val="hybridMultilevel"/>
    <w:tmpl w:val="5F9C812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591506D"/>
    <w:multiLevelType w:val="hybridMultilevel"/>
    <w:tmpl w:val="572A67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5DF0A1D"/>
    <w:multiLevelType w:val="hybridMultilevel"/>
    <w:tmpl w:val="49189D5E"/>
    <w:lvl w:ilvl="0" w:tplc="FFFFFFFF">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70" w15:restartNumberingAfterBreak="0">
    <w:nsid w:val="5DAC4BBE"/>
    <w:multiLevelType w:val="hybridMultilevel"/>
    <w:tmpl w:val="17D255B0"/>
    <w:lvl w:ilvl="0" w:tplc="A30C8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DBB0A44"/>
    <w:multiLevelType w:val="hybridMultilevel"/>
    <w:tmpl w:val="2DC0780E"/>
    <w:lvl w:ilvl="0" w:tplc="0E9CB798">
      <w:start w:val="1"/>
      <w:numFmt w:val="lowerLetter"/>
      <w:pStyle w:val="HB133H2a0"/>
      <w:lvlText w:val="%1."/>
      <w:lvlJc w:val="left"/>
      <w:pPr>
        <w:ind w:left="1080" w:hanging="360"/>
      </w:pPr>
      <w:rPr>
        <w:rFonts w:ascii="Times New Roman Bold" w:hAnsi="Times New Roman Bold" w:hint="default"/>
        <w:b/>
        <w:bCs w:val="0"/>
        <w:i w:val="0"/>
        <w:iCs w:val="0"/>
        <w:caps w:val="0"/>
        <w:strike w:val="0"/>
        <w:dstrike w:val="0"/>
        <w:vanish w:val="0"/>
        <w:color w:val="000000"/>
        <w:spacing w:val="0"/>
        <w:kern w:val="0"/>
        <w:position w:val="0"/>
        <w:sz w:val="20"/>
        <w:szCs w:val="20"/>
        <w:u w:val="none"/>
        <w:effect w:val="none"/>
        <w:vertAlign w:val="baseline"/>
        <w:em w:val="none"/>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2" w15:restartNumberingAfterBreak="0">
    <w:nsid w:val="63FF77FF"/>
    <w:multiLevelType w:val="hybridMultilevel"/>
    <w:tmpl w:val="647C5A22"/>
    <w:lvl w:ilvl="0" w:tplc="5254BD76">
      <w:start w:val="1"/>
      <w:numFmt w:val="bullet"/>
      <w:lvlText w:val="•"/>
      <w:lvlJc w:val="left"/>
      <w:pPr>
        <w:tabs>
          <w:tab w:val="num" w:pos="720"/>
        </w:tabs>
        <w:ind w:left="720" w:hanging="360"/>
      </w:pPr>
      <w:rPr>
        <w:rFonts w:ascii="Arial" w:hAnsi="Arial" w:hint="default"/>
      </w:rPr>
    </w:lvl>
    <w:lvl w:ilvl="1" w:tplc="D58CE6A4">
      <w:start w:val="1"/>
      <w:numFmt w:val="bullet"/>
      <w:lvlText w:val="•"/>
      <w:lvlJc w:val="left"/>
      <w:pPr>
        <w:tabs>
          <w:tab w:val="num" w:pos="1440"/>
        </w:tabs>
        <w:ind w:left="1440" w:hanging="360"/>
      </w:pPr>
      <w:rPr>
        <w:rFonts w:ascii="Arial" w:hAnsi="Arial" w:hint="default"/>
      </w:rPr>
    </w:lvl>
    <w:lvl w:ilvl="2" w:tplc="CBCE4238">
      <w:numFmt w:val="bullet"/>
      <w:lvlText w:val="•"/>
      <w:lvlJc w:val="left"/>
      <w:pPr>
        <w:tabs>
          <w:tab w:val="num" w:pos="2160"/>
        </w:tabs>
        <w:ind w:left="2160" w:hanging="360"/>
      </w:pPr>
      <w:rPr>
        <w:rFonts w:ascii="Arial" w:hAnsi="Arial" w:hint="default"/>
      </w:rPr>
    </w:lvl>
    <w:lvl w:ilvl="3" w:tplc="DC648592" w:tentative="1">
      <w:start w:val="1"/>
      <w:numFmt w:val="bullet"/>
      <w:lvlText w:val="•"/>
      <w:lvlJc w:val="left"/>
      <w:pPr>
        <w:tabs>
          <w:tab w:val="num" w:pos="2880"/>
        </w:tabs>
        <w:ind w:left="2880" w:hanging="360"/>
      </w:pPr>
      <w:rPr>
        <w:rFonts w:ascii="Arial" w:hAnsi="Arial" w:hint="default"/>
      </w:rPr>
    </w:lvl>
    <w:lvl w:ilvl="4" w:tplc="9FE47216" w:tentative="1">
      <w:start w:val="1"/>
      <w:numFmt w:val="bullet"/>
      <w:lvlText w:val="•"/>
      <w:lvlJc w:val="left"/>
      <w:pPr>
        <w:tabs>
          <w:tab w:val="num" w:pos="3600"/>
        </w:tabs>
        <w:ind w:left="3600" w:hanging="360"/>
      </w:pPr>
      <w:rPr>
        <w:rFonts w:ascii="Arial" w:hAnsi="Arial" w:hint="default"/>
      </w:rPr>
    </w:lvl>
    <w:lvl w:ilvl="5" w:tplc="314C92BC" w:tentative="1">
      <w:start w:val="1"/>
      <w:numFmt w:val="bullet"/>
      <w:lvlText w:val="•"/>
      <w:lvlJc w:val="left"/>
      <w:pPr>
        <w:tabs>
          <w:tab w:val="num" w:pos="4320"/>
        </w:tabs>
        <w:ind w:left="4320" w:hanging="360"/>
      </w:pPr>
      <w:rPr>
        <w:rFonts w:ascii="Arial" w:hAnsi="Arial" w:hint="default"/>
      </w:rPr>
    </w:lvl>
    <w:lvl w:ilvl="6" w:tplc="CCBE44DC" w:tentative="1">
      <w:start w:val="1"/>
      <w:numFmt w:val="bullet"/>
      <w:lvlText w:val="•"/>
      <w:lvlJc w:val="left"/>
      <w:pPr>
        <w:tabs>
          <w:tab w:val="num" w:pos="5040"/>
        </w:tabs>
        <w:ind w:left="5040" w:hanging="360"/>
      </w:pPr>
      <w:rPr>
        <w:rFonts w:ascii="Arial" w:hAnsi="Arial" w:hint="default"/>
      </w:rPr>
    </w:lvl>
    <w:lvl w:ilvl="7" w:tplc="3A402F72" w:tentative="1">
      <w:start w:val="1"/>
      <w:numFmt w:val="bullet"/>
      <w:lvlText w:val="•"/>
      <w:lvlJc w:val="left"/>
      <w:pPr>
        <w:tabs>
          <w:tab w:val="num" w:pos="5760"/>
        </w:tabs>
        <w:ind w:left="5760" w:hanging="360"/>
      </w:pPr>
      <w:rPr>
        <w:rFonts w:ascii="Arial" w:hAnsi="Arial" w:hint="default"/>
      </w:rPr>
    </w:lvl>
    <w:lvl w:ilvl="8" w:tplc="B66CEB62"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6C391BB5"/>
    <w:multiLevelType w:val="multilevel"/>
    <w:tmpl w:val="0454821C"/>
    <w:lvl w:ilvl="0">
      <w:numFmt w:val="none"/>
      <w:lvlText w:val=""/>
      <w:lvlJc w:val="left"/>
      <w:pPr>
        <w:tabs>
          <w:tab w:val="num" w:pos="360"/>
        </w:tabs>
      </w:pPr>
    </w:lvl>
    <w:lvl w:ilvl="1">
      <w:numFmt w:val="none"/>
      <w:pStyle w:val="311H1"/>
      <w:lvlText w:val=""/>
      <w:lvlJc w:val="left"/>
      <w:pPr>
        <w:tabs>
          <w:tab w:val="num" w:pos="360"/>
        </w:tabs>
      </w:pPr>
    </w:lvl>
    <w:lvl w:ilvl="2">
      <w:numFmt w:val="none"/>
      <w:pStyle w:val="3111H2"/>
      <w:lvlText w:val=""/>
      <w:lvlJc w:val="left"/>
      <w:pPr>
        <w:tabs>
          <w:tab w:val="num" w:pos="360"/>
        </w:tabs>
      </w:pPr>
    </w:lvl>
    <w:lvl w:ilvl="3">
      <w:numFmt w:val="decimal"/>
      <w:pStyle w:val="4211Hdg3"/>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D040170"/>
    <w:multiLevelType w:val="hybridMultilevel"/>
    <w:tmpl w:val="B2501F54"/>
    <w:lvl w:ilvl="0" w:tplc="0409000B">
      <w:numFmt w:val="decimal"/>
      <w:pStyle w:val="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5" w15:restartNumberingAfterBreak="0">
    <w:nsid w:val="712D1ABC"/>
    <w:multiLevelType w:val="hybridMultilevel"/>
    <w:tmpl w:val="B5D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532EA5"/>
    <w:multiLevelType w:val="multilevel"/>
    <w:tmpl w:val="DB2489F2"/>
    <w:lvl w:ilvl="0">
      <w:numFmt w:val="decimal"/>
      <w:pStyle w:val="NumberSeriesLevel1"/>
      <w:lvlText w:val=""/>
      <w:lvlJc w:val="left"/>
    </w:lvl>
    <w:lvl w:ilvl="1">
      <w:numFmt w:val="decimal"/>
      <w:pStyle w:val="NumberSeriesLev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8052683"/>
    <w:multiLevelType w:val="multilevel"/>
    <w:tmpl w:val="1EF86012"/>
    <w:styleLink w:val="CurrentList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9C67838"/>
    <w:multiLevelType w:val="hybridMultilevel"/>
    <w:tmpl w:val="C3F66C94"/>
    <w:lvl w:ilvl="0" w:tplc="E4B816C4">
      <w:start w:val="1"/>
      <w:numFmt w:val="lowerLetter"/>
      <w:lvlText w:val="(%1)"/>
      <w:lvlJc w:val="left"/>
      <w:pPr>
        <w:ind w:left="1440" w:hanging="360"/>
      </w:pPr>
      <w:rPr>
        <w:rFonts w:cs="Times New Roman" w:hint="default"/>
        <w:b/>
        <w:bCs w:val="0"/>
        <w:strike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697AC0"/>
    <w:multiLevelType w:val="hybridMultilevel"/>
    <w:tmpl w:val="6F603CC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DE16ECA"/>
    <w:multiLevelType w:val="hybridMultilevel"/>
    <w:tmpl w:val="FBE0455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5267EE"/>
    <w:multiLevelType w:val="hybridMultilevel"/>
    <w:tmpl w:val="C19E7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A76C8A"/>
    <w:multiLevelType w:val="hybridMultilevel"/>
    <w:tmpl w:val="409643E4"/>
    <w:lvl w:ilvl="0" w:tplc="FFFFFFFF">
      <w:start w:val="1"/>
      <w:numFmt w:val="lowerLetter"/>
      <w:lvlText w:val="(%1)"/>
      <w:lvlJc w:val="left"/>
      <w:pPr>
        <w:ind w:left="720" w:hanging="360"/>
      </w:pPr>
      <w:rPr>
        <w:rFonts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234664699">
    <w:abstractNumId w:val="57"/>
  </w:num>
  <w:num w:numId="2" w16cid:durableId="792096288">
    <w:abstractNumId w:val="53"/>
  </w:num>
  <w:num w:numId="3" w16cid:durableId="772554643">
    <w:abstractNumId w:val="76"/>
  </w:num>
  <w:num w:numId="4" w16cid:durableId="382145484">
    <w:abstractNumId w:val="38"/>
  </w:num>
  <w:num w:numId="5" w16cid:durableId="641084342">
    <w:abstractNumId w:val="36"/>
  </w:num>
  <w:num w:numId="6" w16cid:durableId="241062720">
    <w:abstractNumId w:val="69"/>
  </w:num>
  <w:num w:numId="7" w16cid:durableId="16557975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76574">
    <w:abstractNumId w:val="11"/>
  </w:num>
  <w:num w:numId="9" w16cid:durableId="1542282417">
    <w:abstractNumId w:val="71"/>
  </w:num>
  <w:num w:numId="10" w16cid:durableId="1591937033">
    <w:abstractNumId w:val="8"/>
  </w:num>
  <w:num w:numId="11" w16cid:durableId="130681791">
    <w:abstractNumId w:val="61"/>
  </w:num>
  <w:num w:numId="12" w16cid:durableId="727143829">
    <w:abstractNumId w:val="7"/>
  </w:num>
  <w:num w:numId="13" w16cid:durableId="1314992952">
    <w:abstractNumId w:val="6"/>
  </w:num>
  <w:num w:numId="14" w16cid:durableId="554896617">
    <w:abstractNumId w:val="5"/>
  </w:num>
  <w:num w:numId="15" w16cid:durableId="1726905613">
    <w:abstractNumId w:val="4"/>
  </w:num>
  <w:num w:numId="16" w16cid:durableId="221866601">
    <w:abstractNumId w:val="3"/>
  </w:num>
  <w:num w:numId="17" w16cid:durableId="511574841">
    <w:abstractNumId w:val="2"/>
  </w:num>
  <w:num w:numId="18" w16cid:durableId="1093864006">
    <w:abstractNumId w:val="1"/>
  </w:num>
  <w:num w:numId="19" w16cid:durableId="808547271">
    <w:abstractNumId w:val="0"/>
  </w:num>
  <w:num w:numId="20" w16cid:durableId="211159788">
    <w:abstractNumId w:val="43"/>
  </w:num>
  <w:num w:numId="21" w16cid:durableId="193856006">
    <w:abstractNumId w:val="54"/>
  </w:num>
  <w:num w:numId="22" w16cid:durableId="1012758472">
    <w:abstractNumId w:val="73"/>
  </w:num>
  <w:num w:numId="23" w16cid:durableId="247665771">
    <w:abstractNumId w:val="44"/>
  </w:num>
  <w:num w:numId="24" w16cid:durableId="1760591067">
    <w:abstractNumId w:val="17"/>
  </w:num>
  <w:num w:numId="25" w16cid:durableId="1427578917">
    <w:abstractNumId w:val="74"/>
  </w:num>
  <w:num w:numId="26" w16cid:durableId="1682856729">
    <w:abstractNumId w:val="29"/>
  </w:num>
  <w:num w:numId="27" w16cid:durableId="253980131">
    <w:abstractNumId w:val="24"/>
  </w:num>
  <w:num w:numId="28" w16cid:durableId="1250651762">
    <w:abstractNumId w:val="46"/>
  </w:num>
  <w:num w:numId="29" w16cid:durableId="516384838">
    <w:abstractNumId w:val="77"/>
  </w:num>
  <w:num w:numId="30" w16cid:durableId="12341461">
    <w:abstractNumId w:val="16"/>
  </w:num>
  <w:num w:numId="31" w16cid:durableId="204491158">
    <w:abstractNumId w:val="33"/>
  </w:num>
  <w:num w:numId="32" w16cid:durableId="1614701994">
    <w:abstractNumId w:val="80"/>
  </w:num>
  <w:num w:numId="33" w16cid:durableId="1448967777">
    <w:abstractNumId w:val="17"/>
    <w:lvlOverride w:ilvl="0">
      <w:lvl w:ilvl="0" w:tplc="04090001">
        <w:start w:val="1"/>
        <w:numFmt w:val="decimal"/>
        <w:suff w:val="space"/>
        <w:lvlText w:val="Chapter %1. "/>
        <w:lvlJc w:val="center"/>
        <w:pPr>
          <w:ind w:left="0" w:firstLine="0"/>
        </w:pPr>
        <w:rPr>
          <w:rFonts w:ascii="Times New Roman Bold" w:hAnsi="Times New Roman Bold" w:hint="default"/>
          <w:b/>
          <w:i w:val="0"/>
          <w:sz w:val="28"/>
        </w:rPr>
      </w:lvl>
    </w:lvlOverride>
    <w:lvlOverride w:ilvl="1">
      <w:lvl w:ilvl="1" w:tplc="04090003">
        <w:start w:val="1"/>
        <w:numFmt w:val="decimal"/>
        <w:lvlText w:val="%1.%2."/>
        <w:lvlJc w:val="left"/>
        <w:pPr>
          <w:ind w:left="720" w:hanging="720"/>
        </w:pPr>
        <w:rPr>
          <w:rFonts w:ascii="Times New Roman Bold" w:hAnsi="Times New Roman Bold" w:hint="default"/>
          <w:b/>
          <w:i w:val="0"/>
          <w:sz w:val="24"/>
        </w:rPr>
      </w:lvl>
    </w:lvlOverride>
    <w:lvlOverride w:ilvl="2">
      <w:lvl w:ilvl="2" w:tplc="04090005">
        <w:start w:val="1"/>
        <w:numFmt w:val="decimal"/>
        <w:lvlText w:val="%1.%2.%3."/>
        <w:lvlJc w:val="left"/>
        <w:pPr>
          <w:ind w:left="3006" w:hanging="936"/>
        </w:pPr>
        <w:rPr>
          <w:rFonts w:ascii="Times New Roman Bold" w:hAnsi="Times New Roman Bold" w:hint="default"/>
          <w:b/>
          <w:i w:val="0"/>
          <w:sz w:val="22"/>
          <w:szCs w:val="22"/>
        </w:rPr>
      </w:lvl>
    </w:lvlOverride>
    <w:lvlOverride w:ilvl="3">
      <w:lvl w:ilvl="3" w:tplc="04090001">
        <w:start w:val="1"/>
        <w:numFmt w:val="decimal"/>
        <w:lvlText w:val="%1.%2.%3.%4."/>
        <w:lvlJc w:val="left"/>
        <w:pPr>
          <w:ind w:left="1800" w:hanging="1080"/>
        </w:pPr>
        <w:rPr>
          <w:rFonts w:ascii="Times New Roman Bold" w:hAnsi="Times New Roman Bold" w:hint="default"/>
          <w:b/>
          <w:i w:val="0"/>
          <w:color w:val="auto"/>
          <w:sz w:val="22"/>
          <w:szCs w:val="22"/>
        </w:rPr>
      </w:lvl>
    </w:lvlOverride>
    <w:lvlOverride w:ilvl="4">
      <w:lvl w:ilvl="4" w:tplc="04090003">
        <w:start w:val="1"/>
        <w:numFmt w:val="decimal"/>
        <w:lvlText w:val="%1.%2.%3.%4.%5."/>
        <w:lvlJc w:val="left"/>
        <w:pPr>
          <w:ind w:left="2592" w:hanging="1512"/>
        </w:pPr>
        <w:rPr>
          <w:rFonts w:ascii="Times New Roman Bold" w:hAnsi="Times New Roman Bold" w:hint="default"/>
          <w:b/>
          <w:i w:val="0"/>
          <w:sz w:val="22"/>
        </w:rPr>
      </w:lvl>
    </w:lvlOverride>
    <w:lvlOverride w:ilvl="5">
      <w:lvl w:ilvl="5" w:tplc="04090005">
        <w:start w:val="1"/>
        <w:numFmt w:val="none"/>
        <w:lvlText w:val="%1.%2.%3.%4.%5."/>
        <w:lvlJc w:val="left"/>
        <w:pPr>
          <w:ind w:left="2880" w:hanging="1440"/>
        </w:pPr>
        <w:rPr>
          <w:rFonts w:ascii="Times New Roman Bold" w:hAnsi="Times New Roman Bold" w:hint="default"/>
          <w:b/>
          <w:i w:val="0"/>
          <w:sz w:val="22"/>
        </w:rPr>
      </w:lvl>
    </w:lvlOverride>
    <w:lvlOverride w:ilvl="6">
      <w:lvl w:ilvl="6" w:tplc="04090001">
        <w:start w:val="1"/>
        <w:numFmt w:val="decimal"/>
        <w:lvlText w:val="%7.%1.%2.%3.%4.%5.%6."/>
        <w:lvlJc w:val="left"/>
        <w:pPr>
          <w:ind w:left="3816" w:hanging="2016"/>
        </w:pPr>
        <w:rPr>
          <w:rFonts w:ascii="Times New Roman Bold" w:hAnsi="Times New Roman Bold" w:hint="default"/>
          <w:b/>
          <w:i w:val="0"/>
          <w:sz w:val="20"/>
        </w:rPr>
      </w:lvl>
    </w:lvlOverride>
    <w:lvlOverride w:ilvl="7">
      <w:lvl w:ilvl="7" w:tplc="04090003">
        <w:start w:val="1"/>
        <w:numFmt w:val="decimal"/>
        <w:lvlText w:val="%1.%2.%3.%4.%5.%6.%7.%8."/>
        <w:lvlJc w:val="left"/>
        <w:pPr>
          <w:ind w:left="4896" w:hanging="2736"/>
        </w:pPr>
        <w:rPr>
          <w:rFonts w:hint="default"/>
        </w:rPr>
      </w:lvl>
    </w:lvlOverride>
    <w:lvlOverride w:ilvl="8">
      <w:lvl w:ilvl="8" w:tplc="04090005">
        <w:start w:val="1"/>
        <w:numFmt w:val="none"/>
        <w:lvlText w:val=""/>
        <w:lvlJc w:val="left"/>
        <w:pPr>
          <w:ind w:left="3240" w:hanging="360"/>
        </w:pPr>
        <w:rPr>
          <w:rFonts w:hint="default"/>
        </w:rPr>
      </w:lvl>
    </w:lvlOverride>
  </w:num>
  <w:num w:numId="34" w16cid:durableId="1577785722">
    <w:abstractNumId w:val="21"/>
  </w:num>
  <w:num w:numId="35" w16cid:durableId="891116562">
    <w:abstractNumId w:val="12"/>
  </w:num>
  <w:num w:numId="36" w16cid:durableId="1074428594">
    <w:abstractNumId w:val="48"/>
  </w:num>
  <w:num w:numId="37" w16cid:durableId="1355493828">
    <w:abstractNumId w:val="20"/>
  </w:num>
  <w:num w:numId="38" w16cid:durableId="1360231677">
    <w:abstractNumId w:val="56"/>
  </w:num>
  <w:num w:numId="39" w16cid:durableId="920717103">
    <w:abstractNumId w:val="28"/>
  </w:num>
  <w:num w:numId="40" w16cid:durableId="1510098777">
    <w:abstractNumId w:val="47"/>
  </w:num>
  <w:num w:numId="41" w16cid:durableId="1948923701">
    <w:abstractNumId w:val="78"/>
  </w:num>
  <w:num w:numId="42" w16cid:durableId="871041114">
    <w:abstractNumId w:val="64"/>
  </w:num>
  <w:num w:numId="43" w16cid:durableId="834222016">
    <w:abstractNumId w:val="26"/>
  </w:num>
  <w:num w:numId="44" w16cid:durableId="2120560095">
    <w:abstractNumId w:val="34"/>
  </w:num>
  <w:num w:numId="45" w16cid:durableId="1472701">
    <w:abstractNumId w:val="75"/>
  </w:num>
  <w:num w:numId="46" w16cid:durableId="2029061338">
    <w:abstractNumId w:val="42"/>
  </w:num>
  <w:num w:numId="47" w16cid:durableId="2132281033">
    <w:abstractNumId w:val="27"/>
  </w:num>
  <w:num w:numId="48" w16cid:durableId="1159809824">
    <w:abstractNumId w:val="79"/>
  </w:num>
  <w:num w:numId="49" w16cid:durableId="340395331">
    <w:abstractNumId w:val="55"/>
  </w:num>
  <w:num w:numId="50" w16cid:durableId="914170978">
    <w:abstractNumId w:val="50"/>
  </w:num>
  <w:num w:numId="51" w16cid:durableId="1875773383">
    <w:abstractNumId w:val="52"/>
  </w:num>
  <w:num w:numId="52" w16cid:durableId="106125391">
    <w:abstractNumId w:val="70"/>
  </w:num>
  <w:num w:numId="53" w16cid:durableId="64377412">
    <w:abstractNumId w:val="37"/>
  </w:num>
  <w:num w:numId="54" w16cid:durableId="1216431598">
    <w:abstractNumId w:val="81"/>
  </w:num>
  <w:num w:numId="55" w16cid:durableId="1932156074">
    <w:abstractNumId w:val="62"/>
  </w:num>
  <w:num w:numId="56" w16cid:durableId="862086279">
    <w:abstractNumId w:val="72"/>
  </w:num>
  <w:num w:numId="57" w16cid:durableId="102775191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575160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2480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0221064">
    <w:abstractNumId w:val="29"/>
  </w:num>
  <w:num w:numId="61" w16cid:durableId="1337419178">
    <w:abstractNumId w:val="24"/>
  </w:num>
  <w:num w:numId="62" w16cid:durableId="1142885902">
    <w:abstractNumId w:val="67"/>
  </w:num>
  <w:num w:numId="63" w16cid:durableId="935089578">
    <w:abstractNumId w:val="60"/>
  </w:num>
  <w:num w:numId="64" w16cid:durableId="603609650">
    <w:abstractNumId w:val="65"/>
  </w:num>
  <w:num w:numId="65" w16cid:durableId="1954245802">
    <w:abstractNumId w:val="3"/>
    <w:lvlOverride w:ilvl="0">
      <w:startOverride w:val="1"/>
    </w:lvlOverride>
  </w:num>
  <w:num w:numId="66" w16cid:durableId="1808354797">
    <w:abstractNumId w:val="45"/>
  </w:num>
  <w:num w:numId="67" w16cid:durableId="2060351609">
    <w:abstractNumId w:val="9"/>
  </w:num>
  <w:num w:numId="68" w16cid:durableId="423654217">
    <w:abstractNumId w:val="15"/>
  </w:num>
  <w:num w:numId="69" w16cid:durableId="121114623">
    <w:abstractNumId w:val="40"/>
  </w:num>
  <w:num w:numId="70" w16cid:durableId="779183346">
    <w:abstractNumId w:val="83"/>
  </w:num>
  <w:num w:numId="71" w16cid:durableId="1120298391">
    <w:abstractNumId w:val="32"/>
  </w:num>
  <w:num w:numId="72" w16cid:durableId="207113032">
    <w:abstractNumId w:val="82"/>
  </w:num>
  <w:num w:numId="73" w16cid:durableId="647318265">
    <w:abstractNumId w:val="18"/>
  </w:num>
  <w:num w:numId="74" w16cid:durableId="632716152">
    <w:abstractNumId w:val="13"/>
  </w:num>
  <w:num w:numId="75" w16cid:durableId="139857518">
    <w:abstractNumId w:val="51"/>
  </w:num>
  <w:num w:numId="76" w16cid:durableId="941258760">
    <w:abstractNumId w:val="25"/>
  </w:num>
  <w:num w:numId="77" w16cid:durableId="1377854774">
    <w:abstractNumId w:val="35"/>
  </w:num>
  <w:num w:numId="78" w16cid:durableId="893931677">
    <w:abstractNumId w:val="39"/>
  </w:num>
  <w:num w:numId="79" w16cid:durableId="1178234704">
    <w:abstractNumId w:val="30"/>
  </w:num>
  <w:num w:numId="80" w16cid:durableId="1345473095">
    <w:abstractNumId w:val="14"/>
  </w:num>
  <w:num w:numId="81" w16cid:durableId="662322747">
    <w:abstractNumId w:val="63"/>
  </w:num>
  <w:num w:numId="82" w16cid:durableId="220558572">
    <w:abstractNumId w:val="58"/>
  </w:num>
  <w:num w:numId="83" w16cid:durableId="1302734111">
    <w:abstractNumId w:val="31"/>
  </w:num>
  <w:num w:numId="84" w16cid:durableId="1925841298">
    <w:abstractNumId w:val="59"/>
  </w:num>
  <w:num w:numId="85" w16cid:durableId="1057165941">
    <w:abstractNumId w:val="41"/>
  </w:num>
  <w:num w:numId="86" w16cid:durableId="1099915241">
    <w:abstractNumId w:val="66"/>
  </w:num>
  <w:num w:numId="87" w16cid:durableId="1670331007">
    <w:abstractNumId w:val="19"/>
  </w:num>
  <w:num w:numId="88" w16cid:durableId="39940178">
    <w:abstractNumId w:val="2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MjU3MjC2tDQyMTFX0lEKTi0uzszPAykwM6sFAKHSzN8tAAAA"/>
  </w:docVars>
  <w:rsids>
    <w:rsidRoot w:val="00A12E0D"/>
    <w:rsid w:val="0000008F"/>
    <w:rsid w:val="0000032F"/>
    <w:rsid w:val="000006B8"/>
    <w:rsid w:val="00000979"/>
    <w:rsid w:val="00000F3D"/>
    <w:rsid w:val="00000F89"/>
    <w:rsid w:val="000010C1"/>
    <w:rsid w:val="00001340"/>
    <w:rsid w:val="000018B0"/>
    <w:rsid w:val="0000193D"/>
    <w:rsid w:val="00001C32"/>
    <w:rsid w:val="00001FE0"/>
    <w:rsid w:val="000023DC"/>
    <w:rsid w:val="00002773"/>
    <w:rsid w:val="00002BF1"/>
    <w:rsid w:val="00002D2C"/>
    <w:rsid w:val="000036B8"/>
    <w:rsid w:val="00003C73"/>
    <w:rsid w:val="00003E9C"/>
    <w:rsid w:val="00003F53"/>
    <w:rsid w:val="00004298"/>
    <w:rsid w:val="00004304"/>
    <w:rsid w:val="0000443B"/>
    <w:rsid w:val="000044CE"/>
    <w:rsid w:val="0000465C"/>
    <w:rsid w:val="00004803"/>
    <w:rsid w:val="00004950"/>
    <w:rsid w:val="0000543A"/>
    <w:rsid w:val="00005779"/>
    <w:rsid w:val="00005885"/>
    <w:rsid w:val="00005A0C"/>
    <w:rsid w:val="00005B3F"/>
    <w:rsid w:val="00005EC3"/>
    <w:rsid w:val="00006175"/>
    <w:rsid w:val="00006761"/>
    <w:rsid w:val="00006AF9"/>
    <w:rsid w:val="00006B0C"/>
    <w:rsid w:val="00006D7F"/>
    <w:rsid w:val="00006FCD"/>
    <w:rsid w:val="000074C0"/>
    <w:rsid w:val="000074F7"/>
    <w:rsid w:val="000076D9"/>
    <w:rsid w:val="0000772E"/>
    <w:rsid w:val="0000792B"/>
    <w:rsid w:val="00007BDC"/>
    <w:rsid w:val="00007C01"/>
    <w:rsid w:val="00007DC0"/>
    <w:rsid w:val="00007E3C"/>
    <w:rsid w:val="000102C9"/>
    <w:rsid w:val="00010309"/>
    <w:rsid w:val="00010F22"/>
    <w:rsid w:val="0001154E"/>
    <w:rsid w:val="000115B8"/>
    <w:rsid w:val="0001166D"/>
    <w:rsid w:val="0001178B"/>
    <w:rsid w:val="000119A9"/>
    <w:rsid w:val="00011BC1"/>
    <w:rsid w:val="0001228C"/>
    <w:rsid w:val="000122F0"/>
    <w:rsid w:val="000123D3"/>
    <w:rsid w:val="000125E9"/>
    <w:rsid w:val="000126FA"/>
    <w:rsid w:val="0001283A"/>
    <w:rsid w:val="00012A49"/>
    <w:rsid w:val="00012C79"/>
    <w:rsid w:val="00012E40"/>
    <w:rsid w:val="000132BC"/>
    <w:rsid w:val="00013593"/>
    <w:rsid w:val="0001381E"/>
    <w:rsid w:val="00013D11"/>
    <w:rsid w:val="00013F63"/>
    <w:rsid w:val="0001432E"/>
    <w:rsid w:val="00014605"/>
    <w:rsid w:val="0001466E"/>
    <w:rsid w:val="00014FF3"/>
    <w:rsid w:val="0001515B"/>
    <w:rsid w:val="0001538E"/>
    <w:rsid w:val="000154EB"/>
    <w:rsid w:val="00015D26"/>
    <w:rsid w:val="00015DB8"/>
    <w:rsid w:val="00015E81"/>
    <w:rsid w:val="00016304"/>
    <w:rsid w:val="00016494"/>
    <w:rsid w:val="000167F6"/>
    <w:rsid w:val="00016E46"/>
    <w:rsid w:val="000170CD"/>
    <w:rsid w:val="00017394"/>
    <w:rsid w:val="000176F1"/>
    <w:rsid w:val="000177CC"/>
    <w:rsid w:val="000178E3"/>
    <w:rsid w:val="000179CC"/>
    <w:rsid w:val="000179F8"/>
    <w:rsid w:val="00017BB3"/>
    <w:rsid w:val="00017F3A"/>
    <w:rsid w:val="00017F75"/>
    <w:rsid w:val="000202D1"/>
    <w:rsid w:val="000208ED"/>
    <w:rsid w:val="00020A63"/>
    <w:rsid w:val="00020AFA"/>
    <w:rsid w:val="00021045"/>
    <w:rsid w:val="00021370"/>
    <w:rsid w:val="0002151B"/>
    <w:rsid w:val="0002165E"/>
    <w:rsid w:val="000218BC"/>
    <w:rsid w:val="00021AC8"/>
    <w:rsid w:val="000224E8"/>
    <w:rsid w:val="00022A1A"/>
    <w:rsid w:val="00022AE7"/>
    <w:rsid w:val="00022BA2"/>
    <w:rsid w:val="00022DF5"/>
    <w:rsid w:val="00022ED8"/>
    <w:rsid w:val="00022F3C"/>
    <w:rsid w:val="00022F42"/>
    <w:rsid w:val="00022FCB"/>
    <w:rsid w:val="000231AE"/>
    <w:rsid w:val="000234D0"/>
    <w:rsid w:val="00023C2A"/>
    <w:rsid w:val="00023D2E"/>
    <w:rsid w:val="00023E63"/>
    <w:rsid w:val="00023E87"/>
    <w:rsid w:val="000244AC"/>
    <w:rsid w:val="00024A4A"/>
    <w:rsid w:val="00024B16"/>
    <w:rsid w:val="00024E52"/>
    <w:rsid w:val="000250E8"/>
    <w:rsid w:val="000251D2"/>
    <w:rsid w:val="000252CF"/>
    <w:rsid w:val="00025374"/>
    <w:rsid w:val="0002547A"/>
    <w:rsid w:val="00025579"/>
    <w:rsid w:val="000255D4"/>
    <w:rsid w:val="000257D4"/>
    <w:rsid w:val="000257F7"/>
    <w:rsid w:val="00025C12"/>
    <w:rsid w:val="00025FB9"/>
    <w:rsid w:val="000262CA"/>
    <w:rsid w:val="00026722"/>
    <w:rsid w:val="0002685D"/>
    <w:rsid w:val="00026A66"/>
    <w:rsid w:val="00026E33"/>
    <w:rsid w:val="00026E93"/>
    <w:rsid w:val="00026EFE"/>
    <w:rsid w:val="00026F55"/>
    <w:rsid w:val="0002719B"/>
    <w:rsid w:val="00027266"/>
    <w:rsid w:val="00027A39"/>
    <w:rsid w:val="00027B2A"/>
    <w:rsid w:val="00027D05"/>
    <w:rsid w:val="00030834"/>
    <w:rsid w:val="00030FAB"/>
    <w:rsid w:val="00031160"/>
    <w:rsid w:val="000312A9"/>
    <w:rsid w:val="00031353"/>
    <w:rsid w:val="00031A34"/>
    <w:rsid w:val="000320D7"/>
    <w:rsid w:val="000328C1"/>
    <w:rsid w:val="00032971"/>
    <w:rsid w:val="00032A72"/>
    <w:rsid w:val="0003330D"/>
    <w:rsid w:val="0003331E"/>
    <w:rsid w:val="00033358"/>
    <w:rsid w:val="00033390"/>
    <w:rsid w:val="00033524"/>
    <w:rsid w:val="00033965"/>
    <w:rsid w:val="00033D89"/>
    <w:rsid w:val="00033E53"/>
    <w:rsid w:val="000340AC"/>
    <w:rsid w:val="000340BF"/>
    <w:rsid w:val="00034572"/>
    <w:rsid w:val="00034772"/>
    <w:rsid w:val="000349DA"/>
    <w:rsid w:val="00034A56"/>
    <w:rsid w:val="00034AE8"/>
    <w:rsid w:val="00034FC4"/>
    <w:rsid w:val="000350CA"/>
    <w:rsid w:val="000352D7"/>
    <w:rsid w:val="000356D4"/>
    <w:rsid w:val="000357B1"/>
    <w:rsid w:val="00035942"/>
    <w:rsid w:val="00035B0B"/>
    <w:rsid w:val="00035C2D"/>
    <w:rsid w:val="00035CE8"/>
    <w:rsid w:val="00035DB9"/>
    <w:rsid w:val="000363DA"/>
    <w:rsid w:val="000365BA"/>
    <w:rsid w:val="000366C8"/>
    <w:rsid w:val="00036902"/>
    <w:rsid w:val="00036BB4"/>
    <w:rsid w:val="00036C53"/>
    <w:rsid w:val="00037076"/>
    <w:rsid w:val="000370E4"/>
    <w:rsid w:val="00037A39"/>
    <w:rsid w:val="00037B89"/>
    <w:rsid w:val="00037BE0"/>
    <w:rsid w:val="000401A0"/>
    <w:rsid w:val="000401D1"/>
    <w:rsid w:val="00040792"/>
    <w:rsid w:val="00040840"/>
    <w:rsid w:val="00040B1E"/>
    <w:rsid w:val="00040B3D"/>
    <w:rsid w:val="00041225"/>
    <w:rsid w:val="0004139D"/>
    <w:rsid w:val="00041766"/>
    <w:rsid w:val="00041957"/>
    <w:rsid w:val="00041E04"/>
    <w:rsid w:val="000428B4"/>
    <w:rsid w:val="00042A1F"/>
    <w:rsid w:val="00042AAE"/>
    <w:rsid w:val="00042B5F"/>
    <w:rsid w:val="00042D99"/>
    <w:rsid w:val="00043120"/>
    <w:rsid w:val="000431ED"/>
    <w:rsid w:val="00043B43"/>
    <w:rsid w:val="00044217"/>
    <w:rsid w:val="00044F27"/>
    <w:rsid w:val="0004540F"/>
    <w:rsid w:val="00045805"/>
    <w:rsid w:val="00045AB6"/>
    <w:rsid w:val="00045EBF"/>
    <w:rsid w:val="000467E8"/>
    <w:rsid w:val="00046A43"/>
    <w:rsid w:val="00046F68"/>
    <w:rsid w:val="00047127"/>
    <w:rsid w:val="00047442"/>
    <w:rsid w:val="000477D4"/>
    <w:rsid w:val="00047DB7"/>
    <w:rsid w:val="0005013E"/>
    <w:rsid w:val="0005052B"/>
    <w:rsid w:val="00050CBB"/>
    <w:rsid w:val="00051186"/>
    <w:rsid w:val="00051199"/>
    <w:rsid w:val="0005121F"/>
    <w:rsid w:val="00051BE7"/>
    <w:rsid w:val="0005226B"/>
    <w:rsid w:val="000522C1"/>
    <w:rsid w:val="00052354"/>
    <w:rsid w:val="00052428"/>
    <w:rsid w:val="0005249C"/>
    <w:rsid w:val="00052688"/>
    <w:rsid w:val="00052A5C"/>
    <w:rsid w:val="00052B10"/>
    <w:rsid w:val="00052C7A"/>
    <w:rsid w:val="000530E4"/>
    <w:rsid w:val="000535CA"/>
    <w:rsid w:val="0005397E"/>
    <w:rsid w:val="00053D3F"/>
    <w:rsid w:val="000540E4"/>
    <w:rsid w:val="00054372"/>
    <w:rsid w:val="000548CC"/>
    <w:rsid w:val="00054F06"/>
    <w:rsid w:val="0005507D"/>
    <w:rsid w:val="00055D56"/>
    <w:rsid w:val="000560E6"/>
    <w:rsid w:val="000561DB"/>
    <w:rsid w:val="00056203"/>
    <w:rsid w:val="00056780"/>
    <w:rsid w:val="00056BDE"/>
    <w:rsid w:val="00056C78"/>
    <w:rsid w:val="00057007"/>
    <w:rsid w:val="0005721A"/>
    <w:rsid w:val="00057229"/>
    <w:rsid w:val="00057246"/>
    <w:rsid w:val="000573DB"/>
    <w:rsid w:val="00057AB1"/>
    <w:rsid w:val="00060085"/>
    <w:rsid w:val="000600E5"/>
    <w:rsid w:val="000600ED"/>
    <w:rsid w:val="0006045C"/>
    <w:rsid w:val="000607B0"/>
    <w:rsid w:val="00060CCE"/>
    <w:rsid w:val="000610B5"/>
    <w:rsid w:val="000614DC"/>
    <w:rsid w:val="000614F4"/>
    <w:rsid w:val="00061729"/>
    <w:rsid w:val="00061891"/>
    <w:rsid w:val="00061B95"/>
    <w:rsid w:val="00062007"/>
    <w:rsid w:val="00062274"/>
    <w:rsid w:val="0006236E"/>
    <w:rsid w:val="00062681"/>
    <w:rsid w:val="00062699"/>
    <w:rsid w:val="0006274F"/>
    <w:rsid w:val="000629F6"/>
    <w:rsid w:val="00062ABA"/>
    <w:rsid w:val="000636EC"/>
    <w:rsid w:val="00063DA2"/>
    <w:rsid w:val="00063F7E"/>
    <w:rsid w:val="0006419F"/>
    <w:rsid w:val="000642C9"/>
    <w:rsid w:val="00064545"/>
    <w:rsid w:val="00064682"/>
    <w:rsid w:val="00064FC8"/>
    <w:rsid w:val="000652D3"/>
    <w:rsid w:val="0006536C"/>
    <w:rsid w:val="00065683"/>
    <w:rsid w:val="00065A05"/>
    <w:rsid w:val="00065B9F"/>
    <w:rsid w:val="000668E1"/>
    <w:rsid w:val="00066901"/>
    <w:rsid w:val="00066951"/>
    <w:rsid w:val="00066986"/>
    <w:rsid w:val="00066AD9"/>
    <w:rsid w:val="00066C69"/>
    <w:rsid w:val="00066D8E"/>
    <w:rsid w:val="000670DD"/>
    <w:rsid w:val="000674C0"/>
    <w:rsid w:val="000675D8"/>
    <w:rsid w:val="000676C8"/>
    <w:rsid w:val="00067AF4"/>
    <w:rsid w:val="00067BE2"/>
    <w:rsid w:val="00067E4C"/>
    <w:rsid w:val="00067F21"/>
    <w:rsid w:val="00067F80"/>
    <w:rsid w:val="0007015D"/>
    <w:rsid w:val="000703BB"/>
    <w:rsid w:val="000703DF"/>
    <w:rsid w:val="0007064E"/>
    <w:rsid w:val="00070851"/>
    <w:rsid w:val="00070D52"/>
    <w:rsid w:val="00070EFD"/>
    <w:rsid w:val="00071104"/>
    <w:rsid w:val="00071240"/>
    <w:rsid w:val="000714DD"/>
    <w:rsid w:val="0007152D"/>
    <w:rsid w:val="00071572"/>
    <w:rsid w:val="00071B09"/>
    <w:rsid w:val="0007231D"/>
    <w:rsid w:val="0007232B"/>
    <w:rsid w:val="000725EB"/>
    <w:rsid w:val="000726C1"/>
    <w:rsid w:val="000728BF"/>
    <w:rsid w:val="00072C64"/>
    <w:rsid w:val="00072DBA"/>
    <w:rsid w:val="00073641"/>
    <w:rsid w:val="00073E2E"/>
    <w:rsid w:val="000744C7"/>
    <w:rsid w:val="000745A9"/>
    <w:rsid w:val="0007511E"/>
    <w:rsid w:val="0007536B"/>
    <w:rsid w:val="00075392"/>
    <w:rsid w:val="00075398"/>
    <w:rsid w:val="000754CD"/>
    <w:rsid w:val="00076012"/>
    <w:rsid w:val="00076427"/>
    <w:rsid w:val="00076503"/>
    <w:rsid w:val="00076640"/>
    <w:rsid w:val="000766C0"/>
    <w:rsid w:val="000768E8"/>
    <w:rsid w:val="00076A1F"/>
    <w:rsid w:val="00076D34"/>
    <w:rsid w:val="00076E4F"/>
    <w:rsid w:val="000771B7"/>
    <w:rsid w:val="0007726F"/>
    <w:rsid w:val="0007743B"/>
    <w:rsid w:val="00077527"/>
    <w:rsid w:val="00077A1A"/>
    <w:rsid w:val="00077B5C"/>
    <w:rsid w:val="00077CC5"/>
    <w:rsid w:val="00077DEB"/>
    <w:rsid w:val="0008014E"/>
    <w:rsid w:val="000802E7"/>
    <w:rsid w:val="00080310"/>
    <w:rsid w:val="0008033C"/>
    <w:rsid w:val="0008035C"/>
    <w:rsid w:val="000803DF"/>
    <w:rsid w:val="000808AB"/>
    <w:rsid w:val="00080C30"/>
    <w:rsid w:val="00080EAD"/>
    <w:rsid w:val="000813DF"/>
    <w:rsid w:val="0008151A"/>
    <w:rsid w:val="00081654"/>
    <w:rsid w:val="0008190B"/>
    <w:rsid w:val="00081A94"/>
    <w:rsid w:val="000822AD"/>
    <w:rsid w:val="00082695"/>
    <w:rsid w:val="00083146"/>
    <w:rsid w:val="00083183"/>
    <w:rsid w:val="000831D1"/>
    <w:rsid w:val="000835DD"/>
    <w:rsid w:val="0008366F"/>
    <w:rsid w:val="00083B65"/>
    <w:rsid w:val="00083EA0"/>
    <w:rsid w:val="0008410C"/>
    <w:rsid w:val="00084373"/>
    <w:rsid w:val="000845DB"/>
    <w:rsid w:val="00084640"/>
    <w:rsid w:val="000848AC"/>
    <w:rsid w:val="00084BC4"/>
    <w:rsid w:val="00084CB2"/>
    <w:rsid w:val="00084D42"/>
    <w:rsid w:val="00084E2D"/>
    <w:rsid w:val="00085352"/>
    <w:rsid w:val="0008553F"/>
    <w:rsid w:val="0008567B"/>
    <w:rsid w:val="000857CD"/>
    <w:rsid w:val="00085B12"/>
    <w:rsid w:val="00085BDB"/>
    <w:rsid w:val="00085F6D"/>
    <w:rsid w:val="000868A0"/>
    <w:rsid w:val="00086CCA"/>
    <w:rsid w:val="00086CE3"/>
    <w:rsid w:val="0008701C"/>
    <w:rsid w:val="000872C0"/>
    <w:rsid w:val="000873EF"/>
    <w:rsid w:val="0008792D"/>
    <w:rsid w:val="00087FDA"/>
    <w:rsid w:val="0009019E"/>
    <w:rsid w:val="000902A6"/>
    <w:rsid w:val="000903D8"/>
    <w:rsid w:val="00090920"/>
    <w:rsid w:val="00090C32"/>
    <w:rsid w:val="000911EC"/>
    <w:rsid w:val="00091684"/>
    <w:rsid w:val="00091792"/>
    <w:rsid w:val="0009179E"/>
    <w:rsid w:val="0009191C"/>
    <w:rsid w:val="00091A49"/>
    <w:rsid w:val="000921EC"/>
    <w:rsid w:val="00092496"/>
    <w:rsid w:val="000924C2"/>
    <w:rsid w:val="0009251F"/>
    <w:rsid w:val="00092E46"/>
    <w:rsid w:val="00093296"/>
    <w:rsid w:val="000937B8"/>
    <w:rsid w:val="000938F6"/>
    <w:rsid w:val="00093D9F"/>
    <w:rsid w:val="0009402A"/>
    <w:rsid w:val="00094450"/>
    <w:rsid w:val="000946F4"/>
    <w:rsid w:val="00094824"/>
    <w:rsid w:val="00094D1D"/>
    <w:rsid w:val="00095079"/>
    <w:rsid w:val="000953B4"/>
    <w:rsid w:val="000953F0"/>
    <w:rsid w:val="00095590"/>
    <w:rsid w:val="0009560F"/>
    <w:rsid w:val="000958CF"/>
    <w:rsid w:val="00095AA6"/>
    <w:rsid w:val="00095DE0"/>
    <w:rsid w:val="00096176"/>
    <w:rsid w:val="00096185"/>
    <w:rsid w:val="00096662"/>
    <w:rsid w:val="00096736"/>
    <w:rsid w:val="00096AC5"/>
    <w:rsid w:val="00096B4C"/>
    <w:rsid w:val="00096CC5"/>
    <w:rsid w:val="00096D70"/>
    <w:rsid w:val="00097609"/>
    <w:rsid w:val="00097850"/>
    <w:rsid w:val="000978F5"/>
    <w:rsid w:val="00097CFE"/>
    <w:rsid w:val="00097D7B"/>
    <w:rsid w:val="000A02E9"/>
    <w:rsid w:val="000A0448"/>
    <w:rsid w:val="000A04D3"/>
    <w:rsid w:val="000A0DF3"/>
    <w:rsid w:val="000A1062"/>
    <w:rsid w:val="000A1210"/>
    <w:rsid w:val="000A1280"/>
    <w:rsid w:val="000A12E3"/>
    <w:rsid w:val="000A18B4"/>
    <w:rsid w:val="000A1C46"/>
    <w:rsid w:val="000A2712"/>
    <w:rsid w:val="000A2A7F"/>
    <w:rsid w:val="000A2DF5"/>
    <w:rsid w:val="000A382C"/>
    <w:rsid w:val="000A385A"/>
    <w:rsid w:val="000A3A18"/>
    <w:rsid w:val="000A3B22"/>
    <w:rsid w:val="000A3DCE"/>
    <w:rsid w:val="000A3E79"/>
    <w:rsid w:val="000A42A0"/>
    <w:rsid w:val="000A43C5"/>
    <w:rsid w:val="000A441F"/>
    <w:rsid w:val="000A4637"/>
    <w:rsid w:val="000A4716"/>
    <w:rsid w:val="000A4EA2"/>
    <w:rsid w:val="000A5345"/>
    <w:rsid w:val="000A5E4A"/>
    <w:rsid w:val="000A60A5"/>
    <w:rsid w:val="000A6268"/>
    <w:rsid w:val="000A6363"/>
    <w:rsid w:val="000A653B"/>
    <w:rsid w:val="000A6602"/>
    <w:rsid w:val="000A67C7"/>
    <w:rsid w:val="000A6C4B"/>
    <w:rsid w:val="000A6D8B"/>
    <w:rsid w:val="000A6EB5"/>
    <w:rsid w:val="000A6EDD"/>
    <w:rsid w:val="000A74C9"/>
    <w:rsid w:val="000A756A"/>
    <w:rsid w:val="000A7592"/>
    <w:rsid w:val="000A7B00"/>
    <w:rsid w:val="000A7B7F"/>
    <w:rsid w:val="000A7DB4"/>
    <w:rsid w:val="000B006C"/>
    <w:rsid w:val="000B0082"/>
    <w:rsid w:val="000B01B2"/>
    <w:rsid w:val="000B02E1"/>
    <w:rsid w:val="000B0412"/>
    <w:rsid w:val="000B0507"/>
    <w:rsid w:val="000B0823"/>
    <w:rsid w:val="000B092E"/>
    <w:rsid w:val="000B0D04"/>
    <w:rsid w:val="000B0DA7"/>
    <w:rsid w:val="000B0DC5"/>
    <w:rsid w:val="000B0ED3"/>
    <w:rsid w:val="000B1024"/>
    <w:rsid w:val="000B1141"/>
    <w:rsid w:val="000B16D9"/>
    <w:rsid w:val="000B1B57"/>
    <w:rsid w:val="000B1D83"/>
    <w:rsid w:val="000B201F"/>
    <w:rsid w:val="000B2416"/>
    <w:rsid w:val="000B2692"/>
    <w:rsid w:val="000B2CB1"/>
    <w:rsid w:val="000B2CBE"/>
    <w:rsid w:val="000B2F6B"/>
    <w:rsid w:val="000B32A5"/>
    <w:rsid w:val="000B3329"/>
    <w:rsid w:val="000B3405"/>
    <w:rsid w:val="000B359B"/>
    <w:rsid w:val="000B3677"/>
    <w:rsid w:val="000B3B5C"/>
    <w:rsid w:val="000B3E16"/>
    <w:rsid w:val="000B3EAA"/>
    <w:rsid w:val="000B4116"/>
    <w:rsid w:val="000B4621"/>
    <w:rsid w:val="000B46D3"/>
    <w:rsid w:val="000B4733"/>
    <w:rsid w:val="000B4B16"/>
    <w:rsid w:val="000B5096"/>
    <w:rsid w:val="000B5242"/>
    <w:rsid w:val="000B554A"/>
    <w:rsid w:val="000B5718"/>
    <w:rsid w:val="000B573D"/>
    <w:rsid w:val="000B58AD"/>
    <w:rsid w:val="000B5DBF"/>
    <w:rsid w:val="000B5ED1"/>
    <w:rsid w:val="000B6225"/>
    <w:rsid w:val="000B6387"/>
    <w:rsid w:val="000B667D"/>
    <w:rsid w:val="000B66FE"/>
    <w:rsid w:val="000B6B3D"/>
    <w:rsid w:val="000B6CF2"/>
    <w:rsid w:val="000B7564"/>
    <w:rsid w:val="000B761D"/>
    <w:rsid w:val="000B7AC6"/>
    <w:rsid w:val="000B7E95"/>
    <w:rsid w:val="000B7F42"/>
    <w:rsid w:val="000B7F8D"/>
    <w:rsid w:val="000B7FE8"/>
    <w:rsid w:val="000C1167"/>
    <w:rsid w:val="000C14A0"/>
    <w:rsid w:val="000C1D81"/>
    <w:rsid w:val="000C247F"/>
    <w:rsid w:val="000C2F06"/>
    <w:rsid w:val="000C3052"/>
    <w:rsid w:val="000C30D7"/>
    <w:rsid w:val="000C3250"/>
    <w:rsid w:val="000C35A4"/>
    <w:rsid w:val="000C366E"/>
    <w:rsid w:val="000C36D4"/>
    <w:rsid w:val="000C397F"/>
    <w:rsid w:val="000C3D2E"/>
    <w:rsid w:val="000C451F"/>
    <w:rsid w:val="000C465B"/>
    <w:rsid w:val="000C46A2"/>
    <w:rsid w:val="000C4707"/>
    <w:rsid w:val="000C474E"/>
    <w:rsid w:val="000C49A7"/>
    <w:rsid w:val="000C4A53"/>
    <w:rsid w:val="000C526A"/>
    <w:rsid w:val="000C53DE"/>
    <w:rsid w:val="000C5776"/>
    <w:rsid w:val="000C57A1"/>
    <w:rsid w:val="000C5C9E"/>
    <w:rsid w:val="000C6181"/>
    <w:rsid w:val="000C619C"/>
    <w:rsid w:val="000C649B"/>
    <w:rsid w:val="000C64EE"/>
    <w:rsid w:val="000C6CC5"/>
    <w:rsid w:val="000C74C0"/>
    <w:rsid w:val="000C753E"/>
    <w:rsid w:val="000C7629"/>
    <w:rsid w:val="000C788C"/>
    <w:rsid w:val="000C7B7D"/>
    <w:rsid w:val="000D020A"/>
    <w:rsid w:val="000D0418"/>
    <w:rsid w:val="000D04A3"/>
    <w:rsid w:val="000D08F9"/>
    <w:rsid w:val="000D0AE3"/>
    <w:rsid w:val="000D0B97"/>
    <w:rsid w:val="000D0C44"/>
    <w:rsid w:val="000D0C7F"/>
    <w:rsid w:val="000D0D89"/>
    <w:rsid w:val="000D0DC2"/>
    <w:rsid w:val="000D0DDB"/>
    <w:rsid w:val="000D0F2A"/>
    <w:rsid w:val="000D0F60"/>
    <w:rsid w:val="000D0F6F"/>
    <w:rsid w:val="000D1555"/>
    <w:rsid w:val="000D1BEC"/>
    <w:rsid w:val="000D2550"/>
    <w:rsid w:val="000D29D7"/>
    <w:rsid w:val="000D2B3D"/>
    <w:rsid w:val="000D2C5B"/>
    <w:rsid w:val="000D2CEE"/>
    <w:rsid w:val="000D3017"/>
    <w:rsid w:val="000D3042"/>
    <w:rsid w:val="000D3417"/>
    <w:rsid w:val="000D3520"/>
    <w:rsid w:val="000D3679"/>
    <w:rsid w:val="000D3B86"/>
    <w:rsid w:val="000D3C0E"/>
    <w:rsid w:val="000D3D7C"/>
    <w:rsid w:val="000D4268"/>
    <w:rsid w:val="000D4386"/>
    <w:rsid w:val="000D469A"/>
    <w:rsid w:val="000D46E3"/>
    <w:rsid w:val="000D4AB2"/>
    <w:rsid w:val="000D4ADC"/>
    <w:rsid w:val="000D4BE2"/>
    <w:rsid w:val="000D4CF3"/>
    <w:rsid w:val="000D4E47"/>
    <w:rsid w:val="000D544D"/>
    <w:rsid w:val="000D5560"/>
    <w:rsid w:val="000D5CDD"/>
    <w:rsid w:val="000D5F8F"/>
    <w:rsid w:val="000D60A5"/>
    <w:rsid w:val="000D61CB"/>
    <w:rsid w:val="000D6264"/>
    <w:rsid w:val="000D67CE"/>
    <w:rsid w:val="000D6B70"/>
    <w:rsid w:val="000D6E0B"/>
    <w:rsid w:val="000D7062"/>
    <w:rsid w:val="000D7174"/>
    <w:rsid w:val="000D77CF"/>
    <w:rsid w:val="000D77D0"/>
    <w:rsid w:val="000D7EE9"/>
    <w:rsid w:val="000E0139"/>
    <w:rsid w:val="000E01A2"/>
    <w:rsid w:val="000E0201"/>
    <w:rsid w:val="000E02AA"/>
    <w:rsid w:val="000E0717"/>
    <w:rsid w:val="000E0941"/>
    <w:rsid w:val="000E0AE4"/>
    <w:rsid w:val="000E106C"/>
    <w:rsid w:val="000E15B6"/>
    <w:rsid w:val="000E180E"/>
    <w:rsid w:val="000E19CF"/>
    <w:rsid w:val="000E1B48"/>
    <w:rsid w:val="000E1C6A"/>
    <w:rsid w:val="000E1D4C"/>
    <w:rsid w:val="000E1F2C"/>
    <w:rsid w:val="000E1FA2"/>
    <w:rsid w:val="000E216C"/>
    <w:rsid w:val="000E2214"/>
    <w:rsid w:val="000E22A0"/>
    <w:rsid w:val="000E23FB"/>
    <w:rsid w:val="000E250C"/>
    <w:rsid w:val="000E27D3"/>
    <w:rsid w:val="000E2972"/>
    <w:rsid w:val="000E29DA"/>
    <w:rsid w:val="000E2DB3"/>
    <w:rsid w:val="000E2DC0"/>
    <w:rsid w:val="000E2EB3"/>
    <w:rsid w:val="000E2EDB"/>
    <w:rsid w:val="000E304E"/>
    <w:rsid w:val="000E3196"/>
    <w:rsid w:val="000E38A4"/>
    <w:rsid w:val="000E38EB"/>
    <w:rsid w:val="000E3A74"/>
    <w:rsid w:val="000E4239"/>
    <w:rsid w:val="000E424F"/>
    <w:rsid w:val="000E4B8E"/>
    <w:rsid w:val="000E4C99"/>
    <w:rsid w:val="000E548B"/>
    <w:rsid w:val="000E54C6"/>
    <w:rsid w:val="000E5AC1"/>
    <w:rsid w:val="000E5C64"/>
    <w:rsid w:val="000E5CC5"/>
    <w:rsid w:val="000E5E04"/>
    <w:rsid w:val="000E5F8F"/>
    <w:rsid w:val="000E639C"/>
    <w:rsid w:val="000E657F"/>
    <w:rsid w:val="000E65C2"/>
    <w:rsid w:val="000E6636"/>
    <w:rsid w:val="000E691E"/>
    <w:rsid w:val="000E6C85"/>
    <w:rsid w:val="000E7496"/>
    <w:rsid w:val="000E7C78"/>
    <w:rsid w:val="000F02B3"/>
    <w:rsid w:val="000F035D"/>
    <w:rsid w:val="000F0417"/>
    <w:rsid w:val="000F0A27"/>
    <w:rsid w:val="000F0E76"/>
    <w:rsid w:val="000F1092"/>
    <w:rsid w:val="000F1208"/>
    <w:rsid w:val="000F177D"/>
    <w:rsid w:val="000F17C2"/>
    <w:rsid w:val="000F1858"/>
    <w:rsid w:val="000F18BE"/>
    <w:rsid w:val="000F1BE1"/>
    <w:rsid w:val="000F1CF3"/>
    <w:rsid w:val="000F1EDF"/>
    <w:rsid w:val="000F2269"/>
    <w:rsid w:val="000F28AE"/>
    <w:rsid w:val="000F2B14"/>
    <w:rsid w:val="000F2B3E"/>
    <w:rsid w:val="000F2B55"/>
    <w:rsid w:val="000F2D78"/>
    <w:rsid w:val="000F2FCE"/>
    <w:rsid w:val="000F316D"/>
    <w:rsid w:val="000F31CD"/>
    <w:rsid w:val="000F3230"/>
    <w:rsid w:val="000F3359"/>
    <w:rsid w:val="000F3361"/>
    <w:rsid w:val="000F37F8"/>
    <w:rsid w:val="000F384B"/>
    <w:rsid w:val="000F3DA0"/>
    <w:rsid w:val="000F3F21"/>
    <w:rsid w:val="000F3F5E"/>
    <w:rsid w:val="000F4189"/>
    <w:rsid w:val="000F42D9"/>
    <w:rsid w:val="000F432B"/>
    <w:rsid w:val="000F44F5"/>
    <w:rsid w:val="000F4EB7"/>
    <w:rsid w:val="000F5016"/>
    <w:rsid w:val="000F55B3"/>
    <w:rsid w:val="000F5F40"/>
    <w:rsid w:val="000F61CE"/>
    <w:rsid w:val="000F696F"/>
    <w:rsid w:val="000F69D2"/>
    <w:rsid w:val="000F6E08"/>
    <w:rsid w:val="000F6F55"/>
    <w:rsid w:val="000F6F57"/>
    <w:rsid w:val="000F740D"/>
    <w:rsid w:val="000F7953"/>
    <w:rsid w:val="000F7957"/>
    <w:rsid w:val="000F7AE5"/>
    <w:rsid w:val="000F7B11"/>
    <w:rsid w:val="00100945"/>
    <w:rsid w:val="0010152A"/>
    <w:rsid w:val="00101594"/>
    <w:rsid w:val="001016F7"/>
    <w:rsid w:val="00101893"/>
    <w:rsid w:val="00101CBE"/>
    <w:rsid w:val="00101F45"/>
    <w:rsid w:val="00102074"/>
    <w:rsid w:val="0010223A"/>
    <w:rsid w:val="001024D7"/>
    <w:rsid w:val="0010263A"/>
    <w:rsid w:val="00102AAC"/>
    <w:rsid w:val="00102FDA"/>
    <w:rsid w:val="00103114"/>
    <w:rsid w:val="0010351A"/>
    <w:rsid w:val="001038EB"/>
    <w:rsid w:val="00103CAB"/>
    <w:rsid w:val="00104305"/>
    <w:rsid w:val="00104AF6"/>
    <w:rsid w:val="001052C4"/>
    <w:rsid w:val="0010561A"/>
    <w:rsid w:val="00105655"/>
    <w:rsid w:val="001056B0"/>
    <w:rsid w:val="001059E9"/>
    <w:rsid w:val="00105A2C"/>
    <w:rsid w:val="00105E26"/>
    <w:rsid w:val="00105E2E"/>
    <w:rsid w:val="00105EC6"/>
    <w:rsid w:val="001063FA"/>
    <w:rsid w:val="00106538"/>
    <w:rsid w:val="0010688F"/>
    <w:rsid w:val="00106AB5"/>
    <w:rsid w:val="00106D4B"/>
    <w:rsid w:val="00106F58"/>
    <w:rsid w:val="00107013"/>
    <w:rsid w:val="001070BE"/>
    <w:rsid w:val="00107825"/>
    <w:rsid w:val="00107923"/>
    <w:rsid w:val="00107993"/>
    <w:rsid w:val="00107DC0"/>
    <w:rsid w:val="00107E07"/>
    <w:rsid w:val="00110129"/>
    <w:rsid w:val="001103F8"/>
    <w:rsid w:val="00110723"/>
    <w:rsid w:val="00110849"/>
    <w:rsid w:val="0011085D"/>
    <w:rsid w:val="00110949"/>
    <w:rsid w:val="00110B20"/>
    <w:rsid w:val="00110D86"/>
    <w:rsid w:val="00110E84"/>
    <w:rsid w:val="00110EE5"/>
    <w:rsid w:val="001110E0"/>
    <w:rsid w:val="0011146E"/>
    <w:rsid w:val="00111737"/>
    <w:rsid w:val="0011174A"/>
    <w:rsid w:val="00111824"/>
    <w:rsid w:val="00111EAB"/>
    <w:rsid w:val="001127CC"/>
    <w:rsid w:val="00112D81"/>
    <w:rsid w:val="00112E54"/>
    <w:rsid w:val="00113157"/>
    <w:rsid w:val="0011315C"/>
    <w:rsid w:val="00113272"/>
    <w:rsid w:val="0011335F"/>
    <w:rsid w:val="0011345D"/>
    <w:rsid w:val="001136BA"/>
    <w:rsid w:val="00113A67"/>
    <w:rsid w:val="00113C73"/>
    <w:rsid w:val="001142A5"/>
    <w:rsid w:val="00114792"/>
    <w:rsid w:val="00114967"/>
    <w:rsid w:val="001154BC"/>
    <w:rsid w:val="001155B7"/>
    <w:rsid w:val="001157A1"/>
    <w:rsid w:val="0011595C"/>
    <w:rsid w:val="00115C9E"/>
    <w:rsid w:val="00116107"/>
    <w:rsid w:val="0011638F"/>
    <w:rsid w:val="00116536"/>
    <w:rsid w:val="00116778"/>
    <w:rsid w:val="001169E7"/>
    <w:rsid w:val="00116A15"/>
    <w:rsid w:val="00116C91"/>
    <w:rsid w:val="00116D89"/>
    <w:rsid w:val="00116F76"/>
    <w:rsid w:val="00116F96"/>
    <w:rsid w:val="00117011"/>
    <w:rsid w:val="00117871"/>
    <w:rsid w:val="0011799C"/>
    <w:rsid w:val="00117BD7"/>
    <w:rsid w:val="00117C42"/>
    <w:rsid w:val="001201EE"/>
    <w:rsid w:val="0012032B"/>
    <w:rsid w:val="00120477"/>
    <w:rsid w:val="00120543"/>
    <w:rsid w:val="00120547"/>
    <w:rsid w:val="001205DB"/>
    <w:rsid w:val="0012085A"/>
    <w:rsid w:val="001208BC"/>
    <w:rsid w:val="00120AB4"/>
    <w:rsid w:val="00120CA6"/>
    <w:rsid w:val="00120D8A"/>
    <w:rsid w:val="001212F8"/>
    <w:rsid w:val="00121624"/>
    <w:rsid w:val="00121937"/>
    <w:rsid w:val="00121994"/>
    <w:rsid w:val="00121B31"/>
    <w:rsid w:val="00121D2E"/>
    <w:rsid w:val="00122110"/>
    <w:rsid w:val="00122464"/>
    <w:rsid w:val="001224CF"/>
    <w:rsid w:val="00122612"/>
    <w:rsid w:val="00122ABE"/>
    <w:rsid w:val="00122B88"/>
    <w:rsid w:val="00122D54"/>
    <w:rsid w:val="00122E2E"/>
    <w:rsid w:val="00122F75"/>
    <w:rsid w:val="00123198"/>
    <w:rsid w:val="00123454"/>
    <w:rsid w:val="0012376B"/>
    <w:rsid w:val="00123E2B"/>
    <w:rsid w:val="00123EC8"/>
    <w:rsid w:val="00124220"/>
    <w:rsid w:val="00124827"/>
    <w:rsid w:val="0012484C"/>
    <w:rsid w:val="00124B7D"/>
    <w:rsid w:val="00124EA4"/>
    <w:rsid w:val="00125018"/>
    <w:rsid w:val="0012505F"/>
    <w:rsid w:val="00125727"/>
    <w:rsid w:val="00125DB7"/>
    <w:rsid w:val="00125FA7"/>
    <w:rsid w:val="0012601D"/>
    <w:rsid w:val="00126165"/>
    <w:rsid w:val="001262E2"/>
    <w:rsid w:val="00126464"/>
    <w:rsid w:val="0012648F"/>
    <w:rsid w:val="00126681"/>
    <w:rsid w:val="00126726"/>
    <w:rsid w:val="001267DD"/>
    <w:rsid w:val="00126D59"/>
    <w:rsid w:val="00127108"/>
    <w:rsid w:val="00127285"/>
    <w:rsid w:val="00127BED"/>
    <w:rsid w:val="00127CD1"/>
    <w:rsid w:val="00130446"/>
    <w:rsid w:val="00130729"/>
    <w:rsid w:val="00130A63"/>
    <w:rsid w:val="00130C0C"/>
    <w:rsid w:val="001313A9"/>
    <w:rsid w:val="0013172A"/>
    <w:rsid w:val="00131799"/>
    <w:rsid w:val="001317E7"/>
    <w:rsid w:val="001318C1"/>
    <w:rsid w:val="00132053"/>
    <w:rsid w:val="001320E4"/>
    <w:rsid w:val="001322D2"/>
    <w:rsid w:val="00132329"/>
    <w:rsid w:val="001324B9"/>
    <w:rsid w:val="001326AB"/>
    <w:rsid w:val="0013285B"/>
    <w:rsid w:val="00132886"/>
    <w:rsid w:val="00132E3F"/>
    <w:rsid w:val="0013309A"/>
    <w:rsid w:val="0013329B"/>
    <w:rsid w:val="00133389"/>
    <w:rsid w:val="00133849"/>
    <w:rsid w:val="001339FB"/>
    <w:rsid w:val="00133AA5"/>
    <w:rsid w:val="00133B86"/>
    <w:rsid w:val="00133C60"/>
    <w:rsid w:val="001340C3"/>
    <w:rsid w:val="0013443E"/>
    <w:rsid w:val="00134A98"/>
    <w:rsid w:val="0013524A"/>
    <w:rsid w:val="0013577A"/>
    <w:rsid w:val="00135A96"/>
    <w:rsid w:val="00135B2B"/>
    <w:rsid w:val="00135B5F"/>
    <w:rsid w:val="00135F91"/>
    <w:rsid w:val="00136009"/>
    <w:rsid w:val="001362BD"/>
    <w:rsid w:val="0013647F"/>
    <w:rsid w:val="0013662E"/>
    <w:rsid w:val="001368FD"/>
    <w:rsid w:val="00136B86"/>
    <w:rsid w:val="00136D0D"/>
    <w:rsid w:val="00136EB7"/>
    <w:rsid w:val="00136F7F"/>
    <w:rsid w:val="001371FF"/>
    <w:rsid w:val="00137245"/>
    <w:rsid w:val="001375E8"/>
    <w:rsid w:val="00137653"/>
    <w:rsid w:val="001377CD"/>
    <w:rsid w:val="00137BDF"/>
    <w:rsid w:val="00137C2D"/>
    <w:rsid w:val="00140588"/>
    <w:rsid w:val="001405B0"/>
    <w:rsid w:val="00140A53"/>
    <w:rsid w:val="00140B35"/>
    <w:rsid w:val="00140B3E"/>
    <w:rsid w:val="00140D1B"/>
    <w:rsid w:val="001410C0"/>
    <w:rsid w:val="001411DE"/>
    <w:rsid w:val="001415E1"/>
    <w:rsid w:val="00141ACE"/>
    <w:rsid w:val="00141BCF"/>
    <w:rsid w:val="00141D7F"/>
    <w:rsid w:val="00141DAF"/>
    <w:rsid w:val="00141E71"/>
    <w:rsid w:val="00141F4A"/>
    <w:rsid w:val="001420B6"/>
    <w:rsid w:val="0014231E"/>
    <w:rsid w:val="001424F8"/>
    <w:rsid w:val="001426C0"/>
    <w:rsid w:val="00142A60"/>
    <w:rsid w:val="00142A9B"/>
    <w:rsid w:val="00142C4E"/>
    <w:rsid w:val="00142CF3"/>
    <w:rsid w:val="00142E41"/>
    <w:rsid w:val="0014320B"/>
    <w:rsid w:val="00143212"/>
    <w:rsid w:val="0014335B"/>
    <w:rsid w:val="00143507"/>
    <w:rsid w:val="00143773"/>
    <w:rsid w:val="00144339"/>
    <w:rsid w:val="00144365"/>
    <w:rsid w:val="0014458C"/>
    <w:rsid w:val="00144934"/>
    <w:rsid w:val="00144ACF"/>
    <w:rsid w:val="00144B79"/>
    <w:rsid w:val="00144D09"/>
    <w:rsid w:val="00144EBA"/>
    <w:rsid w:val="00145614"/>
    <w:rsid w:val="00145B45"/>
    <w:rsid w:val="00146199"/>
    <w:rsid w:val="00146402"/>
    <w:rsid w:val="0014652A"/>
    <w:rsid w:val="001469F6"/>
    <w:rsid w:val="00146AE6"/>
    <w:rsid w:val="00146BC9"/>
    <w:rsid w:val="00146DF3"/>
    <w:rsid w:val="001471AF"/>
    <w:rsid w:val="001474EA"/>
    <w:rsid w:val="001475E9"/>
    <w:rsid w:val="001477A3"/>
    <w:rsid w:val="00147896"/>
    <w:rsid w:val="00147C5B"/>
    <w:rsid w:val="00147ECA"/>
    <w:rsid w:val="00150212"/>
    <w:rsid w:val="001508E8"/>
    <w:rsid w:val="00150BA6"/>
    <w:rsid w:val="00150FBF"/>
    <w:rsid w:val="00151271"/>
    <w:rsid w:val="001512A3"/>
    <w:rsid w:val="00151371"/>
    <w:rsid w:val="001513F5"/>
    <w:rsid w:val="00151474"/>
    <w:rsid w:val="0015193F"/>
    <w:rsid w:val="00151D4E"/>
    <w:rsid w:val="00152216"/>
    <w:rsid w:val="00152452"/>
    <w:rsid w:val="00152496"/>
    <w:rsid w:val="00152652"/>
    <w:rsid w:val="001529DD"/>
    <w:rsid w:val="00152AB5"/>
    <w:rsid w:val="00152AF0"/>
    <w:rsid w:val="00152C01"/>
    <w:rsid w:val="00152EBA"/>
    <w:rsid w:val="0015300D"/>
    <w:rsid w:val="001530D1"/>
    <w:rsid w:val="001532D7"/>
    <w:rsid w:val="00153657"/>
    <w:rsid w:val="001537F4"/>
    <w:rsid w:val="00153A36"/>
    <w:rsid w:val="00153E70"/>
    <w:rsid w:val="00154399"/>
    <w:rsid w:val="001546EB"/>
    <w:rsid w:val="00154756"/>
    <w:rsid w:val="001548BE"/>
    <w:rsid w:val="00154A06"/>
    <w:rsid w:val="00154A30"/>
    <w:rsid w:val="00154D4B"/>
    <w:rsid w:val="00154E55"/>
    <w:rsid w:val="001554E1"/>
    <w:rsid w:val="001556F3"/>
    <w:rsid w:val="0015570F"/>
    <w:rsid w:val="001557C9"/>
    <w:rsid w:val="0015582D"/>
    <w:rsid w:val="00155929"/>
    <w:rsid w:val="001559AA"/>
    <w:rsid w:val="001562B7"/>
    <w:rsid w:val="0015642E"/>
    <w:rsid w:val="001565BA"/>
    <w:rsid w:val="001573D4"/>
    <w:rsid w:val="001575AD"/>
    <w:rsid w:val="001606F0"/>
    <w:rsid w:val="001606FE"/>
    <w:rsid w:val="00160F0D"/>
    <w:rsid w:val="00161010"/>
    <w:rsid w:val="0016167C"/>
    <w:rsid w:val="00161AB1"/>
    <w:rsid w:val="00161BD8"/>
    <w:rsid w:val="00161CA1"/>
    <w:rsid w:val="0016205E"/>
    <w:rsid w:val="00162310"/>
    <w:rsid w:val="00162367"/>
    <w:rsid w:val="001624D3"/>
    <w:rsid w:val="00162674"/>
    <w:rsid w:val="0016274D"/>
    <w:rsid w:val="00162CCD"/>
    <w:rsid w:val="00162DF3"/>
    <w:rsid w:val="0016322C"/>
    <w:rsid w:val="0016337C"/>
    <w:rsid w:val="0016350F"/>
    <w:rsid w:val="00163563"/>
    <w:rsid w:val="001638F0"/>
    <w:rsid w:val="00163ED8"/>
    <w:rsid w:val="00164473"/>
    <w:rsid w:val="00164530"/>
    <w:rsid w:val="001646FF"/>
    <w:rsid w:val="001648B0"/>
    <w:rsid w:val="00165152"/>
    <w:rsid w:val="001651EF"/>
    <w:rsid w:val="00165A81"/>
    <w:rsid w:val="00165BCA"/>
    <w:rsid w:val="00165C1D"/>
    <w:rsid w:val="00165CE0"/>
    <w:rsid w:val="001662AF"/>
    <w:rsid w:val="00166396"/>
    <w:rsid w:val="00166844"/>
    <w:rsid w:val="0016688C"/>
    <w:rsid w:val="00166B2F"/>
    <w:rsid w:val="00166C3F"/>
    <w:rsid w:val="001671FA"/>
    <w:rsid w:val="001672C6"/>
    <w:rsid w:val="001673C6"/>
    <w:rsid w:val="0016749B"/>
    <w:rsid w:val="001675E8"/>
    <w:rsid w:val="0016777D"/>
    <w:rsid w:val="00167820"/>
    <w:rsid w:val="00167A5A"/>
    <w:rsid w:val="00167D56"/>
    <w:rsid w:val="00167F12"/>
    <w:rsid w:val="00167F76"/>
    <w:rsid w:val="00167FF3"/>
    <w:rsid w:val="00170092"/>
    <w:rsid w:val="0017016B"/>
    <w:rsid w:val="001703EE"/>
    <w:rsid w:val="001706B2"/>
    <w:rsid w:val="00170DDA"/>
    <w:rsid w:val="00171260"/>
    <w:rsid w:val="00171867"/>
    <w:rsid w:val="00171AF2"/>
    <w:rsid w:val="00171EA9"/>
    <w:rsid w:val="00172050"/>
    <w:rsid w:val="001724AF"/>
    <w:rsid w:val="0017266C"/>
    <w:rsid w:val="001727D9"/>
    <w:rsid w:val="001729F3"/>
    <w:rsid w:val="00172A25"/>
    <w:rsid w:val="00172AC7"/>
    <w:rsid w:val="00172D9B"/>
    <w:rsid w:val="00172FA4"/>
    <w:rsid w:val="00173069"/>
    <w:rsid w:val="001732BD"/>
    <w:rsid w:val="00173A20"/>
    <w:rsid w:val="00173C19"/>
    <w:rsid w:val="00173D59"/>
    <w:rsid w:val="00173D8B"/>
    <w:rsid w:val="00173E17"/>
    <w:rsid w:val="00174137"/>
    <w:rsid w:val="0017488E"/>
    <w:rsid w:val="00174B48"/>
    <w:rsid w:val="00174DA6"/>
    <w:rsid w:val="00174E0D"/>
    <w:rsid w:val="00174FB8"/>
    <w:rsid w:val="00175061"/>
    <w:rsid w:val="0017509D"/>
    <w:rsid w:val="001750C0"/>
    <w:rsid w:val="001750E4"/>
    <w:rsid w:val="00175107"/>
    <w:rsid w:val="00175154"/>
    <w:rsid w:val="00175265"/>
    <w:rsid w:val="001757AF"/>
    <w:rsid w:val="0017595C"/>
    <w:rsid w:val="00175DAC"/>
    <w:rsid w:val="00175DB0"/>
    <w:rsid w:val="00175F57"/>
    <w:rsid w:val="00175FFD"/>
    <w:rsid w:val="00176002"/>
    <w:rsid w:val="001761ED"/>
    <w:rsid w:val="00176405"/>
    <w:rsid w:val="0017659D"/>
    <w:rsid w:val="001765B9"/>
    <w:rsid w:val="0017667D"/>
    <w:rsid w:val="00176C18"/>
    <w:rsid w:val="00176F80"/>
    <w:rsid w:val="00177363"/>
    <w:rsid w:val="00177388"/>
    <w:rsid w:val="00177A17"/>
    <w:rsid w:val="00177EE9"/>
    <w:rsid w:val="0018046C"/>
    <w:rsid w:val="00180559"/>
    <w:rsid w:val="0018064D"/>
    <w:rsid w:val="00181147"/>
    <w:rsid w:val="00181481"/>
    <w:rsid w:val="001815A1"/>
    <w:rsid w:val="00181D7D"/>
    <w:rsid w:val="00181F04"/>
    <w:rsid w:val="00181F6B"/>
    <w:rsid w:val="0018208A"/>
    <w:rsid w:val="00182189"/>
    <w:rsid w:val="0018232C"/>
    <w:rsid w:val="001824CB"/>
    <w:rsid w:val="0018284A"/>
    <w:rsid w:val="00182937"/>
    <w:rsid w:val="0018299E"/>
    <w:rsid w:val="00182BC5"/>
    <w:rsid w:val="00182BEE"/>
    <w:rsid w:val="001830FA"/>
    <w:rsid w:val="001831D9"/>
    <w:rsid w:val="0018357A"/>
    <w:rsid w:val="0018372F"/>
    <w:rsid w:val="0018396C"/>
    <w:rsid w:val="00183B9E"/>
    <w:rsid w:val="00183D25"/>
    <w:rsid w:val="00183D44"/>
    <w:rsid w:val="00183F7B"/>
    <w:rsid w:val="00183FB7"/>
    <w:rsid w:val="00184052"/>
    <w:rsid w:val="00184C63"/>
    <w:rsid w:val="0018525F"/>
    <w:rsid w:val="00185357"/>
    <w:rsid w:val="00185462"/>
    <w:rsid w:val="001858F7"/>
    <w:rsid w:val="00185ACF"/>
    <w:rsid w:val="00185AE5"/>
    <w:rsid w:val="00185BC1"/>
    <w:rsid w:val="00185BFD"/>
    <w:rsid w:val="00185D8F"/>
    <w:rsid w:val="00185FAC"/>
    <w:rsid w:val="001861C9"/>
    <w:rsid w:val="001862DC"/>
    <w:rsid w:val="0018694A"/>
    <w:rsid w:val="00186BE9"/>
    <w:rsid w:val="00186C22"/>
    <w:rsid w:val="00186CB6"/>
    <w:rsid w:val="00186E0F"/>
    <w:rsid w:val="001871E7"/>
    <w:rsid w:val="00187201"/>
    <w:rsid w:val="00187322"/>
    <w:rsid w:val="0018733A"/>
    <w:rsid w:val="001879BA"/>
    <w:rsid w:val="00187D1A"/>
    <w:rsid w:val="001903E1"/>
    <w:rsid w:val="00190520"/>
    <w:rsid w:val="00190533"/>
    <w:rsid w:val="0019080A"/>
    <w:rsid w:val="001908CA"/>
    <w:rsid w:val="001908FC"/>
    <w:rsid w:val="00190FB8"/>
    <w:rsid w:val="0019164C"/>
    <w:rsid w:val="00191BBE"/>
    <w:rsid w:val="00191BCF"/>
    <w:rsid w:val="00191FF9"/>
    <w:rsid w:val="0019237A"/>
    <w:rsid w:val="001924C0"/>
    <w:rsid w:val="0019279A"/>
    <w:rsid w:val="00192973"/>
    <w:rsid w:val="00193114"/>
    <w:rsid w:val="00193F2A"/>
    <w:rsid w:val="00194550"/>
    <w:rsid w:val="001947CA"/>
    <w:rsid w:val="0019488F"/>
    <w:rsid w:val="00194B8F"/>
    <w:rsid w:val="00194CFF"/>
    <w:rsid w:val="00194F66"/>
    <w:rsid w:val="00195193"/>
    <w:rsid w:val="001956A7"/>
    <w:rsid w:val="00195DBC"/>
    <w:rsid w:val="00195E26"/>
    <w:rsid w:val="00195E9F"/>
    <w:rsid w:val="00195EB5"/>
    <w:rsid w:val="001960DB"/>
    <w:rsid w:val="001965C5"/>
    <w:rsid w:val="00196736"/>
    <w:rsid w:val="00196878"/>
    <w:rsid w:val="00196926"/>
    <w:rsid w:val="00197548"/>
    <w:rsid w:val="00197D3B"/>
    <w:rsid w:val="00197F52"/>
    <w:rsid w:val="001A0039"/>
    <w:rsid w:val="001A027F"/>
    <w:rsid w:val="001A02A6"/>
    <w:rsid w:val="001A03F1"/>
    <w:rsid w:val="001A0470"/>
    <w:rsid w:val="001A0621"/>
    <w:rsid w:val="001A072F"/>
    <w:rsid w:val="001A07BB"/>
    <w:rsid w:val="001A09D3"/>
    <w:rsid w:val="001A0E60"/>
    <w:rsid w:val="001A11BC"/>
    <w:rsid w:val="001A124E"/>
    <w:rsid w:val="001A170C"/>
    <w:rsid w:val="001A19E5"/>
    <w:rsid w:val="001A1F70"/>
    <w:rsid w:val="001A21D6"/>
    <w:rsid w:val="001A23B5"/>
    <w:rsid w:val="001A27AB"/>
    <w:rsid w:val="001A2A6E"/>
    <w:rsid w:val="001A3111"/>
    <w:rsid w:val="001A322C"/>
    <w:rsid w:val="001A36A7"/>
    <w:rsid w:val="001A3A91"/>
    <w:rsid w:val="001A3BC6"/>
    <w:rsid w:val="001A4397"/>
    <w:rsid w:val="001A473F"/>
    <w:rsid w:val="001A49C7"/>
    <w:rsid w:val="001A4B67"/>
    <w:rsid w:val="001A5315"/>
    <w:rsid w:val="001A537A"/>
    <w:rsid w:val="001A53D0"/>
    <w:rsid w:val="001A5900"/>
    <w:rsid w:val="001A59AD"/>
    <w:rsid w:val="001A5A3A"/>
    <w:rsid w:val="001A5C55"/>
    <w:rsid w:val="001A610A"/>
    <w:rsid w:val="001A67AE"/>
    <w:rsid w:val="001A695C"/>
    <w:rsid w:val="001A6F10"/>
    <w:rsid w:val="001A7151"/>
    <w:rsid w:val="001A754C"/>
    <w:rsid w:val="001A755F"/>
    <w:rsid w:val="001A75B0"/>
    <w:rsid w:val="001A7788"/>
    <w:rsid w:val="001A78EF"/>
    <w:rsid w:val="001A7984"/>
    <w:rsid w:val="001A7C53"/>
    <w:rsid w:val="001B0136"/>
    <w:rsid w:val="001B05B0"/>
    <w:rsid w:val="001B0710"/>
    <w:rsid w:val="001B09EA"/>
    <w:rsid w:val="001B0D92"/>
    <w:rsid w:val="001B1102"/>
    <w:rsid w:val="001B120F"/>
    <w:rsid w:val="001B13DF"/>
    <w:rsid w:val="001B14A2"/>
    <w:rsid w:val="001B1DBD"/>
    <w:rsid w:val="001B1F61"/>
    <w:rsid w:val="001B2032"/>
    <w:rsid w:val="001B2167"/>
    <w:rsid w:val="001B23AE"/>
    <w:rsid w:val="001B249C"/>
    <w:rsid w:val="001B2575"/>
    <w:rsid w:val="001B26A5"/>
    <w:rsid w:val="001B29F9"/>
    <w:rsid w:val="001B2E80"/>
    <w:rsid w:val="001B3407"/>
    <w:rsid w:val="001B3709"/>
    <w:rsid w:val="001B3A14"/>
    <w:rsid w:val="001B3FB3"/>
    <w:rsid w:val="001B49E2"/>
    <w:rsid w:val="001B4BE0"/>
    <w:rsid w:val="001B4D58"/>
    <w:rsid w:val="001B4EB6"/>
    <w:rsid w:val="001B4F05"/>
    <w:rsid w:val="001B50AE"/>
    <w:rsid w:val="001B5628"/>
    <w:rsid w:val="001B5CB7"/>
    <w:rsid w:val="001B5CCF"/>
    <w:rsid w:val="001B5CE8"/>
    <w:rsid w:val="001B5DBA"/>
    <w:rsid w:val="001B641A"/>
    <w:rsid w:val="001B71F0"/>
    <w:rsid w:val="001B7C4A"/>
    <w:rsid w:val="001B7DC5"/>
    <w:rsid w:val="001C03E7"/>
    <w:rsid w:val="001C0674"/>
    <w:rsid w:val="001C06FF"/>
    <w:rsid w:val="001C0BF8"/>
    <w:rsid w:val="001C0D05"/>
    <w:rsid w:val="001C1004"/>
    <w:rsid w:val="001C1194"/>
    <w:rsid w:val="001C1249"/>
    <w:rsid w:val="001C13CD"/>
    <w:rsid w:val="001C1B73"/>
    <w:rsid w:val="001C1E0C"/>
    <w:rsid w:val="001C2180"/>
    <w:rsid w:val="001C2489"/>
    <w:rsid w:val="001C2A19"/>
    <w:rsid w:val="001C2ED1"/>
    <w:rsid w:val="001C2FDA"/>
    <w:rsid w:val="001C307F"/>
    <w:rsid w:val="001C3171"/>
    <w:rsid w:val="001C35CA"/>
    <w:rsid w:val="001C3A4A"/>
    <w:rsid w:val="001C3A6B"/>
    <w:rsid w:val="001C3F3F"/>
    <w:rsid w:val="001C428A"/>
    <w:rsid w:val="001C492D"/>
    <w:rsid w:val="001C49F0"/>
    <w:rsid w:val="001C4A86"/>
    <w:rsid w:val="001C4FC0"/>
    <w:rsid w:val="001C51BF"/>
    <w:rsid w:val="001C526E"/>
    <w:rsid w:val="001C56CD"/>
    <w:rsid w:val="001C56EE"/>
    <w:rsid w:val="001C5950"/>
    <w:rsid w:val="001C5989"/>
    <w:rsid w:val="001C5A81"/>
    <w:rsid w:val="001C5E70"/>
    <w:rsid w:val="001C5EBD"/>
    <w:rsid w:val="001C60FB"/>
    <w:rsid w:val="001C6320"/>
    <w:rsid w:val="001C676D"/>
    <w:rsid w:val="001C6E96"/>
    <w:rsid w:val="001C72C9"/>
    <w:rsid w:val="001C740C"/>
    <w:rsid w:val="001C749A"/>
    <w:rsid w:val="001C7602"/>
    <w:rsid w:val="001C774F"/>
    <w:rsid w:val="001C77E5"/>
    <w:rsid w:val="001C78A4"/>
    <w:rsid w:val="001C7B94"/>
    <w:rsid w:val="001C7CB7"/>
    <w:rsid w:val="001C7DBD"/>
    <w:rsid w:val="001C7F14"/>
    <w:rsid w:val="001C7FB7"/>
    <w:rsid w:val="001D013E"/>
    <w:rsid w:val="001D0979"/>
    <w:rsid w:val="001D0E12"/>
    <w:rsid w:val="001D0EE0"/>
    <w:rsid w:val="001D0F5C"/>
    <w:rsid w:val="001D116F"/>
    <w:rsid w:val="001D17EC"/>
    <w:rsid w:val="001D19BF"/>
    <w:rsid w:val="001D1F6D"/>
    <w:rsid w:val="001D2109"/>
    <w:rsid w:val="001D21CD"/>
    <w:rsid w:val="001D2ABC"/>
    <w:rsid w:val="001D35CF"/>
    <w:rsid w:val="001D37E9"/>
    <w:rsid w:val="001D38E5"/>
    <w:rsid w:val="001D3C68"/>
    <w:rsid w:val="001D4156"/>
    <w:rsid w:val="001D42F3"/>
    <w:rsid w:val="001D47C3"/>
    <w:rsid w:val="001D4AC8"/>
    <w:rsid w:val="001D5109"/>
    <w:rsid w:val="001D57AD"/>
    <w:rsid w:val="001D5A27"/>
    <w:rsid w:val="001D5A50"/>
    <w:rsid w:val="001D600B"/>
    <w:rsid w:val="001D6374"/>
    <w:rsid w:val="001D677F"/>
    <w:rsid w:val="001D7396"/>
    <w:rsid w:val="001D78C5"/>
    <w:rsid w:val="001D7A29"/>
    <w:rsid w:val="001E01A5"/>
    <w:rsid w:val="001E0639"/>
    <w:rsid w:val="001E0690"/>
    <w:rsid w:val="001E0B99"/>
    <w:rsid w:val="001E0D5A"/>
    <w:rsid w:val="001E0DDB"/>
    <w:rsid w:val="001E10B4"/>
    <w:rsid w:val="001E14C6"/>
    <w:rsid w:val="001E1623"/>
    <w:rsid w:val="001E1626"/>
    <w:rsid w:val="001E1A02"/>
    <w:rsid w:val="001E1D87"/>
    <w:rsid w:val="001E1DE5"/>
    <w:rsid w:val="001E1F14"/>
    <w:rsid w:val="001E2485"/>
    <w:rsid w:val="001E260F"/>
    <w:rsid w:val="001E297F"/>
    <w:rsid w:val="001E2A52"/>
    <w:rsid w:val="001E2C78"/>
    <w:rsid w:val="001E2CA1"/>
    <w:rsid w:val="001E2DD0"/>
    <w:rsid w:val="001E35EE"/>
    <w:rsid w:val="001E379B"/>
    <w:rsid w:val="001E3B27"/>
    <w:rsid w:val="001E3C0E"/>
    <w:rsid w:val="001E4635"/>
    <w:rsid w:val="001E495F"/>
    <w:rsid w:val="001E499E"/>
    <w:rsid w:val="001E4B81"/>
    <w:rsid w:val="001E4E5C"/>
    <w:rsid w:val="001E571C"/>
    <w:rsid w:val="001E587E"/>
    <w:rsid w:val="001E5B41"/>
    <w:rsid w:val="001E5F46"/>
    <w:rsid w:val="001E6271"/>
    <w:rsid w:val="001E6315"/>
    <w:rsid w:val="001E6E7F"/>
    <w:rsid w:val="001E6EAF"/>
    <w:rsid w:val="001E6F1D"/>
    <w:rsid w:val="001E72EA"/>
    <w:rsid w:val="001E738D"/>
    <w:rsid w:val="001E742E"/>
    <w:rsid w:val="001E758B"/>
    <w:rsid w:val="001E784E"/>
    <w:rsid w:val="001E7E3D"/>
    <w:rsid w:val="001F00F6"/>
    <w:rsid w:val="001F0181"/>
    <w:rsid w:val="001F058E"/>
    <w:rsid w:val="001F0BA7"/>
    <w:rsid w:val="001F0C51"/>
    <w:rsid w:val="001F0F8C"/>
    <w:rsid w:val="001F0FF1"/>
    <w:rsid w:val="001F14ED"/>
    <w:rsid w:val="001F1614"/>
    <w:rsid w:val="001F173B"/>
    <w:rsid w:val="001F1B00"/>
    <w:rsid w:val="001F2079"/>
    <w:rsid w:val="001F20A8"/>
    <w:rsid w:val="001F2B85"/>
    <w:rsid w:val="001F33AC"/>
    <w:rsid w:val="001F35FE"/>
    <w:rsid w:val="001F37CC"/>
    <w:rsid w:val="001F3A38"/>
    <w:rsid w:val="001F3C23"/>
    <w:rsid w:val="001F3C85"/>
    <w:rsid w:val="001F3CC5"/>
    <w:rsid w:val="001F3E3F"/>
    <w:rsid w:val="001F3F7F"/>
    <w:rsid w:val="001F4665"/>
    <w:rsid w:val="001F491D"/>
    <w:rsid w:val="001F49B6"/>
    <w:rsid w:val="001F4A10"/>
    <w:rsid w:val="001F4B9D"/>
    <w:rsid w:val="001F4C04"/>
    <w:rsid w:val="001F4C65"/>
    <w:rsid w:val="001F4DA1"/>
    <w:rsid w:val="001F4DCA"/>
    <w:rsid w:val="001F53EB"/>
    <w:rsid w:val="001F5590"/>
    <w:rsid w:val="001F55F9"/>
    <w:rsid w:val="001F57CF"/>
    <w:rsid w:val="001F5B03"/>
    <w:rsid w:val="001F5B57"/>
    <w:rsid w:val="001F5BC2"/>
    <w:rsid w:val="001F5BEE"/>
    <w:rsid w:val="001F5ECE"/>
    <w:rsid w:val="001F6362"/>
    <w:rsid w:val="001F6670"/>
    <w:rsid w:val="001F67D6"/>
    <w:rsid w:val="001F69F6"/>
    <w:rsid w:val="001F76DF"/>
    <w:rsid w:val="001F785F"/>
    <w:rsid w:val="001F78D0"/>
    <w:rsid w:val="001F7B3F"/>
    <w:rsid w:val="001F7DD0"/>
    <w:rsid w:val="0020033C"/>
    <w:rsid w:val="00200891"/>
    <w:rsid w:val="00200912"/>
    <w:rsid w:val="00200B32"/>
    <w:rsid w:val="00200DED"/>
    <w:rsid w:val="0020108B"/>
    <w:rsid w:val="00201259"/>
    <w:rsid w:val="00201369"/>
    <w:rsid w:val="0020152B"/>
    <w:rsid w:val="00201637"/>
    <w:rsid w:val="00201653"/>
    <w:rsid w:val="002016A9"/>
    <w:rsid w:val="002017B0"/>
    <w:rsid w:val="002019B0"/>
    <w:rsid w:val="00201CCB"/>
    <w:rsid w:val="0020200A"/>
    <w:rsid w:val="0020204D"/>
    <w:rsid w:val="002020DF"/>
    <w:rsid w:val="002022F1"/>
    <w:rsid w:val="00202369"/>
    <w:rsid w:val="00202501"/>
    <w:rsid w:val="002026A6"/>
    <w:rsid w:val="00202D8D"/>
    <w:rsid w:val="00202EE2"/>
    <w:rsid w:val="0020319D"/>
    <w:rsid w:val="0020357E"/>
    <w:rsid w:val="00203764"/>
    <w:rsid w:val="002040B3"/>
    <w:rsid w:val="00204DD0"/>
    <w:rsid w:val="00204E09"/>
    <w:rsid w:val="002052F0"/>
    <w:rsid w:val="00205900"/>
    <w:rsid w:val="00205D84"/>
    <w:rsid w:val="00205E4A"/>
    <w:rsid w:val="00205E87"/>
    <w:rsid w:val="002060FB"/>
    <w:rsid w:val="00206136"/>
    <w:rsid w:val="002065D5"/>
    <w:rsid w:val="00206774"/>
    <w:rsid w:val="002069A0"/>
    <w:rsid w:val="00206D60"/>
    <w:rsid w:val="0020701E"/>
    <w:rsid w:val="002075E0"/>
    <w:rsid w:val="00207C24"/>
    <w:rsid w:val="00207D4B"/>
    <w:rsid w:val="00207E03"/>
    <w:rsid w:val="0021010C"/>
    <w:rsid w:val="002106E1"/>
    <w:rsid w:val="00210981"/>
    <w:rsid w:val="00210AC1"/>
    <w:rsid w:val="00210C46"/>
    <w:rsid w:val="00210FBC"/>
    <w:rsid w:val="00211289"/>
    <w:rsid w:val="002117BA"/>
    <w:rsid w:val="002118C8"/>
    <w:rsid w:val="0021191E"/>
    <w:rsid w:val="00211D9B"/>
    <w:rsid w:val="00211E30"/>
    <w:rsid w:val="00212203"/>
    <w:rsid w:val="00212590"/>
    <w:rsid w:val="0021279F"/>
    <w:rsid w:val="00212800"/>
    <w:rsid w:val="002135B0"/>
    <w:rsid w:val="00213BE8"/>
    <w:rsid w:val="00213C57"/>
    <w:rsid w:val="00213E78"/>
    <w:rsid w:val="00213F8F"/>
    <w:rsid w:val="00213F9B"/>
    <w:rsid w:val="002140F8"/>
    <w:rsid w:val="00214662"/>
    <w:rsid w:val="00214738"/>
    <w:rsid w:val="002148B0"/>
    <w:rsid w:val="002149C1"/>
    <w:rsid w:val="00214A02"/>
    <w:rsid w:val="00214A24"/>
    <w:rsid w:val="00214C38"/>
    <w:rsid w:val="00214DE8"/>
    <w:rsid w:val="00214FCB"/>
    <w:rsid w:val="00215123"/>
    <w:rsid w:val="0021546A"/>
    <w:rsid w:val="002156B0"/>
    <w:rsid w:val="00215960"/>
    <w:rsid w:val="00216273"/>
    <w:rsid w:val="00216722"/>
    <w:rsid w:val="0021687B"/>
    <w:rsid w:val="00216A47"/>
    <w:rsid w:val="00217352"/>
    <w:rsid w:val="00217B29"/>
    <w:rsid w:val="00217CAF"/>
    <w:rsid w:val="00217CC0"/>
    <w:rsid w:val="00217E22"/>
    <w:rsid w:val="00217F8D"/>
    <w:rsid w:val="00217FDE"/>
    <w:rsid w:val="002204C1"/>
    <w:rsid w:val="00220504"/>
    <w:rsid w:val="00220538"/>
    <w:rsid w:val="00220618"/>
    <w:rsid w:val="00220D4D"/>
    <w:rsid w:val="00220F59"/>
    <w:rsid w:val="002213F5"/>
    <w:rsid w:val="002216FE"/>
    <w:rsid w:val="002223D7"/>
    <w:rsid w:val="00222587"/>
    <w:rsid w:val="00222750"/>
    <w:rsid w:val="002229CB"/>
    <w:rsid w:val="00222ACD"/>
    <w:rsid w:val="00222B31"/>
    <w:rsid w:val="00222C0C"/>
    <w:rsid w:val="00222C91"/>
    <w:rsid w:val="002233DB"/>
    <w:rsid w:val="002236CE"/>
    <w:rsid w:val="00223C39"/>
    <w:rsid w:val="00224247"/>
    <w:rsid w:val="002242EF"/>
    <w:rsid w:val="00224DE0"/>
    <w:rsid w:val="00224EAA"/>
    <w:rsid w:val="00225B12"/>
    <w:rsid w:val="00225E26"/>
    <w:rsid w:val="00225FC4"/>
    <w:rsid w:val="00226048"/>
    <w:rsid w:val="002263F1"/>
    <w:rsid w:val="00226472"/>
    <w:rsid w:val="002264FB"/>
    <w:rsid w:val="0022672C"/>
    <w:rsid w:val="00226777"/>
    <w:rsid w:val="00226950"/>
    <w:rsid w:val="00226CF1"/>
    <w:rsid w:val="0022712E"/>
    <w:rsid w:val="00227309"/>
    <w:rsid w:val="002275D8"/>
    <w:rsid w:val="002279F2"/>
    <w:rsid w:val="00227A56"/>
    <w:rsid w:val="00227E59"/>
    <w:rsid w:val="00230424"/>
    <w:rsid w:val="002304B4"/>
    <w:rsid w:val="002308C0"/>
    <w:rsid w:val="00230A62"/>
    <w:rsid w:val="00230DBA"/>
    <w:rsid w:val="00231400"/>
    <w:rsid w:val="00231C3E"/>
    <w:rsid w:val="00232135"/>
    <w:rsid w:val="002325C8"/>
    <w:rsid w:val="0023275E"/>
    <w:rsid w:val="00232946"/>
    <w:rsid w:val="00232955"/>
    <w:rsid w:val="00232A7C"/>
    <w:rsid w:val="00232CF9"/>
    <w:rsid w:val="00232DAB"/>
    <w:rsid w:val="00232FF4"/>
    <w:rsid w:val="002333E0"/>
    <w:rsid w:val="00233506"/>
    <w:rsid w:val="002339AF"/>
    <w:rsid w:val="00233C4C"/>
    <w:rsid w:val="00233CEC"/>
    <w:rsid w:val="00233F03"/>
    <w:rsid w:val="00234798"/>
    <w:rsid w:val="00234ABC"/>
    <w:rsid w:val="00234BE6"/>
    <w:rsid w:val="00234C19"/>
    <w:rsid w:val="0023523A"/>
    <w:rsid w:val="0023561B"/>
    <w:rsid w:val="00235E29"/>
    <w:rsid w:val="00235FE5"/>
    <w:rsid w:val="00236222"/>
    <w:rsid w:val="00236643"/>
    <w:rsid w:val="0023665D"/>
    <w:rsid w:val="0023665E"/>
    <w:rsid w:val="00236F97"/>
    <w:rsid w:val="00237245"/>
    <w:rsid w:val="00237397"/>
    <w:rsid w:val="00237534"/>
    <w:rsid w:val="002375DD"/>
    <w:rsid w:val="0023763C"/>
    <w:rsid w:val="00237659"/>
    <w:rsid w:val="0024008E"/>
    <w:rsid w:val="00240175"/>
    <w:rsid w:val="002401F5"/>
    <w:rsid w:val="002405C3"/>
    <w:rsid w:val="002407EB"/>
    <w:rsid w:val="0024081F"/>
    <w:rsid w:val="00240FD3"/>
    <w:rsid w:val="0024121A"/>
    <w:rsid w:val="002419A6"/>
    <w:rsid w:val="00241A7C"/>
    <w:rsid w:val="00241D9B"/>
    <w:rsid w:val="00241F03"/>
    <w:rsid w:val="002423F2"/>
    <w:rsid w:val="0024285B"/>
    <w:rsid w:val="00242A75"/>
    <w:rsid w:val="00242C3E"/>
    <w:rsid w:val="00242DF0"/>
    <w:rsid w:val="00243176"/>
    <w:rsid w:val="00243600"/>
    <w:rsid w:val="00243B2D"/>
    <w:rsid w:val="00243D12"/>
    <w:rsid w:val="00243D2C"/>
    <w:rsid w:val="00243FD5"/>
    <w:rsid w:val="00244160"/>
    <w:rsid w:val="00244626"/>
    <w:rsid w:val="00244669"/>
    <w:rsid w:val="0024490D"/>
    <w:rsid w:val="002449D8"/>
    <w:rsid w:val="00244ABF"/>
    <w:rsid w:val="00245278"/>
    <w:rsid w:val="002456FC"/>
    <w:rsid w:val="002458FE"/>
    <w:rsid w:val="0024593F"/>
    <w:rsid w:val="00245D97"/>
    <w:rsid w:val="00245E35"/>
    <w:rsid w:val="002460BA"/>
    <w:rsid w:val="0024627C"/>
    <w:rsid w:val="0024674F"/>
    <w:rsid w:val="00246881"/>
    <w:rsid w:val="00246DCC"/>
    <w:rsid w:val="00247177"/>
    <w:rsid w:val="00247240"/>
    <w:rsid w:val="002472A5"/>
    <w:rsid w:val="0024759C"/>
    <w:rsid w:val="002477CE"/>
    <w:rsid w:val="002478D8"/>
    <w:rsid w:val="00247A7C"/>
    <w:rsid w:val="00247B33"/>
    <w:rsid w:val="00247EAC"/>
    <w:rsid w:val="00247FE3"/>
    <w:rsid w:val="00250046"/>
    <w:rsid w:val="0025005B"/>
    <w:rsid w:val="002503E8"/>
    <w:rsid w:val="002508C7"/>
    <w:rsid w:val="00250A6D"/>
    <w:rsid w:val="002513EC"/>
    <w:rsid w:val="0025176B"/>
    <w:rsid w:val="0025184D"/>
    <w:rsid w:val="00251A22"/>
    <w:rsid w:val="00251B29"/>
    <w:rsid w:val="00251D1C"/>
    <w:rsid w:val="00252340"/>
    <w:rsid w:val="002526A8"/>
    <w:rsid w:val="00252889"/>
    <w:rsid w:val="00252967"/>
    <w:rsid w:val="00252A7D"/>
    <w:rsid w:val="002531E2"/>
    <w:rsid w:val="00253532"/>
    <w:rsid w:val="00253815"/>
    <w:rsid w:val="0025388D"/>
    <w:rsid w:val="0025393A"/>
    <w:rsid w:val="00253967"/>
    <w:rsid w:val="00253A3F"/>
    <w:rsid w:val="00253B76"/>
    <w:rsid w:val="00253C5F"/>
    <w:rsid w:val="00253E5D"/>
    <w:rsid w:val="00253F0F"/>
    <w:rsid w:val="00253FD8"/>
    <w:rsid w:val="00254223"/>
    <w:rsid w:val="0025431A"/>
    <w:rsid w:val="002549C5"/>
    <w:rsid w:val="00254C7C"/>
    <w:rsid w:val="002551D8"/>
    <w:rsid w:val="0025564C"/>
    <w:rsid w:val="0025584E"/>
    <w:rsid w:val="00255AA2"/>
    <w:rsid w:val="00255B1A"/>
    <w:rsid w:val="00255E68"/>
    <w:rsid w:val="00256043"/>
    <w:rsid w:val="002561D4"/>
    <w:rsid w:val="002562B9"/>
    <w:rsid w:val="0025655C"/>
    <w:rsid w:val="00257064"/>
    <w:rsid w:val="00257166"/>
    <w:rsid w:val="002576BE"/>
    <w:rsid w:val="002579C5"/>
    <w:rsid w:val="00257CDB"/>
    <w:rsid w:val="00260288"/>
    <w:rsid w:val="0026048D"/>
    <w:rsid w:val="002605AF"/>
    <w:rsid w:val="00260BC7"/>
    <w:rsid w:val="00261332"/>
    <w:rsid w:val="00261531"/>
    <w:rsid w:val="002617CC"/>
    <w:rsid w:val="002619C8"/>
    <w:rsid w:val="00261B15"/>
    <w:rsid w:val="00261B2A"/>
    <w:rsid w:val="00261E0E"/>
    <w:rsid w:val="002623F1"/>
    <w:rsid w:val="00262473"/>
    <w:rsid w:val="002627A8"/>
    <w:rsid w:val="002629A5"/>
    <w:rsid w:val="00262A89"/>
    <w:rsid w:val="00262A8B"/>
    <w:rsid w:val="00262BD6"/>
    <w:rsid w:val="002630AC"/>
    <w:rsid w:val="00263EF8"/>
    <w:rsid w:val="00264041"/>
    <w:rsid w:val="00264573"/>
    <w:rsid w:val="002646B2"/>
    <w:rsid w:val="002647B9"/>
    <w:rsid w:val="00264886"/>
    <w:rsid w:val="00264B71"/>
    <w:rsid w:val="00264C11"/>
    <w:rsid w:val="00264E55"/>
    <w:rsid w:val="00264EB9"/>
    <w:rsid w:val="002651B8"/>
    <w:rsid w:val="00265606"/>
    <w:rsid w:val="0026567F"/>
    <w:rsid w:val="00265918"/>
    <w:rsid w:val="00265987"/>
    <w:rsid w:val="00265E32"/>
    <w:rsid w:val="0026669E"/>
    <w:rsid w:val="002667F4"/>
    <w:rsid w:val="002671ED"/>
    <w:rsid w:val="002678A1"/>
    <w:rsid w:val="002679F4"/>
    <w:rsid w:val="00267A52"/>
    <w:rsid w:val="00270205"/>
    <w:rsid w:val="002704EB"/>
    <w:rsid w:val="00270533"/>
    <w:rsid w:val="0027097D"/>
    <w:rsid w:val="00270CC7"/>
    <w:rsid w:val="00270F72"/>
    <w:rsid w:val="00271406"/>
    <w:rsid w:val="00271D05"/>
    <w:rsid w:val="002722EB"/>
    <w:rsid w:val="002724FB"/>
    <w:rsid w:val="00272990"/>
    <w:rsid w:val="00272AF2"/>
    <w:rsid w:val="00273025"/>
    <w:rsid w:val="00273DB9"/>
    <w:rsid w:val="00274795"/>
    <w:rsid w:val="00274C31"/>
    <w:rsid w:val="00274C99"/>
    <w:rsid w:val="00274CF6"/>
    <w:rsid w:val="00274EB9"/>
    <w:rsid w:val="00275012"/>
    <w:rsid w:val="0027526B"/>
    <w:rsid w:val="002754BF"/>
    <w:rsid w:val="00275612"/>
    <w:rsid w:val="002758E3"/>
    <w:rsid w:val="00275EFD"/>
    <w:rsid w:val="0027651C"/>
    <w:rsid w:val="0027676F"/>
    <w:rsid w:val="002769F8"/>
    <w:rsid w:val="00276B9B"/>
    <w:rsid w:val="00276CA7"/>
    <w:rsid w:val="00276CE5"/>
    <w:rsid w:val="00276E23"/>
    <w:rsid w:val="00276F84"/>
    <w:rsid w:val="00277763"/>
    <w:rsid w:val="00277B43"/>
    <w:rsid w:val="00277BA5"/>
    <w:rsid w:val="00277D4A"/>
    <w:rsid w:val="00277F73"/>
    <w:rsid w:val="00280885"/>
    <w:rsid w:val="0028091E"/>
    <w:rsid w:val="002809B7"/>
    <w:rsid w:val="00280FFD"/>
    <w:rsid w:val="002812FC"/>
    <w:rsid w:val="002813D7"/>
    <w:rsid w:val="00281428"/>
    <w:rsid w:val="00281514"/>
    <w:rsid w:val="00281694"/>
    <w:rsid w:val="00281761"/>
    <w:rsid w:val="00281A2B"/>
    <w:rsid w:val="00281C04"/>
    <w:rsid w:val="00281C4D"/>
    <w:rsid w:val="00281F4F"/>
    <w:rsid w:val="0028286F"/>
    <w:rsid w:val="00282960"/>
    <w:rsid w:val="00282F59"/>
    <w:rsid w:val="00283251"/>
    <w:rsid w:val="00283495"/>
    <w:rsid w:val="002834E5"/>
    <w:rsid w:val="00283766"/>
    <w:rsid w:val="00283776"/>
    <w:rsid w:val="00283DA6"/>
    <w:rsid w:val="00283EEC"/>
    <w:rsid w:val="002841B9"/>
    <w:rsid w:val="00284BA6"/>
    <w:rsid w:val="00284D99"/>
    <w:rsid w:val="002850B2"/>
    <w:rsid w:val="0028517B"/>
    <w:rsid w:val="00285194"/>
    <w:rsid w:val="00285272"/>
    <w:rsid w:val="00285600"/>
    <w:rsid w:val="002857F4"/>
    <w:rsid w:val="00285DF6"/>
    <w:rsid w:val="00286058"/>
    <w:rsid w:val="00286317"/>
    <w:rsid w:val="00286783"/>
    <w:rsid w:val="002868BE"/>
    <w:rsid w:val="00286ABC"/>
    <w:rsid w:val="00286D22"/>
    <w:rsid w:val="00286DDD"/>
    <w:rsid w:val="002872A2"/>
    <w:rsid w:val="002872E5"/>
    <w:rsid w:val="00287459"/>
    <w:rsid w:val="0028761A"/>
    <w:rsid w:val="0028781E"/>
    <w:rsid w:val="00287833"/>
    <w:rsid w:val="002879AA"/>
    <w:rsid w:val="002879BD"/>
    <w:rsid w:val="00287A3C"/>
    <w:rsid w:val="00287AF5"/>
    <w:rsid w:val="00287DE0"/>
    <w:rsid w:val="00290610"/>
    <w:rsid w:val="002908FC"/>
    <w:rsid w:val="00290EE5"/>
    <w:rsid w:val="00291000"/>
    <w:rsid w:val="00291437"/>
    <w:rsid w:val="002914F9"/>
    <w:rsid w:val="00291979"/>
    <w:rsid w:val="002920C8"/>
    <w:rsid w:val="00292207"/>
    <w:rsid w:val="002923DC"/>
    <w:rsid w:val="00292643"/>
    <w:rsid w:val="002926A3"/>
    <w:rsid w:val="002927CC"/>
    <w:rsid w:val="00292980"/>
    <w:rsid w:val="00292E65"/>
    <w:rsid w:val="00293324"/>
    <w:rsid w:val="002936D5"/>
    <w:rsid w:val="0029398A"/>
    <w:rsid w:val="00293995"/>
    <w:rsid w:val="00293E41"/>
    <w:rsid w:val="0029414B"/>
    <w:rsid w:val="0029481A"/>
    <w:rsid w:val="002949B4"/>
    <w:rsid w:val="00294EEC"/>
    <w:rsid w:val="00294F32"/>
    <w:rsid w:val="00295068"/>
    <w:rsid w:val="00295141"/>
    <w:rsid w:val="00295299"/>
    <w:rsid w:val="0029529B"/>
    <w:rsid w:val="002952DE"/>
    <w:rsid w:val="002959F9"/>
    <w:rsid w:val="00295EBA"/>
    <w:rsid w:val="00295F70"/>
    <w:rsid w:val="00296325"/>
    <w:rsid w:val="002964E4"/>
    <w:rsid w:val="00296733"/>
    <w:rsid w:val="00296CD3"/>
    <w:rsid w:val="00296D91"/>
    <w:rsid w:val="00296F0A"/>
    <w:rsid w:val="002976C3"/>
    <w:rsid w:val="00297907"/>
    <w:rsid w:val="00297A20"/>
    <w:rsid w:val="00297A25"/>
    <w:rsid w:val="002A0323"/>
    <w:rsid w:val="002A052F"/>
    <w:rsid w:val="002A05BF"/>
    <w:rsid w:val="002A0A89"/>
    <w:rsid w:val="002A0C24"/>
    <w:rsid w:val="002A0DCB"/>
    <w:rsid w:val="002A0F58"/>
    <w:rsid w:val="002A1004"/>
    <w:rsid w:val="002A100A"/>
    <w:rsid w:val="002A11FF"/>
    <w:rsid w:val="002A13F8"/>
    <w:rsid w:val="002A16B7"/>
    <w:rsid w:val="002A1ACB"/>
    <w:rsid w:val="002A1AE4"/>
    <w:rsid w:val="002A1E45"/>
    <w:rsid w:val="002A23E5"/>
    <w:rsid w:val="002A27CE"/>
    <w:rsid w:val="002A2833"/>
    <w:rsid w:val="002A29BE"/>
    <w:rsid w:val="002A2DCE"/>
    <w:rsid w:val="002A2E09"/>
    <w:rsid w:val="002A2F28"/>
    <w:rsid w:val="002A33DF"/>
    <w:rsid w:val="002A36F3"/>
    <w:rsid w:val="002A3752"/>
    <w:rsid w:val="002A3BCC"/>
    <w:rsid w:val="002A4287"/>
    <w:rsid w:val="002A4A96"/>
    <w:rsid w:val="002A4E3F"/>
    <w:rsid w:val="002A518E"/>
    <w:rsid w:val="002A53FD"/>
    <w:rsid w:val="002A558C"/>
    <w:rsid w:val="002A55C6"/>
    <w:rsid w:val="002A5944"/>
    <w:rsid w:val="002A5E3B"/>
    <w:rsid w:val="002A637D"/>
    <w:rsid w:val="002A65A2"/>
    <w:rsid w:val="002A6AFD"/>
    <w:rsid w:val="002A6B86"/>
    <w:rsid w:val="002A6D09"/>
    <w:rsid w:val="002A7360"/>
    <w:rsid w:val="002A73DE"/>
    <w:rsid w:val="002A74E5"/>
    <w:rsid w:val="002A7819"/>
    <w:rsid w:val="002A782A"/>
    <w:rsid w:val="002A7C39"/>
    <w:rsid w:val="002A7DC6"/>
    <w:rsid w:val="002B0241"/>
    <w:rsid w:val="002B0589"/>
    <w:rsid w:val="002B05CA"/>
    <w:rsid w:val="002B0649"/>
    <w:rsid w:val="002B06D6"/>
    <w:rsid w:val="002B0B13"/>
    <w:rsid w:val="002B0B9B"/>
    <w:rsid w:val="002B0BAA"/>
    <w:rsid w:val="002B0CB5"/>
    <w:rsid w:val="002B12CC"/>
    <w:rsid w:val="002B136E"/>
    <w:rsid w:val="002B1693"/>
    <w:rsid w:val="002B17D8"/>
    <w:rsid w:val="002B235E"/>
    <w:rsid w:val="002B264E"/>
    <w:rsid w:val="002B2900"/>
    <w:rsid w:val="002B2937"/>
    <w:rsid w:val="002B2A28"/>
    <w:rsid w:val="002B2CB3"/>
    <w:rsid w:val="002B2FFA"/>
    <w:rsid w:val="002B3011"/>
    <w:rsid w:val="002B308B"/>
    <w:rsid w:val="002B309C"/>
    <w:rsid w:val="002B3274"/>
    <w:rsid w:val="002B3506"/>
    <w:rsid w:val="002B3579"/>
    <w:rsid w:val="002B37B0"/>
    <w:rsid w:val="002B38AC"/>
    <w:rsid w:val="002B393A"/>
    <w:rsid w:val="002B3C97"/>
    <w:rsid w:val="002B3CC4"/>
    <w:rsid w:val="002B45B0"/>
    <w:rsid w:val="002B48A1"/>
    <w:rsid w:val="002B48D8"/>
    <w:rsid w:val="002B4A46"/>
    <w:rsid w:val="002B4B63"/>
    <w:rsid w:val="002B4B6F"/>
    <w:rsid w:val="002B519A"/>
    <w:rsid w:val="002B51C9"/>
    <w:rsid w:val="002B5B1C"/>
    <w:rsid w:val="002B5C50"/>
    <w:rsid w:val="002B5FCD"/>
    <w:rsid w:val="002B6E6C"/>
    <w:rsid w:val="002B6E81"/>
    <w:rsid w:val="002B743E"/>
    <w:rsid w:val="002B756C"/>
    <w:rsid w:val="002B78CF"/>
    <w:rsid w:val="002B79AE"/>
    <w:rsid w:val="002B7BC9"/>
    <w:rsid w:val="002B7CB1"/>
    <w:rsid w:val="002B7F4F"/>
    <w:rsid w:val="002C04B7"/>
    <w:rsid w:val="002C05E0"/>
    <w:rsid w:val="002C0764"/>
    <w:rsid w:val="002C0774"/>
    <w:rsid w:val="002C07B1"/>
    <w:rsid w:val="002C07CA"/>
    <w:rsid w:val="002C083D"/>
    <w:rsid w:val="002C0B0E"/>
    <w:rsid w:val="002C10D7"/>
    <w:rsid w:val="002C123F"/>
    <w:rsid w:val="002C1468"/>
    <w:rsid w:val="002C16CC"/>
    <w:rsid w:val="002C1881"/>
    <w:rsid w:val="002C1A05"/>
    <w:rsid w:val="002C1E28"/>
    <w:rsid w:val="002C213B"/>
    <w:rsid w:val="002C28AF"/>
    <w:rsid w:val="002C2AB5"/>
    <w:rsid w:val="002C2B42"/>
    <w:rsid w:val="002C2B72"/>
    <w:rsid w:val="002C2CE9"/>
    <w:rsid w:val="002C2E83"/>
    <w:rsid w:val="002C2EA6"/>
    <w:rsid w:val="002C30A7"/>
    <w:rsid w:val="002C30C6"/>
    <w:rsid w:val="002C328F"/>
    <w:rsid w:val="002C3722"/>
    <w:rsid w:val="002C376B"/>
    <w:rsid w:val="002C37BB"/>
    <w:rsid w:val="002C390C"/>
    <w:rsid w:val="002C391F"/>
    <w:rsid w:val="002C392A"/>
    <w:rsid w:val="002C3AC3"/>
    <w:rsid w:val="002C3B82"/>
    <w:rsid w:val="002C3D02"/>
    <w:rsid w:val="002C4321"/>
    <w:rsid w:val="002C47E1"/>
    <w:rsid w:val="002C4834"/>
    <w:rsid w:val="002C4DD8"/>
    <w:rsid w:val="002C4E72"/>
    <w:rsid w:val="002C4E7F"/>
    <w:rsid w:val="002C509D"/>
    <w:rsid w:val="002C53EA"/>
    <w:rsid w:val="002C5459"/>
    <w:rsid w:val="002C5564"/>
    <w:rsid w:val="002C592D"/>
    <w:rsid w:val="002C6158"/>
    <w:rsid w:val="002C65E2"/>
    <w:rsid w:val="002C7044"/>
    <w:rsid w:val="002C7154"/>
    <w:rsid w:val="002C746C"/>
    <w:rsid w:val="002C7623"/>
    <w:rsid w:val="002C77CB"/>
    <w:rsid w:val="002C78CE"/>
    <w:rsid w:val="002D0152"/>
    <w:rsid w:val="002D01A4"/>
    <w:rsid w:val="002D021D"/>
    <w:rsid w:val="002D0436"/>
    <w:rsid w:val="002D070A"/>
    <w:rsid w:val="002D084D"/>
    <w:rsid w:val="002D0CBF"/>
    <w:rsid w:val="002D1F35"/>
    <w:rsid w:val="002D20D2"/>
    <w:rsid w:val="002D2516"/>
    <w:rsid w:val="002D29CD"/>
    <w:rsid w:val="002D2D33"/>
    <w:rsid w:val="002D3213"/>
    <w:rsid w:val="002D346A"/>
    <w:rsid w:val="002D355F"/>
    <w:rsid w:val="002D3CA1"/>
    <w:rsid w:val="002D409F"/>
    <w:rsid w:val="002D45A3"/>
    <w:rsid w:val="002D4EDF"/>
    <w:rsid w:val="002D4F29"/>
    <w:rsid w:val="002D4F4E"/>
    <w:rsid w:val="002D4F72"/>
    <w:rsid w:val="002D5499"/>
    <w:rsid w:val="002D551A"/>
    <w:rsid w:val="002D600D"/>
    <w:rsid w:val="002D612F"/>
    <w:rsid w:val="002D65FD"/>
    <w:rsid w:val="002D6756"/>
    <w:rsid w:val="002D707F"/>
    <w:rsid w:val="002D70E5"/>
    <w:rsid w:val="002D73B1"/>
    <w:rsid w:val="002D74B4"/>
    <w:rsid w:val="002D7E8E"/>
    <w:rsid w:val="002E0089"/>
    <w:rsid w:val="002E0498"/>
    <w:rsid w:val="002E0A28"/>
    <w:rsid w:val="002E0BBB"/>
    <w:rsid w:val="002E0C15"/>
    <w:rsid w:val="002E0E51"/>
    <w:rsid w:val="002E1244"/>
    <w:rsid w:val="002E13AB"/>
    <w:rsid w:val="002E15A8"/>
    <w:rsid w:val="002E17D1"/>
    <w:rsid w:val="002E193A"/>
    <w:rsid w:val="002E19E7"/>
    <w:rsid w:val="002E1BBB"/>
    <w:rsid w:val="002E207A"/>
    <w:rsid w:val="002E22F7"/>
    <w:rsid w:val="002E2308"/>
    <w:rsid w:val="002E26B7"/>
    <w:rsid w:val="002E26C7"/>
    <w:rsid w:val="002E2BFB"/>
    <w:rsid w:val="002E2E86"/>
    <w:rsid w:val="002E2EEB"/>
    <w:rsid w:val="002E2FDF"/>
    <w:rsid w:val="002E36D4"/>
    <w:rsid w:val="002E40AA"/>
    <w:rsid w:val="002E4142"/>
    <w:rsid w:val="002E4379"/>
    <w:rsid w:val="002E456B"/>
    <w:rsid w:val="002E5277"/>
    <w:rsid w:val="002E5B68"/>
    <w:rsid w:val="002E603F"/>
    <w:rsid w:val="002E6205"/>
    <w:rsid w:val="002E63CA"/>
    <w:rsid w:val="002E677F"/>
    <w:rsid w:val="002E683A"/>
    <w:rsid w:val="002E6BD3"/>
    <w:rsid w:val="002E6CA7"/>
    <w:rsid w:val="002E70CB"/>
    <w:rsid w:val="002E71AC"/>
    <w:rsid w:val="002E7325"/>
    <w:rsid w:val="002E7377"/>
    <w:rsid w:val="002E73FA"/>
    <w:rsid w:val="002E751C"/>
    <w:rsid w:val="002E76DC"/>
    <w:rsid w:val="002E7718"/>
    <w:rsid w:val="002E7EBB"/>
    <w:rsid w:val="002F0196"/>
    <w:rsid w:val="002F0712"/>
    <w:rsid w:val="002F08AA"/>
    <w:rsid w:val="002F101A"/>
    <w:rsid w:val="002F1337"/>
    <w:rsid w:val="002F1655"/>
    <w:rsid w:val="002F1699"/>
    <w:rsid w:val="002F1B20"/>
    <w:rsid w:val="002F20FA"/>
    <w:rsid w:val="002F2132"/>
    <w:rsid w:val="002F23A8"/>
    <w:rsid w:val="002F2969"/>
    <w:rsid w:val="002F2C9A"/>
    <w:rsid w:val="002F339A"/>
    <w:rsid w:val="002F3741"/>
    <w:rsid w:val="002F42D9"/>
    <w:rsid w:val="002F43B8"/>
    <w:rsid w:val="002F4663"/>
    <w:rsid w:val="002F46E9"/>
    <w:rsid w:val="002F4C96"/>
    <w:rsid w:val="002F4E07"/>
    <w:rsid w:val="002F4E5D"/>
    <w:rsid w:val="002F58E2"/>
    <w:rsid w:val="002F5A17"/>
    <w:rsid w:val="002F5B53"/>
    <w:rsid w:val="002F5C8D"/>
    <w:rsid w:val="002F5F83"/>
    <w:rsid w:val="002F6095"/>
    <w:rsid w:val="002F612A"/>
    <w:rsid w:val="002F6815"/>
    <w:rsid w:val="002F6850"/>
    <w:rsid w:val="002F6970"/>
    <w:rsid w:val="002F6B87"/>
    <w:rsid w:val="002F6E86"/>
    <w:rsid w:val="002F6F1F"/>
    <w:rsid w:val="002F7456"/>
    <w:rsid w:val="002F7A12"/>
    <w:rsid w:val="002F7EFC"/>
    <w:rsid w:val="002F7FAA"/>
    <w:rsid w:val="00300066"/>
    <w:rsid w:val="00300136"/>
    <w:rsid w:val="0030051A"/>
    <w:rsid w:val="00300707"/>
    <w:rsid w:val="003009AD"/>
    <w:rsid w:val="00300D20"/>
    <w:rsid w:val="00300F69"/>
    <w:rsid w:val="00301364"/>
    <w:rsid w:val="003014DC"/>
    <w:rsid w:val="00301646"/>
    <w:rsid w:val="0030176F"/>
    <w:rsid w:val="00301AAA"/>
    <w:rsid w:val="00301D4B"/>
    <w:rsid w:val="0030227B"/>
    <w:rsid w:val="003027AB"/>
    <w:rsid w:val="00302F40"/>
    <w:rsid w:val="00303194"/>
    <w:rsid w:val="003037EB"/>
    <w:rsid w:val="00303BE0"/>
    <w:rsid w:val="00304245"/>
    <w:rsid w:val="003043D8"/>
    <w:rsid w:val="003045E5"/>
    <w:rsid w:val="00304944"/>
    <w:rsid w:val="0030498E"/>
    <w:rsid w:val="00305164"/>
    <w:rsid w:val="00305341"/>
    <w:rsid w:val="003054B1"/>
    <w:rsid w:val="003057BC"/>
    <w:rsid w:val="0030606D"/>
    <w:rsid w:val="00306405"/>
    <w:rsid w:val="00306531"/>
    <w:rsid w:val="0030670C"/>
    <w:rsid w:val="00306918"/>
    <w:rsid w:val="00306922"/>
    <w:rsid w:val="00306C02"/>
    <w:rsid w:val="00307003"/>
    <w:rsid w:val="00307C40"/>
    <w:rsid w:val="00307D9B"/>
    <w:rsid w:val="003107EB"/>
    <w:rsid w:val="00310B34"/>
    <w:rsid w:val="00310B94"/>
    <w:rsid w:val="00310D67"/>
    <w:rsid w:val="00311387"/>
    <w:rsid w:val="003117F2"/>
    <w:rsid w:val="00311A2A"/>
    <w:rsid w:val="00311D02"/>
    <w:rsid w:val="00311D60"/>
    <w:rsid w:val="0031202C"/>
    <w:rsid w:val="003122A0"/>
    <w:rsid w:val="003124B7"/>
    <w:rsid w:val="003124F7"/>
    <w:rsid w:val="00312510"/>
    <w:rsid w:val="0031251B"/>
    <w:rsid w:val="00312796"/>
    <w:rsid w:val="003128A8"/>
    <w:rsid w:val="00312DF5"/>
    <w:rsid w:val="00313056"/>
    <w:rsid w:val="003139CF"/>
    <w:rsid w:val="00314361"/>
    <w:rsid w:val="0031458D"/>
    <w:rsid w:val="0031464C"/>
    <w:rsid w:val="00314716"/>
    <w:rsid w:val="00315508"/>
    <w:rsid w:val="00315587"/>
    <w:rsid w:val="00315ADE"/>
    <w:rsid w:val="0031639B"/>
    <w:rsid w:val="00316416"/>
    <w:rsid w:val="003165B8"/>
    <w:rsid w:val="003166FF"/>
    <w:rsid w:val="00316777"/>
    <w:rsid w:val="00316978"/>
    <w:rsid w:val="00316D8C"/>
    <w:rsid w:val="00316FEF"/>
    <w:rsid w:val="00317999"/>
    <w:rsid w:val="003179B2"/>
    <w:rsid w:val="00317D5E"/>
    <w:rsid w:val="00317F04"/>
    <w:rsid w:val="00317F28"/>
    <w:rsid w:val="0032035D"/>
    <w:rsid w:val="00320630"/>
    <w:rsid w:val="003206BE"/>
    <w:rsid w:val="00320B2B"/>
    <w:rsid w:val="00320EB8"/>
    <w:rsid w:val="00320F53"/>
    <w:rsid w:val="00320FFF"/>
    <w:rsid w:val="00321079"/>
    <w:rsid w:val="0032111F"/>
    <w:rsid w:val="00321E34"/>
    <w:rsid w:val="003232A7"/>
    <w:rsid w:val="003232B5"/>
    <w:rsid w:val="0032349D"/>
    <w:rsid w:val="003236C8"/>
    <w:rsid w:val="0032389B"/>
    <w:rsid w:val="00324120"/>
    <w:rsid w:val="0032431C"/>
    <w:rsid w:val="003243B0"/>
    <w:rsid w:val="00324576"/>
    <w:rsid w:val="003247EB"/>
    <w:rsid w:val="0032497D"/>
    <w:rsid w:val="003249DF"/>
    <w:rsid w:val="00325122"/>
    <w:rsid w:val="003251A1"/>
    <w:rsid w:val="0032530E"/>
    <w:rsid w:val="003255C7"/>
    <w:rsid w:val="003256D7"/>
    <w:rsid w:val="003258DF"/>
    <w:rsid w:val="00325A14"/>
    <w:rsid w:val="00325A55"/>
    <w:rsid w:val="00325AD5"/>
    <w:rsid w:val="00325D88"/>
    <w:rsid w:val="00325E81"/>
    <w:rsid w:val="00326407"/>
    <w:rsid w:val="003265BD"/>
    <w:rsid w:val="003265C9"/>
    <w:rsid w:val="003268D9"/>
    <w:rsid w:val="00326A9B"/>
    <w:rsid w:val="00326BBD"/>
    <w:rsid w:val="00326D6D"/>
    <w:rsid w:val="00326E27"/>
    <w:rsid w:val="00326E5E"/>
    <w:rsid w:val="00326FD4"/>
    <w:rsid w:val="00327076"/>
    <w:rsid w:val="00327615"/>
    <w:rsid w:val="00327CE6"/>
    <w:rsid w:val="00330501"/>
    <w:rsid w:val="003306E1"/>
    <w:rsid w:val="00331949"/>
    <w:rsid w:val="00331B49"/>
    <w:rsid w:val="00331C65"/>
    <w:rsid w:val="00331F94"/>
    <w:rsid w:val="003321C5"/>
    <w:rsid w:val="00332226"/>
    <w:rsid w:val="003325FE"/>
    <w:rsid w:val="0033297C"/>
    <w:rsid w:val="003329CC"/>
    <w:rsid w:val="00332E31"/>
    <w:rsid w:val="0033309B"/>
    <w:rsid w:val="0033314A"/>
    <w:rsid w:val="00333BCB"/>
    <w:rsid w:val="00333F79"/>
    <w:rsid w:val="00333FE1"/>
    <w:rsid w:val="003342F2"/>
    <w:rsid w:val="003345F8"/>
    <w:rsid w:val="00334D44"/>
    <w:rsid w:val="00334D98"/>
    <w:rsid w:val="00334DE0"/>
    <w:rsid w:val="0033513D"/>
    <w:rsid w:val="003351F0"/>
    <w:rsid w:val="0033588E"/>
    <w:rsid w:val="00335A27"/>
    <w:rsid w:val="00335D2E"/>
    <w:rsid w:val="00335D90"/>
    <w:rsid w:val="00336749"/>
    <w:rsid w:val="00336C8D"/>
    <w:rsid w:val="0033741C"/>
    <w:rsid w:val="00337C8D"/>
    <w:rsid w:val="00337CE2"/>
    <w:rsid w:val="003402C6"/>
    <w:rsid w:val="0034071E"/>
    <w:rsid w:val="00340C51"/>
    <w:rsid w:val="0034106E"/>
    <w:rsid w:val="003414A8"/>
    <w:rsid w:val="00341980"/>
    <w:rsid w:val="00341F04"/>
    <w:rsid w:val="0034233B"/>
    <w:rsid w:val="00342F34"/>
    <w:rsid w:val="003431D5"/>
    <w:rsid w:val="00343279"/>
    <w:rsid w:val="0034346D"/>
    <w:rsid w:val="0034367B"/>
    <w:rsid w:val="00343915"/>
    <w:rsid w:val="003439D5"/>
    <w:rsid w:val="00343D16"/>
    <w:rsid w:val="00343DE2"/>
    <w:rsid w:val="003441B8"/>
    <w:rsid w:val="0034466D"/>
    <w:rsid w:val="0034474A"/>
    <w:rsid w:val="0034483B"/>
    <w:rsid w:val="0034537C"/>
    <w:rsid w:val="00345765"/>
    <w:rsid w:val="0034587C"/>
    <w:rsid w:val="003462A3"/>
    <w:rsid w:val="0034676D"/>
    <w:rsid w:val="00346B96"/>
    <w:rsid w:val="00347627"/>
    <w:rsid w:val="003476B3"/>
    <w:rsid w:val="0034796B"/>
    <w:rsid w:val="00347A0E"/>
    <w:rsid w:val="00347DDC"/>
    <w:rsid w:val="00347E8A"/>
    <w:rsid w:val="00350144"/>
    <w:rsid w:val="003503AF"/>
    <w:rsid w:val="00350525"/>
    <w:rsid w:val="00350600"/>
    <w:rsid w:val="00350862"/>
    <w:rsid w:val="00350D73"/>
    <w:rsid w:val="00351109"/>
    <w:rsid w:val="00351453"/>
    <w:rsid w:val="00351A64"/>
    <w:rsid w:val="00352049"/>
    <w:rsid w:val="0035211C"/>
    <w:rsid w:val="003522A8"/>
    <w:rsid w:val="0035232C"/>
    <w:rsid w:val="00352374"/>
    <w:rsid w:val="003527CF"/>
    <w:rsid w:val="0035292E"/>
    <w:rsid w:val="00352B45"/>
    <w:rsid w:val="00352CE0"/>
    <w:rsid w:val="003531CD"/>
    <w:rsid w:val="00353209"/>
    <w:rsid w:val="00353D37"/>
    <w:rsid w:val="003542B1"/>
    <w:rsid w:val="00354316"/>
    <w:rsid w:val="00354446"/>
    <w:rsid w:val="0035482A"/>
    <w:rsid w:val="00354AE4"/>
    <w:rsid w:val="00354DD1"/>
    <w:rsid w:val="003553FC"/>
    <w:rsid w:val="003556A0"/>
    <w:rsid w:val="00355FAD"/>
    <w:rsid w:val="003560DD"/>
    <w:rsid w:val="0035647A"/>
    <w:rsid w:val="003564FA"/>
    <w:rsid w:val="00356662"/>
    <w:rsid w:val="00356815"/>
    <w:rsid w:val="00356951"/>
    <w:rsid w:val="00356DA2"/>
    <w:rsid w:val="00357154"/>
    <w:rsid w:val="00357B91"/>
    <w:rsid w:val="00357BFE"/>
    <w:rsid w:val="00357E0B"/>
    <w:rsid w:val="00357F70"/>
    <w:rsid w:val="003603E6"/>
    <w:rsid w:val="003606D6"/>
    <w:rsid w:val="00360C22"/>
    <w:rsid w:val="00360EEF"/>
    <w:rsid w:val="003614F7"/>
    <w:rsid w:val="00361604"/>
    <w:rsid w:val="003617AA"/>
    <w:rsid w:val="003618DD"/>
    <w:rsid w:val="00361AA7"/>
    <w:rsid w:val="00361B25"/>
    <w:rsid w:val="00361F43"/>
    <w:rsid w:val="003621DE"/>
    <w:rsid w:val="00362550"/>
    <w:rsid w:val="00362642"/>
    <w:rsid w:val="00362967"/>
    <w:rsid w:val="00362AA8"/>
    <w:rsid w:val="00362E50"/>
    <w:rsid w:val="003630AF"/>
    <w:rsid w:val="003635BB"/>
    <w:rsid w:val="0036379B"/>
    <w:rsid w:val="003637B0"/>
    <w:rsid w:val="00363880"/>
    <w:rsid w:val="003639FC"/>
    <w:rsid w:val="00363CBA"/>
    <w:rsid w:val="00363D57"/>
    <w:rsid w:val="00363D73"/>
    <w:rsid w:val="00363EF0"/>
    <w:rsid w:val="00364133"/>
    <w:rsid w:val="00364BCE"/>
    <w:rsid w:val="00364D0A"/>
    <w:rsid w:val="00364EE2"/>
    <w:rsid w:val="003655C2"/>
    <w:rsid w:val="00365837"/>
    <w:rsid w:val="00365E08"/>
    <w:rsid w:val="00365E11"/>
    <w:rsid w:val="00365FBF"/>
    <w:rsid w:val="00366438"/>
    <w:rsid w:val="003665CD"/>
    <w:rsid w:val="003667E2"/>
    <w:rsid w:val="00366CEC"/>
    <w:rsid w:val="003672B8"/>
    <w:rsid w:val="003672F4"/>
    <w:rsid w:val="003674F4"/>
    <w:rsid w:val="00367727"/>
    <w:rsid w:val="00367836"/>
    <w:rsid w:val="00367C57"/>
    <w:rsid w:val="00367D23"/>
    <w:rsid w:val="00367D51"/>
    <w:rsid w:val="00367EB2"/>
    <w:rsid w:val="0037022A"/>
    <w:rsid w:val="0037022E"/>
    <w:rsid w:val="00370397"/>
    <w:rsid w:val="0037087A"/>
    <w:rsid w:val="003708AF"/>
    <w:rsid w:val="003709AE"/>
    <w:rsid w:val="00370B5B"/>
    <w:rsid w:val="00370CF6"/>
    <w:rsid w:val="00370EC9"/>
    <w:rsid w:val="0037101B"/>
    <w:rsid w:val="00371805"/>
    <w:rsid w:val="00371C05"/>
    <w:rsid w:val="003721B7"/>
    <w:rsid w:val="00372394"/>
    <w:rsid w:val="003723D6"/>
    <w:rsid w:val="00372926"/>
    <w:rsid w:val="00372B1E"/>
    <w:rsid w:val="00372C93"/>
    <w:rsid w:val="00372D8E"/>
    <w:rsid w:val="00372E98"/>
    <w:rsid w:val="00372F2B"/>
    <w:rsid w:val="00372F9A"/>
    <w:rsid w:val="00373260"/>
    <w:rsid w:val="003734A1"/>
    <w:rsid w:val="0037366C"/>
    <w:rsid w:val="00373888"/>
    <w:rsid w:val="00373CA6"/>
    <w:rsid w:val="00373ED0"/>
    <w:rsid w:val="0037441E"/>
    <w:rsid w:val="00374A5C"/>
    <w:rsid w:val="00375209"/>
    <w:rsid w:val="003752F4"/>
    <w:rsid w:val="003756B9"/>
    <w:rsid w:val="00375815"/>
    <w:rsid w:val="003759DB"/>
    <w:rsid w:val="00375AC2"/>
    <w:rsid w:val="00375E03"/>
    <w:rsid w:val="00375F3C"/>
    <w:rsid w:val="00376238"/>
    <w:rsid w:val="00376386"/>
    <w:rsid w:val="00376A13"/>
    <w:rsid w:val="0037701C"/>
    <w:rsid w:val="0037757E"/>
    <w:rsid w:val="003778BF"/>
    <w:rsid w:val="00377968"/>
    <w:rsid w:val="003779B2"/>
    <w:rsid w:val="0038015B"/>
    <w:rsid w:val="003805C1"/>
    <w:rsid w:val="00380A85"/>
    <w:rsid w:val="00380CAB"/>
    <w:rsid w:val="00381166"/>
    <w:rsid w:val="003812E2"/>
    <w:rsid w:val="003816AB"/>
    <w:rsid w:val="003819D5"/>
    <w:rsid w:val="0038213C"/>
    <w:rsid w:val="0038237B"/>
    <w:rsid w:val="003824DD"/>
    <w:rsid w:val="003825CC"/>
    <w:rsid w:val="0038282A"/>
    <w:rsid w:val="003829D0"/>
    <w:rsid w:val="00382E2E"/>
    <w:rsid w:val="00383040"/>
    <w:rsid w:val="00383512"/>
    <w:rsid w:val="0038353E"/>
    <w:rsid w:val="003836EA"/>
    <w:rsid w:val="0038377C"/>
    <w:rsid w:val="00383984"/>
    <w:rsid w:val="00383A58"/>
    <w:rsid w:val="00383F47"/>
    <w:rsid w:val="00384622"/>
    <w:rsid w:val="0038474D"/>
    <w:rsid w:val="00384BD9"/>
    <w:rsid w:val="00384DDD"/>
    <w:rsid w:val="0038520D"/>
    <w:rsid w:val="003853D7"/>
    <w:rsid w:val="00385C1D"/>
    <w:rsid w:val="00385EE4"/>
    <w:rsid w:val="0038605C"/>
    <w:rsid w:val="0038624F"/>
    <w:rsid w:val="0038637F"/>
    <w:rsid w:val="00386898"/>
    <w:rsid w:val="00386B08"/>
    <w:rsid w:val="00386B22"/>
    <w:rsid w:val="00386CD6"/>
    <w:rsid w:val="00386ECA"/>
    <w:rsid w:val="003877DF"/>
    <w:rsid w:val="00387B4B"/>
    <w:rsid w:val="00387F7A"/>
    <w:rsid w:val="003903F3"/>
    <w:rsid w:val="003909C6"/>
    <w:rsid w:val="00390AE4"/>
    <w:rsid w:val="00390F91"/>
    <w:rsid w:val="0039137A"/>
    <w:rsid w:val="0039138D"/>
    <w:rsid w:val="003918D6"/>
    <w:rsid w:val="00391DC9"/>
    <w:rsid w:val="003925A8"/>
    <w:rsid w:val="00392682"/>
    <w:rsid w:val="003927F2"/>
    <w:rsid w:val="00392888"/>
    <w:rsid w:val="00392FA2"/>
    <w:rsid w:val="003933E0"/>
    <w:rsid w:val="003933E2"/>
    <w:rsid w:val="003933EB"/>
    <w:rsid w:val="00393B61"/>
    <w:rsid w:val="0039400A"/>
    <w:rsid w:val="003941A1"/>
    <w:rsid w:val="003942F4"/>
    <w:rsid w:val="003945B6"/>
    <w:rsid w:val="003948A4"/>
    <w:rsid w:val="00394F23"/>
    <w:rsid w:val="00394FE6"/>
    <w:rsid w:val="0039554A"/>
    <w:rsid w:val="00395553"/>
    <w:rsid w:val="0039580D"/>
    <w:rsid w:val="003958C9"/>
    <w:rsid w:val="00395A5A"/>
    <w:rsid w:val="00396286"/>
    <w:rsid w:val="00396430"/>
    <w:rsid w:val="00396534"/>
    <w:rsid w:val="00396A11"/>
    <w:rsid w:val="00396EBA"/>
    <w:rsid w:val="00397438"/>
    <w:rsid w:val="003976BF"/>
    <w:rsid w:val="003979F8"/>
    <w:rsid w:val="00397AFB"/>
    <w:rsid w:val="003A02F4"/>
    <w:rsid w:val="003A05C1"/>
    <w:rsid w:val="003A0645"/>
    <w:rsid w:val="003A06A8"/>
    <w:rsid w:val="003A07E8"/>
    <w:rsid w:val="003A1110"/>
    <w:rsid w:val="003A15EC"/>
    <w:rsid w:val="003A1B78"/>
    <w:rsid w:val="003A20F5"/>
    <w:rsid w:val="003A2187"/>
    <w:rsid w:val="003A250D"/>
    <w:rsid w:val="003A2586"/>
    <w:rsid w:val="003A2F94"/>
    <w:rsid w:val="003A3000"/>
    <w:rsid w:val="003A33B5"/>
    <w:rsid w:val="003A38E3"/>
    <w:rsid w:val="003A3AE2"/>
    <w:rsid w:val="003A3BA9"/>
    <w:rsid w:val="003A3CE3"/>
    <w:rsid w:val="003A3DF1"/>
    <w:rsid w:val="003A3FB8"/>
    <w:rsid w:val="003A41E8"/>
    <w:rsid w:val="003A4373"/>
    <w:rsid w:val="003A4D9C"/>
    <w:rsid w:val="003A505D"/>
    <w:rsid w:val="003A542D"/>
    <w:rsid w:val="003A543E"/>
    <w:rsid w:val="003A54C1"/>
    <w:rsid w:val="003A5608"/>
    <w:rsid w:val="003A59F9"/>
    <w:rsid w:val="003A5A66"/>
    <w:rsid w:val="003A5CEE"/>
    <w:rsid w:val="003A5D14"/>
    <w:rsid w:val="003A5FCD"/>
    <w:rsid w:val="003A62AB"/>
    <w:rsid w:val="003A65B3"/>
    <w:rsid w:val="003A694B"/>
    <w:rsid w:val="003A6990"/>
    <w:rsid w:val="003A6AB5"/>
    <w:rsid w:val="003A6BC5"/>
    <w:rsid w:val="003A71EF"/>
    <w:rsid w:val="003A7501"/>
    <w:rsid w:val="003A78A1"/>
    <w:rsid w:val="003A79E2"/>
    <w:rsid w:val="003A7B91"/>
    <w:rsid w:val="003B0764"/>
    <w:rsid w:val="003B0942"/>
    <w:rsid w:val="003B0CA1"/>
    <w:rsid w:val="003B100D"/>
    <w:rsid w:val="003B12F2"/>
    <w:rsid w:val="003B137C"/>
    <w:rsid w:val="003B159B"/>
    <w:rsid w:val="003B16AA"/>
    <w:rsid w:val="003B186F"/>
    <w:rsid w:val="003B1879"/>
    <w:rsid w:val="003B18E0"/>
    <w:rsid w:val="003B19B9"/>
    <w:rsid w:val="003B1A9B"/>
    <w:rsid w:val="003B1AB6"/>
    <w:rsid w:val="003B1F27"/>
    <w:rsid w:val="003B26CD"/>
    <w:rsid w:val="003B2861"/>
    <w:rsid w:val="003B2935"/>
    <w:rsid w:val="003B2D09"/>
    <w:rsid w:val="003B2D98"/>
    <w:rsid w:val="003B2EE6"/>
    <w:rsid w:val="003B3004"/>
    <w:rsid w:val="003B323B"/>
    <w:rsid w:val="003B324C"/>
    <w:rsid w:val="003B34B2"/>
    <w:rsid w:val="003B37AF"/>
    <w:rsid w:val="003B3995"/>
    <w:rsid w:val="003B3B74"/>
    <w:rsid w:val="003B3E67"/>
    <w:rsid w:val="003B3E8F"/>
    <w:rsid w:val="003B3EF0"/>
    <w:rsid w:val="003B4113"/>
    <w:rsid w:val="003B47B4"/>
    <w:rsid w:val="003B4CE3"/>
    <w:rsid w:val="003B4E13"/>
    <w:rsid w:val="003B4F1C"/>
    <w:rsid w:val="003B511D"/>
    <w:rsid w:val="003B529F"/>
    <w:rsid w:val="003B54A3"/>
    <w:rsid w:val="003B54F6"/>
    <w:rsid w:val="003B561F"/>
    <w:rsid w:val="003B5757"/>
    <w:rsid w:val="003B585F"/>
    <w:rsid w:val="003B595C"/>
    <w:rsid w:val="003B5D9A"/>
    <w:rsid w:val="003B5E27"/>
    <w:rsid w:val="003B61BF"/>
    <w:rsid w:val="003B6213"/>
    <w:rsid w:val="003B6497"/>
    <w:rsid w:val="003B690B"/>
    <w:rsid w:val="003B692E"/>
    <w:rsid w:val="003B6B75"/>
    <w:rsid w:val="003B717D"/>
    <w:rsid w:val="003B7900"/>
    <w:rsid w:val="003B7B6F"/>
    <w:rsid w:val="003B7CB5"/>
    <w:rsid w:val="003C035B"/>
    <w:rsid w:val="003C03CA"/>
    <w:rsid w:val="003C0A56"/>
    <w:rsid w:val="003C0C80"/>
    <w:rsid w:val="003C124E"/>
    <w:rsid w:val="003C18B0"/>
    <w:rsid w:val="003C18C9"/>
    <w:rsid w:val="003C2403"/>
    <w:rsid w:val="003C2459"/>
    <w:rsid w:val="003C24E3"/>
    <w:rsid w:val="003C260A"/>
    <w:rsid w:val="003C299E"/>
    <w:rsid w:val="003C2C93"/>
    <w:rsid w:val="003C2CAC"/>
    <w:rsid w:val="003C2D7C"/>
    <w:rsid w:val="003C2E30"/>
    <w:rsid w:val="003C2FFD"/>
    <w:rsid w:val="003C3106"/>
    <w:rsid w:val="003C3432"/>
    <w:rsid w:val="003C3586"/>
    <w:rsid w:val="003C3995"/>
    <w:rsid w:val="003C3B51"/>
    <w:rsid w:val="003C3CD1"/>
    <w:rsid w:val="003C3D8E"/>
    <w:rsid w:val="003C47C6"/>
    <w:rsid w:val="003C4A21"/>
    <w:rsid w:val="003C4B56"/>
    <w:rsid w:val="003C4BD3"/>
    <w:rsid w:val="003C4BE1"/>
    <w:rsid w:val="003C4E31"/>
    <w:rsid w:val="003C4FDF"/>
    <w:rsid w:val="003C500E"/>
    <w:rsid w:val="003C519A"/>
    <w:rsid w:val="003C53CE"/>
    <w:rsid w:val="003C545E"/>
    <w:rsid w:val="003C55A9"/>
    <w:rsid w:val="003C5689"/>
    <w:rsid w:val="003C5829"/>
    <w:rsid w:val="003C5EDC"/>
    <w:rsid w:val="003C6147"/>
    <w:rsid w:val="003C64E0"/>
    <w:rsid w:val="003C6856"/>
    <w:rsid w:val="003C6BF2"/>
    <w:rsid w:val="003C6F67"/>
    <w:rsid w:val="003C719B"/>
    <w:rsid w:val="003C74EE"/>
    <w:rsid w:val="003C76D2"/>
    <w:rsid w:val="003C788B"/>
    <w:rsid w:val="003C7917"/>
    <w:rsid w:val="003D01A4"/>
    <w:rsid w:val="003D02B4"/>
    <w:rsid w:val="003D04B6"/>
    <w:rsid w:val="003D0C63"/>
    <w:rsid w:val="003D0CB9"/>
    <w:rsid w:val="003D0DA3"/>
    <w:rsid w:val="003D11C5"/>
    <w:rsid w:val="003D14E1"/>
    <w:rsid w:val="003D1576"/>
    <w:rsid w:val="003D17E5"/>
    <w:rsid w:val="003D201C"/>
    <w:rsid w:val="003D2053"/>
    <w:rsid w:val="003D229B"/>
    <w:rsid w:val="003D25B3"/>
    <w:rsid w:val="003D2CF4"/>
    <w:rsid w:val="003D2D62"/>
    <w:rsid w:val="003D2E9D"/>
    <w:rsid w:val="003D3159"/>
    <w:rsid w:val="003D33AB"/>
    <w:rsid w:val="003D43DD"/>
    <w:rsid w:val="003D444E"/>
    <w:rsid w:val="003D471F"/>
    <w:rsid w:val="003D4C05"/>
    <w:rsid w:val="003D4E93"/>
    <w:rsid w:val="003D5162"/>
    <w:rsid w:val="003D5197"/>
    <w:rsid w:val="003D5375"/>
    <w:rsid w:val="003D5742"/>
    <w:rsid w:val="003D63A7"/>
    <w:rsid w:val="003D6A47"/>
    <w:rsid w:val="003D6C56"/>
    <w:rsid w:val="003D73FE"/>
    <w:rsid w:val="003D760C"/>
    <w:rsid w:val="003D7617"/>
    <w:rsid w:val="003D7907"/>
    <w:rsid w:val="003D7C87"/>
    <w:rsid w:val="003D7D23"/>
    <w:rsid w:val="003D7E27"/>
    <w:rsid w:val="003D7EA9"/>
    <w:rsid w:val="003E0679"/>
    <w:rsid w:val="003E0D8D"/>
    <w:rsid w:val="003E144B"/>
    <w:rsid w:val="003E14A1"/>
    <w:rsid w:val="003E1505"/>
    <w:rsid w:val="003E20B5"/>
    <w:rsid w:val="003E2134"/>
    <w:rsid w:val="003E2339"/>
    <w:rsid w:val="003E2577"/>
    <w:rsid w:val="003E265C"/>
    <w:rsid w:val="003E318B"/>
    <w:rsid w:val="003E3257"/>
    <w:rsid w:val="003E347E"/>
    <w:rsid w:val="003E34EE"/>
    <w:rsid w:val="003E3826"/>
    <w:rsid w:val="003E3877"/>
    <w:rsid w:val="003E3A45"/>
    <w:rsid w:val="003E3C90"/>
    <w:rsid w:val="003E4214"/>
    <w:rsid w:val="003E4224"/>
    <w:rsid w:val="003E42FE"/>
    <w:rsid w:val="003E4421"/>
    <w:rsid w:val="003E454F"/>
    <w:rsid w:val="003E4654"/>
    <w:rsid w:val="003E4662"/>
    <w:rsid w:val="003E46A4"/>
    <w:rsid w:val="003E4A4D"/>
    <w:rsid w:val="003E4EEF"/>
    <w:rsid w:val="003E5028"/>
    <w:rsid w:val="003E57FE"/>
    <w:rsid w:val="003E58AE"/>
    <w:rsid w:val="003E5A3F"/>
    <w:rsid w:val="003E5A4A"/>
    <w:rsid w:val="003E61B9"/>
    <w:rsid w:val="003E6380"/>
    <w:rsid w:val="003E652A"/>
    <w:rsid w:val="003E6BD8"/>
    <w:rsid w:val="003E6CB2"/>
    <w:rsid w:val="003E6DAC"/>
    <w:rsid w:val="003E70E6"/>
    <w:rsid w:val="003E72C3"/>
    <w:rsid w:val="003E746B"/>
    <w:rsid w:val="003E75B3"/>
    <w:rsid w:val="003E782C"/>
    <w:rsid w:val="003E795D"/>
    <w:rsid w:val="003E7ACB"/>
    <w:rsid w:val="003E7B43"/>
    <w:rsid w:val="003E7CBB"/>
    <w:rsid w:val="003F0480"/>
    <w:rsid w:val="003F0708"/>
    <w:rsid w:val="003F07ED"/>
    <w:rsid w:val="003F0952"/>
    <w:rsid w:val="003F0A41"/>
    <w:rsid w:val="003F0A82"/>
    <w:rsid w:val="003F0D35"/>
    <w:rsid w:val="003F0E62"/>
    <w:rsid w:val="003F0E83"/>
    <w:rsid w:val="003F115B"/>
    <w:rsid w:val="003F1316"/>
    <w:rsid w:val="003F14E0"/>
    <w:rsid w:val="003F19CC"/>
    <w:rsid w:val="003F19D8"/>
    <w:rsid w:val="003F1AC6"/>
    <w:rsid w:val="003F1BA0"/>
    <w:rsid w:val="003F1BA4"/>
    <w:rsid w:val="003F1FE0"/>
    <w:rsid w:val="003F2293"/>
    <w:rsid w:val="003F2663"/>
    <w:rsid w:val="003F3725"/>
    <w:rsid w:val="003F38D8"/>
    <w:rsid w:val="003F3F9C"/>
    <w:rsid w:val="003F4155"/>
    <w:rsid w:val="003F47DD"/>
    <w:rsid w:val="003F4C29"/>
    <w:rsid w:val="003F4CF9"/>
    <w:rsid w:val="003F4E89"/>
    <w:rsid w:val="003F529B"/>
    <w:rsid w:val="003F5AF1"/>
    <w:rsid w:val="003F5C51"/>
    <w:rsid w:val="003F5D50"/>
    <w:rsid w:val="003F5E64"/>
    <w:rsid w:val="003F5EF7"/>
    <w:rsid w:val="003F5F61"/>
    <w:rsid w:val="003F62F9"/>
    <w:rsid w:val="003F6CC7"/>
    <w:rsid w:val="003F6DB4"/>
    <w:rsid w:val="003F7082"/>
    <w:rsid w:val="003F76F6"/>
    <w:rsid w:val="003F7840"/>
    <w:rsid w:val="003F78F9"/>
    <w:rsid w:val="003F792F"/>
    <w:rsid w:val="003F7D3C"/>
    <w:rsid w:val="003F7EE2"/>
    <w:rsid w:val="003F7F6D"/>
    <w:rsid w:val="00400264"/>
    <w:rsid w:val="004005E5"/>
    <w:rsid w:val="004006E3"/>
    <w:rsid w:val="004009E7"/>
    <w:rsid w:val="00400FA2"/>
    <w:rsid w:val="0040113D"/>
    <w:rsid w:val="0040140D"/>
    <w:rsid w:val="004014ED"/>
    <w:rsid w:val="0040165E"/>
    <w:rsid w:val="0040195D"/>
    <w:rsid w:val="00401BA6"/>
    <w:rsid w:val="00401E8F"/>
    <w:rsid w:val="00401FFE"/>
    <w:rsid w:val="00402006"/>
    <w:rsid w:val="00402AA3"/>
    <w:rsid w:val="00402C0E"/>
    <w:rsid w:val="00402DC5"/>
    <w:rsid w:val="00402EE5"/>
    <w:rsid w:val="004030F6"/>
    <w:rsid w:val="004032B5"/>
    <w:rsid w:val="00403776"/>
    <w:rsid w:val="004039D9"/>
    <w:rsid w:val="00403A38"/>
    <w:rsid w:val="00403C52"/>
    <w:rsid w:val="00403D64"/>
    <w:rsid w:val="00403ECD"/>
    <w:rsid w:val="0040404F"/>
    <w:rsid w:val="00404180"/>
    <w:rsid w:val="0040426A"/>
    <w:rsid w:val="0040436F"/>
    <w:rsid w:val="004045B8"/>
    <w:rsid w:val="004046AF"/>
    <w:rsid w:val="004048E2"/>
    <w:rsid w:val="00404B2F"/>
    <w:rsid w:val="00405897"/>
    <w:rsid w:val="00405C53"/>
    <w:rsid w:val="00405F30"/>
    <w:rsid w:val="00406029"/>
    <w:rsid w:val="00406698"/>
    <w:rsid w:val="00406B1F"/>
    <w:rsid w:val="00406B22"/>
    <w:rsid w:val="00406CA6"/>
    <w:rsid w:val="00406D19"/>
    <w:rsid w:val="00406E1D"/>
    <w:rsid w:val="00406FC8"/>
    <w:rsid w:val="00407160"/>
    <w:rsid w:val="00407376"/>
    <w:rsid w:val="0040758E"/>
    <w:rsid w:val="0040764E"/>
    <w:rsid w:val="00407773"/>
    <w:rsid w:val="004077AF"/>
    <w:rsid w:val="00407B89"/>
    <w:rsid w:val="00407F1E"/>
    <w:rsid w:val="00407F30"/>
    <w:rsid w:val="00410033"/>
    <w:rsid w:val="00410045"/>
    <w:rsid w:val="0041012A"/>
    <w:rsid w:val="00410C19"/>
    <w:rsid w:val="0041103D"/>
    <w:rsid w:val="00411220"/>
    <w:rsid w:val="00411AE7"/>
    <w:rsid w:val="00411B7B"/>
    <w:rsid w:val="00411E66"/>
    <w:rsid w:val="004121A4"/>
    <w:rsid w:val="0041236D"/>
    <w:rsid w:val="004125EE"/>
    <w:rsid w:val="004129FA"/>
    <w:rsid w:val="00412B18"/>
    <w:rsid w:val="00412CA9"/>
    <w:rsid w:val="00412CC6"/>
    <w:rsid w:val="00412E63"/>
    <w:rsid w:val="0041312A"/>
    <w:rsid w:val="00413507"/>
    <w:rsid w:val="00413CAF"/>
    <w:rsid w:val="004140E9"/>
    <w:rsid w:val="00414267"/>
    <w:rsid w:val="00414637"/>
    <w:rsid w:val="004149B1"/>
    <w:rsid w:val="00414BEF"/>
    <w:rsid w:val="00415028"/>
    <w:rsid w:val="00415163"/>
    <w:rsid w:val="00415408"/>
    <w:rsid w:val="0041570A"/>
    <w:rsid w:val="00415A7F"/>
    <w:rsid w:val="00415E9C"/>
    <w:rsid w:val="00416707"/>
    <w:rsid w:val="0041683A"/>
    <w:rsid w:val="00416977"/>
    <w:rsid w:val="00416D7B"/>
    <w:rsid w:val="00416E4D"/>
    <w:rsid w:val="004173AF"/>
    <w:rsid w:val="0041746E"/>
    <w:rsid w:val="004174B1"/>
    <w:rsid w:val="004174EE"/>
    <w:rsid w:val="00417589"/>
    <w:rsid w:val="00417A66"/>
    <w:rsid w:val="00417AD6"/>
    <w:rsid w:val="00417D71"/>
    <w:rsid w:val="00417FA2"/>
    <w:rsid w:val="00420048"/>
    <w:rsid w:val="004202FA"/>
    <w:rsid w:val="00420484"/>
    <w:rsid w:val="004209E6"/>
    <w:rsid w:val="00420CA1"/>
    <w:rsid w:val="0042133E"/>
    <w:rsid w:val="0042157B"/>
    <w:rsid w:val="0042173A"/>
    <w:rsid w:val="00421866"/>
    <w:rsid w:val="00421C06"/>
    <w:rsid w:val="00421F4E"/>
    <w:rsid w:val="0042216E"/>
    <w:rsid w:val="00422507"/>
    <w:rsid w:val="004226F6"/>
    <w:rsid w:val="00422BB9"/>
    <w:rsid w:val="004238FF"/>
    <w:rsid w:val="004239C2"/>
    <w:rsid w:val="00423C22"/>
    <w:rsid w:val="0042426A"/>
    <w:rsid w:val="004243A7"/>
    <w:rsid w:val="00424648"/>
    <w:rsid w:val="004246EC"/>
    <w:rsid w:val="0042492B"/>
    <w:rsid w:val="004249AD"/>
    <w:rsid w:val="00424E14"/>
    <w:rsid w:val="004256BE"/>
    <w:rsid w:val="0042579C"/>
    <w:rsid w:val="00425DAC"/>
    <w:rsid w:val="004260E5"/>
    <w:rsid w:val="0042618B"/>
    <w:rsid w:val="0042639E"/>
    <w:rsid w:val="00426BA3"/>
    <w:rsid w:val="004271E0"/>
    <w:rsid w:val="0042759C"/>
    <w:rsid w:val="004276B1"/>
    <w:rsid w:val="00427957"/>
    <w:rsid w:val="00430983"/>
    <w:rsid w:val="00430AF2"/>
    <w:rsid w:val="00430B91"/>
    <w:rsid w:val="00431288"/>
    <w:rsid w:val="00431FB5"/>
    <w:rsid w:val="0043226C"/>
    <w:rsid w:val="0043228E"/>
    <w:rsid w:val="00432434"/>
    <w:rsid w:val="00432469"/>
    <w:rsid w:val="004324DE"/>
    <w:rsid w:val="0043257E"/>
    <w:rsid w:val="00432625"/>
    <w:rsid w:val="0043264D"/>
    <w:rsid w:val="00432765"/>
    <w:rsid w:val="00432AEE"/>
    <w:rsid w:val="00433094"/>
    <w:rsid w:val="00433273"/>
    <w:rsid w:val="0043345A"/>
    <w:rsid w:val="00433596"/>
    <w:rsid w:val="004336D6"/>
    <w:rsid w:val="00433786"/>
    <w:rsid w:val="00433D83"/>
    <w:rsid w:val="00433FB7"/>
    <w:rsid w:val="004344A8"/>
    <w:rsid w:val="0043451B"/>
    <w:rsid w:val="00434AAD"/>
    <w:rsid w:val="00434B04"/>
    <w:rsid w:val="00434DC8"/>
    <w:rsid w:val="004351A6"/>
    <w:rsid w:val="00435492"/>
    <w:rsid w:val="004355AB"/>
    <w:rsid w:val="004358D8"/>
    <w:rsid w:val="00435A6E"/>
    <w:rsid w:val="00435A82"/>
    <w:rsid w:val="00436072"/>
    <w:rsid w:val="0043622E"/>
    <w:rsid w:val="004362BE"/>
    <w:rsid w:val="00436416"/>
    <w:rsid w:val="00436E07"/>
    <w:rsid w:val="00437218"/>
    <w:rsid w:val="0043728B"/>
    <w:rsid w:val="0043760D"/>
    <w:rsid w:val="004376E9"/>
    <w:rsid w:val="00437725"/>
    <w:rsid w:val="00437CBC"/>
    <w:rsid w:val="00437FF4"/>
    <w:rsid w:val="004400BC"/>
    <w:rsid w:val="0044082F"/>
    <w:rsid w:val="00440E2E"/>
    <w:rsid w:val="00440E3F"/>
    <w:rsid w:val="00440E50"/>
    <w:rsid w:val="004411C7"/>
    <w:rsid w:val="00441AB2"/>
    <w:rsid w:val="004422EA"/>
    <w:rsid w:val="00442B42"/>
    <w:rsid w:val="00442CBB"/>
    <w:rsid w:val="004437DB"/>
    <w:rsid w:val="00443A38"/>
    <w:rsid w:val="00443F3C"/>
    <w:rsid w:val="00443F58"/>
    <w:rsid w:val="00444276"/>
    <w:rsid w:val="004442EE"/>
    <w:rsid w:val="004444BA"/>
    <w:rsid w:val="004448EE"/>
    <w:rsid w:val="0044492F"/>
    <w:rsid w:val="004449EE"/>
    <w:rsid w:val="00444CDB"/>
    <w:rsid w:val="0044528D"/>
    <w:rsid w:val="00445312"/>
    <w:rsid w:val="0044535F"/>
    <w:rsid w:val="00445AAE"/>
    <w:rsid w:val="0044615A"/>
    <w:rsid w:val="0044619C"/>
    <w:rsid w:val="00446362"/>
    <w:rsid w:val="0044664B"/>
    <w:rsid w:val="004468F8"/>
    <w:rsid w:val="00446A64"/>
    <w:rsid w:val="00446B1E"/>
    <w:rsid w:val="00446FF7"/>
    <w:rsid w:val="0044705C"/>
    <w:rsid w:val="004473F8"/>
    <w:rsid w:val="0044744B"/>
    <w:rsid w:val="004474C3"/>
    <w:rsid w:val="00447A81"/>
    <w:rsid w:val="00447B41"/>
    <w:rsid w:val="00447E1E"/>
    <w:rsid w:val="00447FE4"/>
    <w:rsid w:val="00450F66"/>
    <w:rsid w:val="00451056"/>
    <w:rsid w:val="00451229"/>
    <w:rsid w:val="004513AA"/>
    <w:rsid w:val="004518F1"/>
    <w:rsid w:val="00451B1C"/>
    <w:rsid w:val="00451EEC"/>
    <w:rsid w:val="004521A2"/>
    <w:rsid w:val="004524C1"/>
    <w:rsid w:val="00452A5E"/>
    <w:rsid w:val="00452AB2"/>
    <w:rsid w:val="00452B7B"/>
    <w:rsid w:val="00452DDB"/>
    <w:rsid w:val="00452F05"/>
    <w:rsid w:val="004531F8"/>
    <w:rsid w:val="00453B91"/>
    <w:rsid w:val="00453CFC"/>
    <w:rsid w:val="00454082"/>
    <w:rsid w:val="00454228"/>
    <w:rsid w:val="0045422D"/>
    <w:rsid w:val="0045425D"/>
    <w:rsid w:val="00454342"/>
    <w:rsid w:val="0045456F"/>
    <w:rsid w:val="00454954"/>
    <w:rsid w:val="00454A7E"/>
    <w:rsid w:val="00454F29"/>
    <w:rsid w:val="0045527B"/>
    <w:rsid w:val="00455371"/>
    <w:rsid w:val="00456346"/>
    <w:rsid w:val="004563CD"/>
    <w:rsid w:val="00456445"/>
    <w:rsid w:val="00456BB6"/>
    <w:rsid w:val="00456EA2"/>
    <w:rsid w:val="0045726F"/>
    <w:rsid w:val="0045765F"/>
    <w:rsid w:val="0045771C"/>
    <w:rsid w:val="00457767"/>
    <w:rsid w:val="00457835"/>
    <w:rsid w:val="00457884"/>
    <w:rsid w:val="00457ED2"/>
    <w:rsid w:val="0046023D"/>
    <w:rsid w:val="004602C8"/>
    <w:rsid w:val="004605C5"/>
    <w:rsid w:val="004605EA"/>
    <w:rsid w:val="00460ADA"/>
    <w:rsid w:val="00460DC3"/>
    <w:rsid w:val="00460E62"/>
    <w:rsid w:val="00461341"/>
    <w:rsid w:val="004615E7"/>
    <w:rsid w:val="00461C1A"/>
    <w:rsid w:val="00461CC7"/>
    <w:rsid w:val="0046245E"/>
    <w:rsid w:val="0046248E"/>
    <w:rsid w:val="0046267A"/>
    <w:rsid w:val="0046280B"/>
    <w:rsid w:val="0046298E"/>
    <w:rsid w:val="004632C1"/>
    <w:rsid w:val="00463516"/>
    <w:rsid w:val="004635F4"/>
    <w:rsid w:val="00463B29"/>
    <w:rsid w:val="00463D93"/>
    <w:rsid w:val="00464057"/>
    <w:rsid w:val="00464069"/>
    <w:rsid w:val="004643AE"/>
    <w:rsid w:val="004649CD"/>
    <w:rsid w:val="004649D0"/>
    <w:rsid w:val="00464DA2"/>
    <w:rsid w:val="004653A4"/>
    <w:rsid w:val="00465424"/>
    <w:rsid w:val="0046559B"/>
    <w:rsid w:val="0046582A"/>
    <w:rsid w:val="0046621D"/>
    <w:rsid w:val="004667E2"/>
    <w:rsid w:val="004667F3"/>
    <w:rsid w:val="00466A75"/>
    <w:rsid w:val="00466BB0"/>
    <w:rsid w:val="00466D6E"/>
    <w:rsid w:val="004674A1"/>
    <w:rsid w:val="004675C8"/>
    <w:rsid w:val="004675FE"/>
    <w:rsid w:val="0046775B"/>
    <w:rsid w:val="00470064"/>
    <w:rsid w:val="004701BF"/>
    <w:rsid w:val="00470BA7"/>
    <w:rsid w:val="00470BFB"/>
    <w:rsid w:val="00470FAB"/>
    <w:rsid w:val="0047114F"/>
    <w:rsid w:val="004711BA"/>
    <w:rsid w:val="004714B5"/>
    <w:rsid w:val="004716E5"/>
    <w:rsid w:val="0047177B"/>
    <w:rsid w:val="0047185B"/>
    <w:rsid w:val="00471879"/>
    <w:rsid w:val="0047198A"/>
    <w:rsid w:val="0047198D"/>
    <w:rsid w:val="00471AA8"/>
    <w:rsid w:val="004721DA"/>
    <w:rsid w:val="004724AC"/>
    <w:rsid w:val="00472A87"/>
    <w:rsid w:val="00472B3B"/>
    <w:rsid w:val="00472CA8"/>
    <w:rsid w:val="00472CD3"/>
    <w:rsid w:val="00472DDB"/>
    <w:rsid w:val="00473241"/>
    <w:rsid w:val="00473422"/>
    <w:rsid w:val="00473439"/>
    <w:rsid w:val="00473B68"/>
    <w:rsid w:val="004749E0"/>
    <w:rsid w:val="00474A6B"/>
    <w:rsid w:val="00474AB0"/>
    <w:rsid w:val="00474BB7"/>
    <w:rsid w:val="00475111"/>
    <w:rsid w:val="004751D7"/>
    <w:rsid w:val="004756C1"/>
    <w:rsid w:val="00475936"/>
    <w:rsid w:val="00475E67"/>
    <w:rsid w:val="00476229"/>
    <w:rsid w:val="004762A8"/>
    <w:rsid w:val="00476331"/>
    <w:rsid w:val="00476427"/>
    <w:rsid w:val="00476637"/>
    <w:rsid w:val="00476A5B"/>
    <w:rsid w:val="00476A8F"/>
    <w:rsid w:val="00476C20"/>
    <w:rsid w:val="00477696"/>
    <w:rsid w:val="00477A3D"/>
    <w:rsid w:val="004800B8"/>
    <w:rsid w:val="004803FF"/>
    <w:rsid w:val="00480AE9"/>
    <w:rsid w:val="00480B4F"/>
    <w:rsid w:val="00480BC2"/>
    <w:rsid w:val="00481310"/>
    <w:rsid w:val="00481869"/>
    <w:rsid w:val="00481AF4"/>
    <w:rsid w:val="00481CAA"/>
    <w:rsid w:val="00481D14"/>
    <w:rsid w:val="00481D3A"/>
    <w:rsid w:val="0048215A"/>
    <w:rsid w:val="00482549"/>
    <w:rsid w:val="00482B51"/>
    <w:rsid w:val="00482C0D"/>
    <w:rsid w:val="00482E4A"/>
    <w:rsid w:val="00482F42"/>
    <w:rsid w:val="004830D6"/>
    <w:rsid w:val="004832E0"/>
    <w:rsid w:val="00483450"/>
    <w:rsid w:val="0048363B"/>
    <w:rsid w:val="00483EB6"/>
    <w:rsid w:val="00483F19"/>
    <w:rsid w:val="004843E8"/>
    <w:rsid w:val="004844A2"/>
    <w:rsid w:val="0048457F"/>
    <w:rsid w:val="00484F60"/>
    <w:rsid w:val="00484FE0"/>
    <w:rsid w:val="00485132"/>
    <w:rsid w:val="004852AE"/>
    <w:rsid w:val="004852F7"/>
    <w:rsid w:val="004853FA"/>
    <w:rsid w:val="0048549C"/>
    <w:rsid w:val="00485598"/>
    <w:rsid w:val="00485B02"/>
    <w:rsid w:val="00486071"/>
    <w:rsid w:val="00486607"/>
    <w:rsid w:val="004866E0"/>
    <w:rsid w:val="004866EA"/>
    <w:rsid w:val="00486A3A"/>
    <w:rsid w:val="00486C86"/>
    <w:rsid w:val="00487096"/>
    <w:rsid w:val="0048725E"/>
    <w:rsid w:val="00487548"/>
    <w:rsid w:val="00487C4D"/>
    <w:rsid w:val="00487D95"/>
    <w:rsid w:val="00490039"/>
    <w:rsid w:val="0049011B"/>
    <w:rsid w:val="0049028E"/>
    <w:rsid w:val="0049086D"/>
    <w:rsid w:val="00490A81"/>
    <w:rsid w:val="00490B14"/>
    <w:rsid w:val="00490CDD"/>
    <w:rsid w:val="00490E0A"/>
    <w:rsid w:val="00490EF9"/>
    <w:rsid w:val="0049101A"/>
    <w:rsid w:val="0049126B"/>
    <w:rsid w:val="004913B3"/>
    <w:rsid w:val="004915B2"/>
    <w:rsid w:val="004916DC"/>
    <w:rsid w:val="004917C4"/>
    <w:rsid w:val="004917E5"/>
    <w:rsid w:val="0049184C"/>
    <w:rsid w:val="00491854"/>
    <w:rsid w:val="00491BCA"/>
    <w:rsid w:val="0049213C"/>
    <w:rsid w:val="004923DA"/>
    <w:rsid w:val="0049286D"/>
    <w:rsid w:val="004931E9"/>
    <w:rsid w:val="004933BD"/>
    <w:rsid w:val="004942AC"/>
    <w:rsid w:val="0049434B"/>
    <w:rsid w:val="004943F7"/>
    <w:rsid w:val="004943F8"/>
    <w:rsid w:val="00494735"/>
    <w:rsid w:val="0049496F"/>
    <w:rsid w:val="00494E37"/>
    <w:rsid w:val="00494F1B"/>
    <w:rsid w:val="004952D6"/>
    <w:rsid w:val="004955AA"/>
    <w:rsid w:val="0049570E"/>
    <w:rsid w:val="00495BF7"/>
    <w:rsid w:val="004962E7"/>
    <w:rsid w:val="00496A6A"/>
    <w:rsid w:val="004974BC"/>
    <w:rsid w:val="004974E8"/>
    <w:rsid w:val="00497532"/>
    <w:rsid w:val="00497A30"/>
    <w:rsid w:val="00497B27"/>
    <w:rsid w:val="004A04BD"/>
    <w:rsid w:val="004A04CC"/>
    <w:rsid w:val="004A04E9"/>
    <w:rsid w:val="004A0779"/>
    <w:rsid w:val="004A0AB1"/>
    <w:rsid w:val="004A0B10"/>
    <w:rsid w:val="004A0B9F"/>
    <w:rsid w:val="004A0C3E"/>
    <w:rsid w:val="004A0C5C"/>
    <w:rsid w:val="004A105C"/>
    <w:rsid w:val="004A10E3"/>
    <w:rsid w:val="004A124F"/>
    <w:rsid w:val="004A149D"/>
    <w:rsid w:val="004A16FB"/>
    <w:rsid w:val="004A191C"/>
    <w:rsid w:val="004A1AEB"/>
    <w:rsid w:val="004A1C0A"/>
    <w:rsid w:val="004A1CD3"/>
    <w:rsid w:val="004A1D7A"/>
    <w:rsid w:val="004A2074"/>
    <w:rsid w:val="004A2703"/>
    <w:rsid w:val="004A29C0"/>
    <w:rsid w:val="004A3346"/>
    <w:rsid w:val="004A34F1"/>
    <w:rsid w:val="004A3614"/>
    <w:rsid w:val="004A36E1"/>
    <w:rsid w:val="004A39EE"/>
    <w:rsid w:val="004A498A"/>
    <w:rsid w:val="004A4A38"/>
    <w:rsid w:val="004A4EBE"/>
    <w:rsid w:val="004A50DB"/>
    <w:rsid w:val="004A57A5"/>
    <w:rsid w:val="004A5B38"/>
    <w:rsid w:val="004A5B7D"/>
    <w:rsid w:val="004A5ECD"/>
    <w:rsid w:val="004A6546"/>
    <w:rsid w:val="004A65B9"/>
    <w:rsid w:val="004A6D01"/>
    <w:rsid w:val="004A6F4E"/>
    <w:rsid w:val="004A713D"/>
    <w:rsid w:val="004A7319"/>
    <w:rsid w:val="004A73F9"/>
    <w:rsid w:val="004A74F5"/>
    <w:rsid w:val="004A7520"/>
    <w:rsid w:val="004A7BB1"/>
    <w:rsid w:val="004A7BB4"/>
    <w:rsid w:val="004A7E28"/>
    <w:rsid w:val="004A7EB2"/>
    <w:rsid w:val="004B0101"/>
    <w:rsid w:val="004B09BA"/>
    <w:rsid w:val="004B0A92"/>
    <w:rsid w:val="004B0F1E"/>
    <w:rsid w:val="004B0FCD"/>
    <w:rsid w:val="004B1915"/>
    <w:rsid w:val="004B2170"/>
    <w:rsid w:val="004B2190"/>
    <w:rsid w:val="004B23B6"/>
    <w:rsid w:val="004B2559"/>
    <w:rsid w:val="004B27A6"/>
    <w:rsid w:val="004B3787"/>
    <w:rsid w:val="004B3DB4"/>
    <w:rsid w:val="004B4182"/>
    <w:rsid w:val="004B4469"/>
    <w:rsid w:val="004B490B"/>
    <w:rsid w:val="004B5084"/>
    <w:rsid w:val="004B5BA8"/>
    <w:rsid w:val="004B615C"/>
    <w:rsid w:val="004B641B"/>
    <w:rsid w:val="004B684F"/>
    <w:rsid w:val="004B6869"/>
    <w:rsid w:val="004B6C61"/>
    <w:rsid w:val="004B71D3"/>
    <w:rsid w:val="004B72CF"/>
    <w:rsid w:val="004B731C"/>
    <w:rsid w:val="004B743C"/>
    <w:rsid w:val="004B7644"/>
    <w:rsid w:val="004B7671"/>
    <w:rsid w:val="004B78DD"/>
    <w:rsid w:val="004B7A08"/>
    <w:rsid w:val="004B7C1D"/>
    <w:rsid w:val="004B7C9A"/>
    <w:rsid w:val="004C02C0"/>
    <w:rsid w:val="004C049E"/>
    <w:rsid w:val="004C0D17"/>
    <w:rsid w:val="004C0D8C"/>
    <w:rsid w:val="004C106F"/>
    <w:rsid w:val="004C11BF"/>
    <w:rsid w:val="004C1362"/>
    <w:rsid w:val="004C1618"/>
    <w:rsid w:val="004C1636"/>
    <w:rsid w:val="004C1B60"/>
    <w:rsid w:val="004C1F0B"/>
    <w:rsid w:val="004C200C"/>
    <w:rsid w:val="004C2022"/>
    <w:rsid w:val="004C20FC"/>
    <w:rsid w:val="004C2570"/>
    <w:rsid w:val="004C2C5D"/>
    <w:rsid w:val="004C33F0"/>
    <w:rsid w:val="004C343C"/>
    <w:rsid w:val="004C36CD"/>
    <w:rsid w:val="004C3C6F"/>
    <w:rsid w:val="004C3F97"/>
    <w:rsid w:val="004C3FC9"/>
    <w:rsid w:val="004C4166"/>
    <w:rsid w:val="004C4CEF"/>
    <w:rsid w:val="004C4D43"/>
    <w:rsid w:val="004C5461"/>
    <w:rsid w:val="004C5924"/>
    <w:rsid w:val="004C5930"/>
    <w:rsid w:val="004C5A4D"/>
    <w:rsid w:val="004C5D82"/>
    <w:rsid w:val="004C608D"/>
    <w:rsid w:val="004C616D"/>
    <w:rsid w:val="004C68BD"/>
    <w:rsid w:val="004C7121"/>
    <w:rsid w:val="004C716F"/>
    <w:rsid w:val="004C7492"/>
    <w:rsid w:val="004C791C"/>
    <w:rsid w:val="004C793F"/>
    <w:rsid w:val="004C7942"/>
    <w:rsid w:val="004C7A4B"/>
    <w:rsid w:val="004C7C11"/>
    <w:rsid w:val="004C7C21"/>
    <w:rsid w:val="004C7E52"/>
    <w:rsid w:val="004C7FB0"/>
    <w:rsid w:val="004C7FD5"/>
    <w:rsid w:val="004D0321"/>
    <w:rsid w:val="004D075F"/>
    <w:rsid w:val="004D0784"/>
    <w:rsid w:val="004D07C2"/>
    <w:rsid w:val="004D1046"/>
    <w:rsid w:val="004D10C5"/>
    <w:rsid w:val="004D132F"/>
    <w:rsid w:val="004D1560"/>
    <w:rsid w:val="004D18F7"/>
    <w:rsid w:val="004D1B00"/>
    <w:rsid w:val="004D1B04"/>
    <w:rsid w:val="004D1F37"/>
    <w:rsid w:val="004D1F3A"/>
    <w:rsid w:val="004D20C4"/>
    <w:rsid w:val="004D20C8"/>
    <w:rsid w:val="004D22C3"/>
    <w:rsid w:val="004D24DC"/>
    <w:rsid w:val="004D277B"/>
    <w:rsid w:val="004D2978"/>
    <w:rsid w:val="004D383B"/>
    <w:rsid w:val="004D39FC"/>
    <w:rsid w:val="004D3D1D"/>
    <w:rsid w:val="004D3D94"/>
    <w:rsid w:val="004D401E"/>
    <w:rsid w:val="004D4027"/>
    <w:rsid w:val="004D41F6"/>
    <w:rsid w:val="004D44A5"/>
    <w:rsid w:val="004D44D6"/>
    <w:rsid w:val="004D469D"/>
    <w:rsid w:val="004D493C"/>
    <w:rsid w:val="004D4BDF"/>
    <w:rsid w:val="004D5002"/>
    <w:rsid w:val="004D5129"/>
    <w:rsid w:val="004D5461"/>
    <w:rsid w:val="004D57C9"/>
    <w:rsid w:val="004D5B3D"/>
    <w:rsid w:val="004D5E1C"/>
    <w:rsid w:val="004D5EEE"/>
    <w:rsid w:val="004D615D"/>
    <w:rsid w:val="004D6307"/>
    <w:rsid w:val="004D6389"/>
    <w:rsid w:val="004D6442"/>
    <w:rsid w:val="004D6B39"/>
    <w:rsid w:val="004D70F6"/>
    <w:rsid w:val="004D7577"/>
    <w:rsid w:val="004D766E"/>
    <w:rsid w:val="004D7776"/>
    <w:rsid w:val="004D786A"/>
    <w:rsid w:val="004D7E47"/>
    <w:rsid w:val="004E0073"/>
    <w:rsid w:val="004E02B8"/>
    <w:rsid w:val="004E03DD"/>
    <w:rsid w:val="004E04AA"/>
    <w:rsid w:val="004E0532"/>
    <w:rsid w:val="004E0892"/>
    <w:rsid w:val="004E092A"/>
    <w:rsid w:val="004E095D"/>
    <w:rsid w:val="004E0BD5"/>
    <w:rsid w:val="004E1033"/>
    <w:rsid w:val="004E103E"/>
    <w:rsid w:val="004E11B4"/>
    <w:rsid w:val="004E15EE"/>
    <w:rsid w:val="004E175D"/>
    <w:rsid w:val="004E17FA"/>
    <w:rsid w:val="004E190D"/>
    <w:rsid w:val="004E1923"/>
    <w:rsid w:val="004E1A7E"/>
    <w:rsid w:val="004E1CB2"/>
    <w:rsid w:val="004E1E7A"/>
    <w:rsid w:val="004E1E8D"/>
    <w:rsid w:val="004E2389"/>
    <w:rsid w:val="004E2904"/>
    <w:rsid w:val="004E2ACF"/>
    <w:rsid w:val="004E2E41"/>
    <w:rsid w:val="004E320F"/>
    <w:rsid w:val="004E33CC"/>
    <w:rsid w:val="004E3464"/>
    <w:rsid w:val="004E3706"/>
    <w:rsid w:val="004E3883"/>
    <w:rsid w:val="004E38FD"/>
    <w:rsid w:val="004E425B"/>
    <w:rsid w:val="004E428B"/>
    <w:rsid w:val="004E44E0"/>
    <w:rsid w:val="004E46E9"/>
    <w:rsid w:val="004E518F"/>
    <w:rsid w:val="004E53FA"/>
    <w:rsid w:val="004E568E"/>
    <w:rsid w:val="004E583B"/>
    <w:rsid w:val="004E5AED"/>
    <w:rsid w:val="004E5DBC"/>
    <w:rsid w:val="004E5F51"/>
    <w:rsid w:val="004E6058"/>
    <w:rsid w:val="004E6081"/>
    <w:rsid w:val="004E6421"/>
    <w:rsid w:val="004E68FA"/>
    <w:rsid w:val="004E69BA"/>
    <w:rsid w:val="004E6AC4"/>
    <w:rsid w:val="004E6F20"/>
    <w:rsid w:val="004E7033"/>
    <w:rsid w:val="004E72A9"/>
    <w:rsid w:val="004E72B6"/>
    <w:rsid w:val="004E7718"/>
    <w:rsid w:val="004F002B"/>
    <w:rsid w:val="004F0538"/>
    <w:rsid w:val="004F079E"/>
    <w:rsid w:val="004F0921"/>
    <w:rsid w:val="004F0928"/>
    <w:rsid w:val="004F0C02"/>
    <w:rsid w:val="004F0C1A"/>
    <w:rsid w:val="004F0D2D"/>
    <w:rsid w:val="004F152B"/>
    <w:rsid w:val="004F15E6"/>
    <w:rsid w:val="004F1855"/>
    <w:rsid w:val="004F19F8"/>
    <w:rsid w:val="004F1B07"/>
    <w:rsid w:val="004F1E41"/>
    <w:rsid w:val="004F1FC4"/>
    <w:rsid w:val="004F232F"/>
    <w:rsid w:val="004F260F"/>
    <w:rsid w:val="004F265B"/>
    <w:rsid w:val="004F2B7E"/>
    <w:rsid w:val="004F2C0B"/>
    <w:rsid w:val="004F2C91"/>
    <w:rsid w:val="004F30F9"/>
    <w:rsid w:val="004F32B7"/>
    <w:rsid w:val="004F33DF"/>
    <w:rsid w:val="004F3C11"/>
    <w:rsid w:val="004F3E39"/>
    <w:rsid w:val="004F3E8C"/>
    <w:rsid w:val="004F460B"/>
    <w:rsid w:val="004F471C"/>
    <w:rsid w:val="004F490C"/>
    <w:rsid w:val="004F4941"/>
    <w:rsid w:val="004F4A85"/>
    <w:rsid w:val="004F4CE9"/>
    <w:rsid w:val="004F4F11"/>
    <w:rsid w:val="004F5281"/>
    <w:rsid w:val="004F5457"/>
    <w:rsid w:val="004F5553"/>
    <w:rsid w:val="004F5565"/>
    <w:rsid w:val="004F5652"/>
    <w:rsid w:val="004F5662"/>
    <w:rsid w:val="004F5FBE"/>
    <w:rsid w:val="004F612A"/>
    <w:rsid w:val="004F61E2"/>
    <w:rsid w:val="004F63D5"/>
    <w:rsid w:val="004F649F"/>
    <w:rsid w:val="004F6665"/>
    <w:rsid w:val="004F675D"/>
    <w:rsid w:val="004F6798"/>
    <w:rsid w:val="004F6C82"/>
    <w:rsid w:val="004F72CC"/>
    <w:rsid w:val="004F74CC"/>
    <w:rsid w:val="004F7AF5"/>
    <w:rsid w:val="004F7FB8"/>
    <w:rsid w:val="005000B5"/>
    <w:rsid w:val="005001A5"/>
    <w:rsid w:val="005009F9"/>
    <w:rsid w:val="00500B21"/>
    <w:rsid w:val="005010EC"/>
    <w:rsid w:val="005012C1"/>
    <w:rsid w:val="005013C9"/>
    <w:rsid w:val="005015B3"/>
    <w:rsid w:val="00501956"/>
    <w:rsid w:val="00501A7E"/>
    <w:rsid w:val="00501A88"/>
    <w:rsid w:val="00501C00"/>
    <w:rsid w:val="00501C44"/>
    <w:rsid w:val="0050223A"/>
    <w:rsid w:val="00502AD3"/>
    <w:rsid w:val="00502ADE"/>
    <w:rsid w:val="00502B5F"/>
    <w:rsid w:val="00502BB4"/>
    <w:rsid w:val="00502D1A"/>
    <w:rsid w:val="00502DB9"/>
    <w:rsid w:val="00502EE8"/>
    <w:rsid w:val="005031D8"/>
    <w:rsid w:val="005035F1"/>
    <w:rsid w:val="00503B33"/>
    <w:rsid w:val="00503C51"/>
    <w:rsid w:val="00503DEF"/>
    <w:rsid w:val="00503DF4"/>
    <w:rsid w:val="00504684"/>
    <w:rsid w:val="00504BA3"/>
    <w:rsid w:val="00504D47"/>
    <w:rsid w:val="0050538F"/>
    <w:rsid w:val="0050567D"/>
    <w:rsid w:val="00505708"/>
    <w:rsid w:val="0050588B"/>
    <w:rsid w:val="00505E67"/>
    <w:rsid w:val="00505EE2"/>
    <w:rsid w:val="00505EE8"/>
    <w:rsid w:val="00506006"/>
    <w:rsid w:val="0050629C"/>
    <w:rsid w:val="005065F8"/>
    <w:rsid w:val="0050674A"/>
    <w:rsid w:val="005067C4"/>
    <w:rsid w:val="00506A95"/>
    <w:rsid w:val="00506E11"/>
    <w:rsid w:val="00506E4D"/>
    <w:rsid w:val="00507650"/>
    <w:rsid w:val="0050767B"/>
    <w:rsid w:val="00510056"/>
    <w:rsid w:val="00510215"/>
    <w:rsid w:val="00510510"/>
    <w:rsid w:val="005107D5"/>
    <w:rsid w:val="00510B78"/>
    <w:rsid w:val="00510E52"/>
    <w:rsid w:val="00510ED0"/>
    <w:rsid w:val="00511BAB"/>
    <w:rsid w:val="00511EE8"/>
    <w:rsid w:val="00511F7A"/>
    <w:rsid w:val="00512361"/>
    <w:rsid w:val="00512801"/>
    <w:rsid w:val="0051304B"/>
    <w:rsid w:val="00513215"/>
    <w:rsid w:val="0051342A"/>
    <w:rsid w:val="005138D1"/>
    <w:rsid w:val="00513951"/>
    <w:rsid w:val="00513A68"/>
    <w:rsid w:val="00513B70"/>
    <w:rsid w:val="00513CB0"/>
    <w:rsid w:val="00513E59"/>
    <w:rsid w:val="00513FB8"/>
    <w:rsid w:val="00514180"/>
    <w:rsid w:val="00514242"/>
    <w:rsid w:val="0051426D"/>
    <w:rsid w:val="005143DC"/>
    <w:rsid w:val="00514418"/>
    <w:rsid w:val="005147CD"/>
    <w:rsid w:val="00514F01"/>
    <w:rsid w:val="00514FF1"/>
    <w:rsid w:val="00514FFE"/>
    <w:rsid w:val="0051500A"/>
    <w:rsid w:val="0051526B"/>
    <w:rsid w:val="00515535"/>
    <w:rsid w:val="0051564B"/>
    <w:rsid w:val="00515909"/>
    <w:rsid w:val="0051633F"/>
    <w:rsid w:val="00516735"/>
    <w:rsid w:val="0051674A"/>
    <w:rsid w:val="00517244"/>
    <w:rsid w:val="0051745D"/>
    <w:rsid w:val="005174BA"/>
    <w:rsid w:val="005178E0"/>
    <w:rsid w:val="00517D93"/>
    <w:rsid w:val="005204DF"/>
    <w:rsid w:val="005213F8"/>
    <w:rsid w:val="00521484"/>
    <w:rsid w:val="0052151D"/>
    <w:rsid w:val="005216B0"/>
    <w:rsid w:val="00521762"/>
    <w:rsid w:val="00521EC9"/>
    <w:rsid w:val="005220E6"/>
    <w:rsid w:val="00522104"/>
    <w:rsid w:val="00522204"/>
    <w:rsid w:val="005227CB"/>
    <w:rsid w:val="005228DD"/>
    <w:rsid w:val="00523039"/>
    <w:rsid w:val="0052318E"/>
    <w:rsid w:val="00523258"/>
    <w:rsid w:val="00523358"/>
    <w:rsid w:val="00523918"/>
    <w:rsid w:val="00523FF4"/>
    <w:rsid w:val="005246A2"/>
    <w:rsid w:val="0052493D"/>
    <w:rsid w:val="00524A7D"/>
    <w:rsid w:val="00524CBF"/>
    <w:rsid w:val="005258EE"/>
    <w:rsid w:val="00525BD9"/>
    <w:rsid w:val="00525FF1"/>
    <w:rsid w:val="00525FF2"/>
    <w:rsid w:val="0052614C"/>
    <w:rsid w:val="00526612"/>
    <w:rsid w:val="00526679"/>
    <w:rsid w:val="005268A2"/>
    <w:rsid w:val="00526A08"/>
    <w:rsid w:val="00526AAE"/>
    <w:rsid w:val="00526BF9"/>
    <w:rsid w:val="00526EF7"/>
    <w:rsid w:val="00527067"/>
    <w:rsid w:val="00527434"/>
    <w:rsid w:val="0052748B"/>
    <w:rsid w:val="005274A0"/>
    <w:rsid w:val="00527C68"/>
    <w:rsid w:val="00527D87"/>
    <w:rsid w:val="00527E76"/>
    <w:rsid w:val="0053000E"/>
    <w:rsid w:val="0053016C"/>
    <w:rsid w:val="005304B2"/>
    <w:rsid w:val="00530B13"/>
    <w:rsid w:val="00530B61"/>
    <w:rsid w:val="00530C2D"/>
    <w:rsid w:val="00530C79"/>
    <w:rsid w:val="005311D1"/>
    <w:rsid w:val="00531257"/>
    <w:rsid w:val="005319B8"/>
    <w:rsid w:val="005319F2"/>
    <w:rsid w:val="00531A91"/>
    <w:rsid w:val="00531B2B"/>
    <w:rsid w:val="00531E79"/>
    <w:rsid w:val="00531F18"/>
    <w:rsid w:val="00531FB8"/>
    <w:rsid w:val="00532066"/>
    <w:rsid w:val="0053207C"/>
    <w:rsid w:val="0053230E"/>
    <w:rsid w:val="005323E4"/>
    <w:rsid w:val="0053251E"/>
    <w:rsid w:val="00532ADD"/>
    <w:rsid w:val="00532D53"/>
    <w:rsid w:val="00532E79"/>
    <w:rsid w:val="00533E31"/>
    <w:rsid w:val="00534074"/>
    <w:rsid w:val="00534133"/>
    <w:rsid w:val="00534315"/>
    <w:rsid w:val="00534953"/>
    <w:rsid w:val="00534E63"/>
    <w:rsid w:val="00535909"/>
    <w:rsid w:val="00535DC9"/>
    <w:rsid w:val="0053620B"/>
    <w:rsid w:val="0053655D"/>
    <w:rsid w:val="00536C55"/>
    <w:rsid w:val="005373A1"/>
    <w:rsid w:val="0053750E"/>
    <w:rsid w:val="0053799B"/>
    <w:rsid w:val="00537AEC"/>
    <w:rsid w:val="00537B38"/>
    <w:rsid w:val="00537B9A"/>
    <w:rsid w:val="00537C38"/>
    <w:rsid w:val="00537E02"/>
    <w:rsid w:val="00537F47"/>
    <w:rsid w:val="005400B0"/>
    <w:rsid w:val="00540330"/>
    <w:rsid w:val="0054048C"/>
    <w:rsid w:val="005408BC"/>
    <w:rsid w:val="0054093E"/>
    <w:rsid w:val="0054098C"/>
    <w:rsid w:val="00540F4A"/>
    <w:rsid w:val="005412A3"/>
    <w:rsid w:val="005414AF"/>
    <w:rsid w:val="0054156B"/>
    <w:rsid w:val="005415D2"/>
    <w:rsid w:val="00541707"/>
    <w:rsid w:val="0054172F"/>
    <w:rsid w:val="00541D98"/>
    <w:rsid w:val="00542081"/>
    <w:rsid w:val="00542427"/>
    <w:rsid w:val="005429B7"/>
    <w:rsid w:val="005431FB"/>
    <w:rsid w:val="00543768"/>
    <w:rsid w:val="0054412E"/>
    <w:rsid w:val="0054431B"/>
    <w:rsid w:val="005443D7"/>
    <w:rsid w:val="00544409"/>
    <w:rsid w:val="00544A19"/>
    <w:rsid w:val="00544A23"/>
    <w:rsid w:val="00544A34"/>
    <w:rsid w:val="00544B77"/>
    <w:rsid w:val="00544ED3"/>
    <w:rsid w:val="005452BA"/>
    <w:rsid w:val="00545443"/>
    <w:rsid w:val="005455B1"/>
    <w:rsid w:val="00545D03"/>
    <w:rsid w:val="00545FAE"/>
    <w:rsid w:val="00546AC3"/>
    <w:rsid w:val="00546ED0"/>
    <w:rsid w:val="00546F5C"/>
    <w:rsid w:val="00547AD7"/>
    <w:rsid w:val="00547B71"/>
    <w:rsid w:val="00550289"/>
    <w:rsid w:val="005504C9"/>
    <w:rsid w:val="00550675"/>
    <w:rsid w:val="00550E1D"/>
    <w:rsid w:val="0055121C"/>
    <w:rsid w:val="00551E9D"/>
    <w:rsid w:val="00552061"/>
    <w:rsid w:val="0055211B"/>
    <w:rsid w:val="00552EDD"/>
    <w:rsid w:val="0055306F"/>
    <w:rsid w:val="005531F0"/>
    <w:rsid w:val="00553307"/>
    <w:rsid w:val="005538CC"/>
    <w:rsid w:val="00553A0A"/>
    <w:rsid w:val="00553AF2"/>
    <w:rsid w:val="00553BB5"/>
    <w:rsid w:val="00553CDF"/>
    <w:rsid w:val="00553D3D"/>
    <w:rsid w:val="00553F98"/>
    <w:rsid w:val="00554DBA"/>
    <w:rsid w:val="00555755"/>
    <w:rsid w:val="0055629F"/>
    <w:rsid w:val="0055657C"/>
    <w:rsid w:val="005568DE"/>
    <w:rsid w:val="00556B03"/>
    <w:rsid w:val="00556E92"/>
    <w:rsid w:val="005574A0"/>
    <w:rsid w:val="005576F9"/>
    <w:rsid w:val="00557753"/>
    <w:rsid w:val="00557BB8"/>
    <w:rsid w:val="00557D77"/>
    <w:rsid w:val="00557E48"/>
    <w:rsid w:val="00557E4E"/>
    <w:rsid w:val="0056020F"/>
    <w:rsid w:val="00560761"/>
    <w:rsid w:val="0056096E"/>
    <w:rsid w:val="00560DFB"/>
    <w:rsid w:val="00561194"/>
    <w:rsid w:val="00561AFE"/>
    <w:rsid w:val="00562087"/>
    <w:rsid w:val="00562550"/>
    <w:rsid w:val="005628AB"/>
    <w:rsid w:val="005628C9"/>
    <w:rsid w:val="00562B61"/>
    <w:rsid w:val="00562C36"/>
    <w:rsid w:val="00562D7C"/>
    <w:rsid w:val="00562E8D"/>
    <w:rsid w:val="005634C4"/>
    <w:rsid w:val="00563647"/>
    <w:rsid w:val="00563775"/>
    <w:rsid w:val="00564083"/>
    <w:rsid w:val="005640D7"/>
    <w:rsid w:val="005647FD"/>
    <w:rsid w:val="005649B8"/>
    <w:rsid w:val="00564B8F"/>
    <w:rsid w:val="00564C2B"/>
    <w:rsid w:val="00564E07"/>
    <w:rsid w:val="00564F4D"/>
    <w:rsid w:val="00565115"/>
    <w:rsid w:val="0056541C"/>
    <w:rsid w:val="00565464"/>
    <w:rsid w:val="0056554C"/>
    <w:rsid w:val="00565697"/>
    <w:rsid w:val="005656B1"/>
    <w:rsid w:val="00565804"/>
    <w:rsid w:val="00565B04"/>
    <w:rsid w:val="00566421"/>
    <w:rsid w:val="005664E6"/>
    <w:rsid w:val="00566939"/>
    <w:rsid w:val="00566B3D"/>
    <w:rsid w:val="00566B54"/>
    <w:rsid w:val="00566D69"/>
    <w:rsid w:val="005672E5"/>
    <w:rsid w:val="00567725"/>
    <w:rsid w:val="00567759"/>
    <w:rsid w:val="00570630"/>
    <w:rsid w:val="00570DCA"/>
    <w:rsid w:val="00570E04"/>
    <w:rsid w:val="005710C3"/>
    <w:rsid w:val="005711CB"/>
    <w:rsid w:val="005711FB"/>
    <w:rsid w:val="00571339"/>
    <w:rsid w:val="00571350"/>
    <w:rsid w:val="00571DBC"/>
    <w:rsid w:val="00571F02"/>
    <w:rsid w:val="0057227A"/>
    <w:rsid w:val="00572582"/>
    <w:rsid w:val="0057292C"/>
    <w:rsid w:val="00573198"/>
    <w:rsid w:val="00573545"/>
    <w:rsid w:val="00573585"/>
    <w:rsid w:val="005736F5"/>
    <w:rsid w:val="00573B5A"/>
    <w:rsid w:val="005746B1"/>
    <w:rsid w:val="005748EA"/>
    <w:rsid w:val="0057494E"/>
    <w:rsid w:val="00574A47"/>
    <w:rsid w:val="00574CB8"/>
    <w:rsid w:val="0057522A"/>
    <w:rsid w:val="00575277"/>
    <w:rsid w:val="00575526"/>
    <w:rsid w:val="00575569"/>
    <w:rsid w:val="00575705"/>
    <w:rsid w:val="0057598F"/>
    <w:rsid w:val="00575E73"/>
    <w:rsid w:val="00575FEC"/>
    <w:rsid w:val="005764E7"/>
    <w:rsid w:val="0057683E"/>
    <w:rsid w:val="005769BC"/>
    <w:rsid w:val="005769E0"/>
    <w:rsid w:val="00576A3B"/>
    <w:rsid w:val="00576DBB"/>
    <w:rsid w:val="00576DD7"/>
    <w:rsid w:val="0057710F"/>
    <w:rsid w:val="0057724C"/>
    <w:rsid w:val="00577651"/>
    <w:rsid w:val="00577B78"/>
    <w:rsid w:val="00577D7D"/>
    <w:rsid w:val="00577DA9"/>
    <w:rsid w:val="00577E7A"/>
    <w:rsid w:val="00577EDF"/>
    <w:rsid w:val="00577F4C"/>
    <w:rsid w:val="00577FA2"/>
    <w:rsid w:val="0058077F"/>
    <w:rsid w:val="005807E2"/>
    <w:rsid w:val="00580D31"/>
    <w:rsid w:val="00580F76"/>
    <w:rsid w:val="0058123F"/>
    <w:rsid w:val="005813A8"/>
    <w:rsid w:val="005815DF"/>
    <w:rsid w:val="005817A1"/>
    <w:rsid w:val="00581AA9"/>
    <w:rsid w:val="00581C5A"/>
    <w:rsid w:val="0058203A"/>
    <w:rsid w:val="00582801"/>
    <w:rsid w:val="00582B64"/>
    <w:rsid w:val="00582E92"/>
    <w:rsid w:val="00583114"/>
    <w:rsid w:val="00583462"/>
    <w:rsid w:val="00583ABE"/>
    <w:rsid w:val="00583B11"/>
    <w:rsid w:val="00583BD4"/>
    <w:rsid w:val="00583DA6"/>
    <w:rsid w:val="00583DFB"/>
    <w:rsid w:val="00584219"/>
    <w:rsid w:val="00584260"/>
    <w:rsid w:val="0058493D"/>
    <w:rsid w:val="00584C79"/>
    <w:rsid w:val="00584D53"/>
    <w:rsid w:val="00584D96"/>
    <w:rsid w:val="00585076"/>
    <w:rsid w:val="005850C6"/>
    <w:rsid w:val="005852E5"/>
    <w:rsid w:val="00585425"/>
    <w:rsid w:val="005855F8"/>
    <w:rsid w:val="0058574D"/>
    <w:rsid w:val="00585957"/>
    <w:rsid w:val="00585C45"/>
    <w:rsid w:val="00585C63"/>
    <w:rsid w:val="00585E2F"/>
    <w:rsid w:val="005861B4"/>
    <w:rsid w:val="0058625C"/>
    <w:rsid w:val="0058631B"/>
    <w:rsid w:val="005863CB"/>
    <w:rsid w:val="005863F8"/>
    <w:rsid w:val="0058687C"/>
    <w:rsid w:val="00586F6C"/>
    <w:rsid w:val="00587015"/>
    <w:rsid w:val="0058707A"/>
    <w:rsid w:val="00587645"/>
    <w:rsid w:val="005876CA"/>
    <w:rsid w:val="00587AF5"/>
    <w:rsid w:val="00587D95"/>
    <w:rsid w:val="00587FF2"/>
    <w:rsid w:val="0059009F"/>
    <w:rsid w:val="0059027E"/>
    <w:rsid w:val="00590516"/>
    <w:rsid w:val="00590D10"/>
    <w:rsid w:val="00590F49"/>
    <w:rsid w:val="00591029"/>
    <w:rsid w:val="0059138F"/>
    <w:rsid w:val="0059150F"/>
    <w:rsid w:val="00591B64"/>
    <w:rsid w:val="00591DFA"/>
    <w:rsid w:val="00591F36"/>
    <w:rsid w:val="00592085"/>
    <w:rsid w:val="00592238"/>
    <w:rsid w:val="005925D5"/>
    <w:rsid w:val="005928CA"/>
    <w:rsid w:val="00592CCD"/>
    <w:rsid w:val="005931E5"/>
    <w:rsid w:val="0059321F"/>
    <w:rsid w:val="0059328B"/>
    <w:rsid w:val="005933EF"/>
    <w:rsid w:val="0059365E"/>
    <w:rsid w:val="005936AD"/>
    <w:rsid w:val="00593853"/>
    <w:rsid w:val="005942C0"/>
    <w:rsid w:val="00594352"/>
    <w:rsid w:val="005944E0"/>
    <w:rsid w:val="00594652"/>
    <w:rsid w:val="005946F0"/>
    <w:rsid w:val="00594A21"/>
    <w:rsid w:val="00594E3A"/>
    <w:rsid w:val="0059544F"/>
    <w:rsid w:val="00595650"/>
    <w:rsid w:val="00595668"/>
    <w:rsid w:val="00595698"/>
    <w:rsid w:val="00595DDD"/>
    <w:rsid w:val="005960B6"/>
    <w:rsid w:val="00596149"/>
    <w:rsid w:val="005961C2"/>
    <w:rsid w:val="00596244"/>
    <w:rsid w:val="005964DF"/>
    <w:rsid w:val="005967DC"/>
    <w:rsid w:val="00596A43"/>
    <w:rsid w:val="00596AF0"/>
    <w:rsid w:val="00596B7B"/>
    <w:rsid w:val="00596F91"/>
    <w:rsid w:val="00597134"/>
    <w:rsid w:val="00597443"/>
    <w:rsid w:val="0059759B"/>
    <w:rsid w:val="00597692"/>
    <w:rsid w:val="00597793"/>
    <w:rsid w:val="005979FB"/>
    <w:rsid w:val="00597E98"/>
    <w:rsid w:val="005A0066"/>
    <w:rsid w:val="005A0359"/>
    <w:rsid w:val="005A036A"/>
    <w:rsid w:val="005A1133"/>
    <w:rsid w:val="005A1485"/>
    <w:rsid w:val="005A14C2"/>
    <w:rsid w:val="005A20B7"/>
    <w:rsid w:val="005A22E8"/>
    <w:rsid w:val="005A2367"/>
    <w:rsid w:val="005A24FE"/>
    <w:rsid w:val="005A26A0"/>
    <w:rsid w:val="005A27A0"/>
    <w:rsid w:val="005A297F"/>
    <w:rsid w:val="005A2A46"/>
    <w:rsid w:val="005A2E67"/>
    <w:rsid w:val="005A2F67"/>
    <w:rsid w:val="005A339C"/>
    <w:rsid w:val="005A390E"/>
    <w:rsid w:val="005A3B21"/>
    <w:rsid w:val="005A3BCE"/>
    <w:rsid w:val="005A3EE8"/>
    <w:rsid w:val="005A42E3"/>
    <w:rsid w:val="005A44F3"/>
    <w:rsid w:val="005A46D6"/>
    <w:rsid w:val="005A4BA8"/>
    <w:rsid w:val="005A4CA8"/>
    <w:rsid w:val="005A4E13"/>
    <w:rsid w:val="005A526A"/>
    <w:rsid w:val="005A536A"/>
    <w:rsid w:val="005A53C6"/>
    <w:rsid w:val="005A5535"/>
    <w:rsid w:val="005A572D"/>
    <w:rsid w:val="005A58A7"/>
    <w:rsid w:val="005A5966"/>
    <w:rsid w:val="005A5A48"/>
    <w:rsid w:val="005A5AEB"/>
    <w:rsid w:val="005A5CEB"/>
    <w:rsid w:val="005A6A68"/>
    <w:rsid w:val="005A6E90"/>
    <w:rsid w:val="005A6EC6"/>
    <w:rsid w:val="005A6F6D"/>
    <w:rsid w:val="005A6FF9"/>
    <w:rsid w:val="005A7432"/>
    <w:rsid w:val="005A75C4"/>
    <w:rsid w:val="005B0517"/>
    <w:rsid w:val="005B0905"/>
    <w:rsid w:val="005B0994"/>
    <w:rsid w:val="005B116D"/>
    <w:rsid w:val="005B1453"/>
    <w:rsid w:val="005B1B57"/>
    <w:rsid w:val="005B1CB3"/>
    <w:rsid w:val="005B2600"/>
    <w:rsid w:val="005B2784"/>
    <w:rsid w:val="005B2800"/>
    <w:rsid w:val="005B286E"/>
    <w:rsid w:val="005B291A"/>
    <w:rsid w:val="005B2BB0"/>
    <w:rsid w:val="005B2CF3"/>
    <w:rsid w:val="005B2DE0"/>
    <w:rsid w:val="005B2F00"/>
    <w:rsid w:val="005B329A"/>
    <w:rsid w:val="005B3303"/>
    <w:rsid w:val="005B3D5D"/>
    <w:rsid w:val="005B459C"/>
    <w:rsid w:val="005B48AD"/>
    <w:rsid w:val="005B4BE9"/>
    <w:rsid w:val="005B4C29"/>
    <w:rsid w:val="005B4C32"/>
    <w:rsid w:val="005B4DD3"/>
    <w:rsid w:val="005B4FD9"/>
    <w:rsid w:val="005B5439"/>
    <w:rsid w:val="005B58BE"/>
    <w:rsid w:val="005B5932"/>
    <w:rsid w:val="005B5B93"/>
    <w:rsid w:val="005B5DFF"/>
    <w:rsid w:val="005B5E78"/>
    <w:rsid w:val="005B61BC"/>
    <w:rsid w:val="005B637E"/>
    <w:rsid w:val="005B6517"/>
    <w:rsid w:val="005B6727"/>
    <w:rsid w:val="005B6CD4"/>
    <w:rsid w:val="005B7144"/>
    <w:rsid w:val="005B74AA"/>
    <w:rsid w:val="005B7A05"/>
    <w:rsid w:val="005B7D11"/>
    <w:rsid w:val="005B7EAC"/>
    <w:rsid w:val="005C00BA"/>
    <w:rsid w:val="005C0909"/>
    <w:rsid w:val="005C1413"/>
    <w:rsid w:val="005C1CCE"/>
    <w:rsid w:val="005C1EB1"/>
    <w:rsid w:val="005C24CD"/>
    <w:rsid w:val="005C25D8"/>
    <w:rsid w:val="005C29FB"/>
    <w:rsid w:val="005C2A67"/>
    <w:rsid w:val="005C2DE7"/>
    <w:rsid w:val="005C2FF1"/>
    <w:rsid w:val="005C377E"/>
    <w:rsid w:val="005C3B38"/>
    <w:rsid w:val="005C3FC5"/>
    <w:rsid w:val="005C431F"/>
    <w:rsid w:val="005C44A3"/>
    <w:rsid w:val="005C4D03"/>
    <w:rsid w:val="005C4E05"/>
    <w:rsid w:val="005C516F"/>
    <w:rsid w:val="005C53B3"/>
    <w:rsid w:val="005C551D"/>
    <w:rsid w:val="005C5586"/>
    <w:rsid w:val="005C581D"/>
    <w:rsid w:val="005C5AE0"/>
    <w:rsid w:val="005C5E38"/>
    <w:rsid w:val="005C60E2"/>
    <w:rsid w:val="005C647B"/>
    <w:rsid w:val="005C6503"/>
    <w:rsid w:val="005C717B"/>
    <w:rsid w:val="005C7330"/>
    <w:rsid w:val="005C7334"/>
    <w:rsid w:val="005C7835"/>
    <w:rsid w:val="005C78D5"/>
    <w:rsid w:val="005C7F3B"/>
    <w:rsid w:val="005D0118"/>
    <w:rsid w:val="005D0248"/>
    <w:rsid w:val="005D0269"/>
    <w:rsid w:val="005D027E"/>
    <w:rsid w:val="005D0441"/>
    <w:rsid w:val="005D05C8"/>
    <w:rsid w:val="005D0699"/>
    <w:rsid w:val="005D06C0"/>
    <w:rsid w:val="005D07F4"/>
    <w:rsid w:val="005D098F"/>
    <w:rsid w:val="005D0D37"/>
    <w:rsid w:val="005D0E7E"/>
    <w:rsid w:val="005D1090"/>
    <w:rsid w:val="005D1593"/>
    <w:rsid w:val="005D1777"/>
    <w:rsid w:val="005D1A85"/>
    <w:rsid w:val="005D1B58"/>
    <w:rsid w:val="005D1B6D"/>
    <w:rsid w:val="005D23EE"/>
    <w:rsid w:val="005D2443"/>
    <w:rsid w:val="005D27BC"/>
    <w:rsid w:val="005D28D2"/>
    <w:rsid w:val="005D2928"/>
    <w:rsid w:val="005D31B4"/>
    <w:rsid w:val="005D364F"/>
    <w:rsid w:val="005D37A0"/>
    <w:rsid w:val="005D382B"/>
    <w:rsid w:val="005D3864"/>
    <w:rsid w:val="005D391D"/>
    <w:rsid w:val="005D3FEB"/>
    <w:rsid w:val="005D416E"/>
    <w:rsid w:val="005D41D3"/>
    <w:rsid w:val="005D4239"/>
    <w:rsid w:val="005D4368"/>
    <w:rsid w:val="005D4473"/>
    <w:rsid w:val="005D44D0"/>
    <w:rsid w:val="005D454B"/>
    <w:rsid w:val="005D45A7"/>
    <w:rsid w:val="005D48B4"/>
    <w:rsid w:val="005D4B92"/>
    <w:rsid w:val="005D4D4C"/>
    <w:rsid w:val="005D4F43"/>
    <w:rsid w:val="005D50F4"/>
    <w:rsid w:val="005D5533"/>
    <w:rsid w:val="005D55EF"/>
    <w:rsid w:val="005D56F1"/>
    <w:rsid w:val="005D5CCF"/>
    <w:rsid w:val="005D5E5F"/>
    <w:rsid w:val="005D5F7A"/>
    <w:rsid w:val="005D640A"/>
    <w:rsid w:val="005D658C"/>
    <w:rsid w:val="005D658D"/>
    <w:rsid w:val="005D6841"/>
    <w:rsid w:val="005D691A"/>
    <w:rsid w:val="005D6926"/>
    <w:rsid w:val="005D695E"/>
    <w:rsid w:val="005D740C"/>
    <w:rsid w:val="005D742F"/>
    <w:rsid w:val="005D77E1"/>
    <w:rsid w:val="005D7D96"/>
    <w:rsid w:val="005E0110"/>
    <w:rsid w:val="005E0E74"/>
    <w:rsid w:val="005E0EA4"/>
    <w:rsid w:val="005E1486"/>
    <w:rsid w:val="005E15D0"/>
    <w:rsid w:val="005E18BC"/>
    <w:rsid w:val="005E19D3"/>
    <w:rsid w:val="005E1CF5"/>
    <w:rsid w:val="005E1D5C"/>
    <w:rsid w:val="005E1F3F"/>
    <w:rsid w:val="005E20BD"/>
    <w:rsid w:val="005E2109"/>
    <w:rsid w:val="005E21B7"/>
    <w:rsid w:val="005E22CE"/>
    <w:rsid w:val="005E22FB"/>
    <w:rsid w:val="005E2321"/>
    <w:rsid w:val="005E259E"/>
    <w:rsid w:val="005E25F3"/>
    <w:rsid w:val="005E2907"/>
    <w:rsid w:val="005E2B25"/>
    <w:rsid w:val="005E2E19"/>
    <w:rsid w:val="005E30F7"/>
    <w:rsid w:val="005E335E"/>
    <w:rsid w:val="005E3620"/>
    <w:rsid w:val="005E3706"/>
    <w:rsid w:val="005E3A6F"/>
    <w:rsid w:val="005E3AFA"/>
    <w:rsid w:val="005E3D73"/>
    <w:rsid w:val="005E3ECD"/>
    <w:rsid w:val="005E3F78"/>
    <w:rsid w:val="005E41CB"/>
    <w:rsid w:val="005E4357"/>
    <w:rsid w:val="005E4778"/>
    <w:rsid w:val="005E4929"/>
    <w:rsid w:val="005E4AEF"/>
    <w:rsid w:val="005E4B6F"/>
    <w:rsid w:val="005E4BBF"/>
    <w:rsid w:val="005E5024"/>
    <w:rsid w:val="005E5088"/>
    <w:rsid w:val="005E53B4"/>
    <w:rsid w:val="005E5636"/>
    <w:rsid w:val="005E653E"/>
    <w:rsid w:val="005E65F4"/>
    <w:rsid w:val="005E6A23"/>
    <w:rsid w:val="005E6AB5"/>
    <w:rsid w:val="005E6B63"/>
    <w:rsid w:val="005E73F6"/>
    <w:rsid w:val="005E7527"/>
    <w:rsid w:val="005E7838"/>
    <w:rsid w:val="005E7984"/>
    <w:rsid w:val="005E7B0A"/>
    <w:rsid w:val="005E7BA2"/>
    <w:rsid w:val="005F00E0"/>
    <w:rsid w:val="005F05FF"/>
    <w:rsid w:val="005F128A"/>
    <w:rsid w:val="005F1544"/>
    <w:rsid w:val="005F17B7"/>
    <w:rsid w:val="005F1929"/>
    <w:rsid w:val="005F1AF1"/>
    <w:rsid w:val="005F1BED"/>
    <w:rsid w:val="005F1CF3"/>
    <w:rsid w:val="005F1ED6"/>
    <w:rsid w:val="005F260C"/>
    <w:rsid w:val="005F26D0"/>
    <w:rsid w:val="005F2965"/>
    <w:rsid w:val="005F29AC"/>
    <w:rsid w:val="005F2C78"/>
    <w:rsid w:val="005F2D7F"/>
    <w:rsid w:val="005F2EC6"/>
    <w:rsid w:val="005F2F22"/>
    <w:rsid w:val="005F320C"/>
    <w:rsid w:val="005F330C"/>
    <w:rsid w:val="005F37E2"/>
    <w:rsid w:val="005F3880"/>
    <w:rsid w:val="005F389D"/>
    <w:rsid w:val="005F39D4"/>
    <w:rsid w:val="005F3BFA"/>
    <w:rsid w:val="005F3E1E"/>
    <w:rsid w:val="005F4028"/>
    <w:rsid w:val="005F4073"/>
    <w:rsid w:val="005F44D0"/>
    <w:rsid w:val="005F4C34"/>
    <w:rsid w:val="005F4C4A"/>
    <w:rsid w:val="005F4FD0"/>
    <w:rsid w:val="005F5104"/>
    <w:rsid w:val="005F52A5"/>
    <w:rsid w:val="005F53F2"/>
    <w:rsid w:val="005F547E"/>
    <w:rsid w:val="005F570B"/>
    <w:rsid w:val="005F5E49"/>
    <w:rsid w:val="005F60F0"/>
    <w:rsid w:val="005F614C"/>
    <w:rsid w:val="005F637F"/>
    <w:rsid w:val="005F654F"/>
    <w:rsid w:val="005F661D"/>
    <w:rsid w:val="005F66F9"/>
    <w:rsid w:val="005F6A19"/>
    <w:rsid w:val="005F6A3C"/>
    <w:rsid w:val="005F6C16"/>
    <w:rsid w:val="005F6D4B"/>
    <w:rsid w:val="005F6D5E"/>
    <w:rsid w:val="005F6F54"/>
    <w:rsid w:val="005F6F98"/>
    <w:rsid w:val="005F7392"/>
    <w:rsid w:val="005F7681"/>
    <w:rsid w:val="005F7EB6"/>
    <w:rsid w:val="005F7EC2"/>
    <w:rsid w:val="0060022B"/>
    <w:rsid w:val="006004EB"/>
    <w:rsid w:val="00600ADA"/>
    <w:rsid w:val="00600AF9"/>
    <w:rsid w:val="00600F15"/>
    <w:rsid w:val="00600F37"/>
    <w:rsid w:val="00600FF6"/>
    <w:rsid w:val="00601165"/>
    <w:rsid w:val="0060129E"/>
    <w:rsid w:val="00601667"/>
    <w:rsid w:val="006016E1"/>
    <w:rsid w:val="00601A36"/>
    <w:rsid w:val="00602094"/>
    <w:rsid w:val="0060214E"/>
    <w:rsid w:val="00602408"/>
    <w:rsid w:val="0060245B"/>
    <w:rsid w:val="00602960"/>
    <w:rsid w:val="00602E6E"/>
    <w:rsid w:val="00602EF0"/>
    <w:rsid w:val="00603086"/>
    <w:rsid w:val="006033DB"/>
    <w:rsid w:val="00603490"/>
    <w:rsid w:val="006035AB"/>
    <w:rsid w:val="0060368A"/>
    <w:rsid w:val="00603AE3"/>
    <w:rsid w:val="00603B21"/>
    <w:rsid w:val="00603B91"/>
    <w:rsid w:val="00603D27"/>
    <w:rsid w:val="00603E3E"/>
    <w:rsid w:val="006047BD"/>
    <w:rsid w:val="006047EC"/>
    <w:rsid w:val="00604844"/>
    <w:rsid w:val="00604A24"/>
    <w:rsid w:val="00604A9C"/>
    <w:rsid w:val="00604D4C"/>
    <w:rsid w:val="00604E0B"/>
    <w:rsid w:val="00604E88"/>
    <w:rsid w:val="0060544F"/>
    <w:rsid w:val="006054F3"/>
    <w:rsid w:val="00605A91"/>
    <w:rsid w:val="00605D1D"/>
    <w:rsid w:val="006063E4"/>
    <w:rsid w:val="00606511"/>
    <w:rsid w:val="00606D92"/>
    <w:rsid w:val="00606F34"/>
    <w:rsid w:val="00607174"/>
    <w:rsid w:val="00607434"/>
    <w:rsid w:val="0060794D"/>
    <w:rsid w:val="00607B02"/>
    <w:rsid w:val="00607D3B"/>
    <w:rsid w:val="00607E06"/>
    <w:rsid w:val="00607E3D"/>
    <w:rsid w:val="00607E73"/>
    <w:rsid w:val="00610246"/>
    <w:rsid w:val="006103D2"/>
    <w:rsid w:val="00610641"/>
    <w:rsid w:val="00610C3D"/>
    <w:rsid w:val="006111D2"/>
    <w:rsid w:val="0061124D"/>
    <w:rsid w:val="00611672"/>
    <w:rsid w:val="00611753"/>
    <w:rsid w:val="006118F1"/>
    <w:rsid w:val="006119D6"/>
    <w:rsid w:val="00611AEE"/>
    <w:rsid w:val="00611ECA"/>
    <w:rsid w:val="00612085"/>
    <w:rsid w:val="006121C4"/>
    <w:rsid w:val="0061287D"/>
    <w:rsid w:val="00612A3D"/>
    <w:rsid w:val="00612B53"/>
    <w:rsid w:val="00612D99"/>
    <w:rsid w:val="00612E8F"/>
    <w:rsid w:val="006136A4"/>
    <w:rsid w:val="00613847"/>
    <w:rsid w:val="006139BF"/>
    <w:rsid w:val="006139E1"/>
    <w:rsid w:val="00613AAB"/>
    <w:rsid w:val="00613C59"/>
    <w:rsid w:val="00613CAD"/>
    <w:rsid w:val="00614176"/>
    <w:rsid w:val="00614579"/>
    <w:rsid w:val="00614F9F"/>
    <w:rsid w:val="006158B6"/>
    <w:rsid w:val="00615CAF"/>
    <w:rsid w:val="006164C3"/>
    <w:rsid w:val="00616608"/>
    <w:rsid w:val="00616BCF"/>
    <w:rsid w:val="00616FC4"/>
    <w:rsid w:val="00617016"/>
    <w:rsid w:val="0061707B"/>
    <w:rsid w:val="0061709C"/>
    <w:rsid w:val="00617561"/>
    <w:rsid w:val="006178D2"/>
    <w:rsid w:val="006179FA"/>
    <w:rsid w:val="00617CC9"/>
    <w:rsid w:val="00620086"/>
    <w:rsid w:val="006202EA"/>
    <w:rsid w:val="006203CE"/>
    <w:rsid w:val="00620AA7"/>
    <w:rsid w:val="00620AB4"/>
    <w:rsid w:val="00620DBF"/>
    <w:rsid w:val="00621147"/>
    <w:rsid w:val="0062123D"/>
    <w:rsid w:val="00621416"/>
    <w:rsid w:val="00621E81"/>
    <w:rsid w:val="00621EC1"/>
    <w:rsid w:val="0062244C"/>
    <w:rsid w:val="0062275A"/>
    <w:rsid w:val="006228D4"/>
    <w:rsid w:val="00622B9C"/>
    <w:rsid w:val="00622BFA"/>
    <w:rsid w:val="006232AC"/>
    <w:rsid w:val="0062346D"/>
    <w:rsid w:val="00623CAC"/>
    <w:rsid w:val="00623D77"/>
    <w:rsid w:val="0062422A"/>
    <w:rsid w:val="00624431"/>
    <w:rsid w:val="0062455D"/>
    <w:rsid w:val="006245D4"/>
    <w:rsid w:val="00624696"/>
    <w:rsid w:val="00624DB9"/>
    <w:rsid w:val="00624ED3"/>
    <w:rsid w:val="00625D0F"/>
    <w:rsid w:val="00625E31"/>
    <w:rsid w:val="0062647C"/>
    <w:rsid w:val="0062686D"/>
    <w:rsid w:val="00626F7B"/>
    <w:rsid w:val="00627321"/>
    <w:rsid w:val="00627B2E"/>
    <w:rsid w:val="00627D5C"/>
    <w:rsid w:val="00627F95"/>
    <w:rsid w:val="006301EC"/>
    <w:rsid w:val="00630383"/>
    <w:rsid w:val="006304E1"/>
    <w:rsid w:val="006307EA"/>
    <w:rsid w:val="00630825"/>
    <w:rsid w:val="00630BB7"/>
    <w:rsid w:val="00630C50"/>
    <w:rsid w:val="00630E71"/>
    <w:rsid w:val="00630EA7"/>
    <w:rsid w:val="00630EDD"/>
    <w:rsid w:val="00630F43"/>
    <w:rsid w:val="0063103F"/>
    <w:rsid w:val="00631479"/>
    <w:rsid w:val="00631A59"/>
    <w:rsid w:val="00631CAB"/>
    <w:rsid w:val="00631E6A"/>
    <w:rsid w:val="00632A4E"/>
    <w:rsid w:val="00632B00"/>
    <w:rsid w:val="00632BDC"/>
    <w:rsid w:val="00632D8A"/>
    <w:rsid w:val="00632F1E"/>
    <w:rsid w:val="00632FBF"/>
    <w:rsid w:val="00633335"/>
    <w:rsid w:val="006334E2"/>
    <w:rsid w:val="006334FD"/>
    <w:rsid w:val="006335BD"/>
    <w:rsid w:val="006336B3"/>
    <w:rsid w:val="0063399B"/>
    <w:rsid w:val="006339C6"/>
    <w:rsid w:val="00633DD4"/>
    <w:rsid w:val="006344F7"/>
    <w:rsid w:val="00634804"/>
    <w:rsid w:val="00634AF5"/>
    <w:rsid w:val="00634B0A"/>
    <w:rsid w:val="00635154"/>
    <w:rsid w:val="006352BF"/>
    <w:rsid w:val="00635527"/>
    <w:rsid w:val="006357C6"/>
    <w:rsid w:val="00635C73"/>
    <w:rsid w:val="006360E4"/>
    <w:rsid w:val="00636695"/>
    <w:rsid w:val="00636856"/>
    <w:rsid w:val="006368CC"/>
    <w:rsid w:val="00636950"/>
    <w:rsid w:val="00636A2F"/>
    <w:rsid w:val="00636CB0"/>
    <w:rsid w:val="0063722B"/>
    <w:rsid w:val="00637445"/>
    <w:rsid w:val="00637A2B"/>
    <w:rsid w:val="00637B0B"/>
    <w:rsid w:val="00637BC0"/>
    <w:rsid w:val="00637CFC"/>
    <w:rsid w:val="00637F73"/>
    <w:rsid w:val="00637F9B"/>
    <w:rsid w:val="00640373"/>
    <w:rsid w:val="006403F5"/>
    <w:rsid w:val="00640452"/>
    <w:rsid w:val="006405A5"/>
    <w:rsid w:val="006407A0"/>
    <w:rsid w:val="00640E99"/>
    <w:rsid w:val="00641081"/>
    <w:rsid w:val="00641691"/>
    <w:rsid w:val="006419FA"/>
    <w:rsid w:val="00641A36"/>
    <w:rsid w:val="00641A78"/>
    <w:rsid w:val="00641A80"/>
    <w:rsid w:val="00641D15"/>
    <w:rsid w:val="00642635"/>
    <w:rsid w:val="00642E61"/>
    <w:rsid w:val="00643189"/>
    <w:rsid w:val="00643679"/>
    <w:rsid w:val="00643CA3"/>
    <w:rsid w:val="00643EF0"/>
    <w:rsid w:val="0064406A"/>
    <w:rsid w:val="00644CB3"/>
    <w:rsid w:val="00644E67"/>
    <w:rsid w:val="006451DB"/>
    <w:rsid w:val="00645FEF"/>
    <w:rsid w:val="00646064"/>
    <w:rsid w:val="0064611B"/>
    <w:rsid w:val="00646218"/>
    <w:rsid w:val="0064623D"/>
    <w:rsid w:val="00646A42"/>
    <w:rsid w:val="00646AD8"/>
    <w:rsid w:val="00646D01"/>
    <w:rsid w:val="00646EC1"/>
    <w:rsid w:val="006477FA"/>
    <w:rsid w:val="006478B3"/>
    <w:rsid w:val="00647A04"/>
    <w:rsid w:val="00647A72"/>
    <w:rsid w:val="00647B41"/>
    <w:rsid w:val="006502ED"/>
    <w:rsid w:val="00650C86"/>
    <w:rsid w:val="00650C8A"/>
    <w:rsid w:val="00650D16"/>
    <w:rsid w:val="00651272"/>
    <w:rsid w:val="006512FB"/>
    <w:rsid w:val="00651462"/>
    <w:rsid w:val="00651519"/>
    <w:rsid w:val="0065182A"/>
    <w:rsid w:val="00651B34"/>
    <w:rsid w:val="00652416"/>
    <w:rsid w:val="006524F3"/>
    <w:rsid w:val="006525D5"/>
    <w:rsid w:val="00652B72"/>
    <w:rsid w:val="00652E50"/>
    <w:rsid w:val="00653C0A"/>
    <w:rsid w:val="00653D48"/>
    <w:rsid w:val="00653E46"/>
    <w:rsid w:val="006540E5"/>
    <w:rsid w:val="0065442F"/>
    <w:rsid w:val="0065481C"/>
    <w:rsid w:val="006548AF"/>
    <w:rsid w:val="00654C77"/>
    <w:rsid w:val="00654C8F"/>
    <w:rsid w:val="00654CAA"/>
    <w:rsid w:val="00654FB0"/>
    <w:rsid w:val="006551C3"/>
    <w:rsid w:val="00655343"/>
    <w:rsid w:val="0065545C"/>
    <w:rsid w:val="0065586A"/>
    <w:rsid w:val="00655C23"/>
    <w:rsid w:val="0065605A"/>
    <w:rsid w:val="006560F0"/>
    <w:rsid w:val="0065651E"/>
    <w:rsid w:val="0065661F"/>
    <w:rsid w:val="0065671B"/>
    <w:rsid w:val="00656922"/>
    <w:rsid w:val="00656923"/>
    <w:rsid w:val="00656AF8"/>
    <w:rsid w:val="00656D17"/>
    <w:rsid w:val="00657F94"/>
    <w:rsid w:val="006605D0"/>
    <w:rsid w:val="00660639"/>
    <w:rsid w:val="006609F4"/>
    <w:rsid w:val="00660CD2"/>
    <w:rsid w:val="00660EFC"/>
    <w:rsid w:val="0066137D"/>
    <w:rsid w:val="0066170B"/>
    <w:rsid w:val="0066197B"/>
    <w:rsid w:val="00661CF3"/>
    <w:rsid w:val="00661EB3"/>
    <w:rsid w:val="006622B2"/>
    <w:rsid w:val="0066266A"/>
    <w:rsid w:val="00662C02"/>
    <w:rsid w:val="006632B1"/>
    <w:rsid w:val="00663481"/>
    <w:rsid w:val="006635FF"/>
    <w:rsid w:val="006638E5"/>
    <w:rsid w:val="00663A23"/>
    <w:rsid w:val="0066414E"/>
    <w:rsid w:val="00664572"/>
    <w:rsid w:val="00664A8F"/>
    <w:rsid w:val="00664DCE"/>
    <w:rsid w:val="006651AB"/>
    <w:rsid w:val="0066544B"/>
    <w:rsid w:val="006655E0"/>
    <w:rsid w:val="00665839"/>
    <w:rsid w:val="00665C51"/>
    <w:rsid w:val="006667CF"/>
    <w:rsid w:val="00666AF5"/>
    <w:rsid w:val="00666CFD"/>
    <w:rsid w:val="00666DE8"/>
    <w:rsid w:val="00666F56"/>
    <w:rsid w:val="0066704A"/>
    <w:rsid w:val="006670BF"/>
    <w:rsid w:val="0066717E"/>
    <w:rsid w:val="00667452"/>
    <w:rsid w:val="00667B7D"/>
    <w:rsid w:val="00667F06"/>
    <w:rsid w:val="00670457"/>
    <w:rsid w:val="006706D6"/>
    <w:rsid w:val="006708BB"/>
    <w:rsid w:val="00670A3E"/>
    <w:rsid w:val="00670C62"/>
    <w:rsid w:val="00670D5C"/>
    <w:rsid w:val="00670F5C"/>
    <w:rsid w:val="00671505"/>
    <w:rsid w:val="00671778"/>
    <w:rsid w:val="0067178A"/>
    <w:rsid w:val="006719D4"/>
    <w:rsid w:val="00671ADB"/>
    <w:rsid w:val="00671D68"/>
    <w:rsid w:val="006721E0"/>
    <w:rsid w:val="00672244"/>
    <w:rsid w:val="006725C1"/>
    <w:rsid w:val="00672DF7"/>
    <w:rsid w:val="00672E21"/>
    <w:rsid w:val="00672F07"/>
    <w:rsid w:val="0067307A"/>
    <w:rsid w:val="00673112"/>
    <w:rsid w:val="006733CD"/>
    <w:rsid w:val="006733E7"/>
    <w:rsid w:val="0067356A"/>
    <w:rsid w:val="0067363B"/>
    <w:rsid w:val="00673CC1"/>
    <w:rsid w:val="00674263"/>
    <w:rsid w:val="006743A9"/>
    <w:rsid w:val="00674446"/>
    <w:rsid w:val="00674636"/>
    <w:rsid w:val="006749C7"/>
    <w:rsid w:val="006757B4"/>
    <w:rsid w:val="006759A5"/>
    <w:rsid w:val="006759B3"/>
    <w:rsid w:val="00676710"/>
    <w:rsid w:val="00676886"/>
    <w:rsid w:val="006768EC"/>
    <w:rsid w:val="006769FB"/>
    <w:rsid w:val="00676D9A"/>
    <w:rsid w:val="00676DCB"/>
    <w:rsid w:val="00676E6E"/>
    <w:rsid w:val="0067706B"/>
    <w:rsid w:val="0067711D"/>
    <w:rsid w:val="006773F6"/>
    <w:rsid w:val="00677513"/>
    <w:rsid w:val="006778A2"/>
    <w:rsid w:val="00677963"/>
    <w:rsid w:val="00677A65"/>
    <w:rsid w:val="00680627"/>
    <w:rsid w:val="00680974"/>
    <w:rsid w:val="00680A21"/>
    <w:rsid w:val="00680AD4"/>
    <w:rsid w:val="00680AFA"/>
    <w:rsid w:val="00680BE0"/>
    <w:rsid w:val="00680E9C"/>
    <w:rsid w:val="00681277"/>
    <w:rsid w:val="0068145E"/>
    <w:rsid w:val="00681B0D"/>
    <w:rsid w:val="00681CF2"/>
    <w:rsid w:val="00681DDA"/>
    <w:rsid w:val="0068201A"/>
    <w:rsid w:val="00682142"/>
    <w:rsid w:val="0068227C"/>
    <w:rsid w:val="006824DC"/>
    <w:rsid w:val="0068281F"/>
    <w:rsid w:val="00682C91"/>
    <w:rsid w:val="00682D86"/>
    <w:rsid w:val="00682F1F"/>
    <w:rsid w:val="006834A2"/>
    <w:rsid w:val="00683781"/>
    <w:rsid w:val="0068391A"/>
    <w:rsid w:val="0068394B"/>
    <w:rsid w:val="006839EF"/>
    <w:rsid w:val="00683C0E"/>
    <w:rsid w:val="00683D0C"/>
    <w:rsid w:val="00683FFD"/>
    <w:rsid w:val="00684420"/>
    <w:rsid w:val="0068445D"/>
    <w:rsid w:val="006848C8"/>
    <w:rsid w:val="006848EE"/>
    <w:rsid w:val="00684FD9"/>
    <w:rsid w:val="00685252"/>
    <w:rsid w:val="00685490"/>
    <w:rsid w:val="00685C8F"/>
    <w:rsid w:val="00685D49"/>
    <w:rsid w:val="0068627A"/>
    <w:rsid w:val="0068629A"/>
    <w:rsid w:val="006863C8"/>
    <w:rsid w:val="006863C9"/>
    <w:rsid w:val="006868C5"/>
    <w:rsid w:val="00686EBE"/>
    <w:rsid w:val="00686EE8"/>
    <w:rsid w:val="00687167"/>
    <w:rsid w:val="006872B3"/>
    <w:rsid w:val="0068768A"/>
    <w:rsid w:val="00687AAF"/>
    <w:rsid w:val="00687B7F"/>
    <w:rsid w:val="00687C43"/>
    <w:rsid w:val="00687F78"/>
    <w:rsid w:val="0069003D"/>
    <w:rsid w:val="006900D9"/>
    <w:rsid w:val="0069021D"/>
    <w:rsid w:val="00690269"/>
    <w:rsid w:val="0069039D"/>
    <w:rsid w:val="006904DE"/>
    <w:rsid w:val="00690621"/>
    <w:rsid w:val="00690BA6"/>
    <w:rsid w:val="0069107E"/>
    <w:rsid w:val="00691570"/>
    <w:rsid w:val="0069199F"/>
    <w:rsid w:val="00691B9B"/>
    <w:rsid w:val="006924AB"/>
    <w:rsid w:val="006924C1"/>
    <w:rsid w:val="00692568"/>
    <w:rsid w:val="00692B92"/>
    <w:rsid w:val="00692D52"/>
    <w:rsid w:val="00692D64"/>
    <w:rsid w:val="006932D6"/>
    <w:rsid w:val="0069341E"/>
    <w:rsid w:val="0069360A"/>
    <w:rsid w:val="0069397B"/>
    <w:rsid w:val="00693A74"/>
    <w:rsid w:val="00693C05"/>
    <w:rsid w:val="00693CA1"/>
    <w:rsid w:val="00693D64"/>
    <w:rsid w:val="00694466"/>
    <w:rsid w:val="00694644"/>
    <w:rsid w:val="00694C07"/>
    <w:rsid w:val="00694DEE"/>
    <w:rsid w:val="00694E9D"/>
    <w:rsid w:val="00695385"/>
    <w:rsid w:val="006959EF"/>
    <w:rsid w:val="00695B7A"/>
    <w:rsid w:val="00695F30"/>
    <w:rsid w:val="00696286"/>
    <w:rsid w:val="006966E9"/>
    <w:rsid w:val="0069671B"/>
    <w:rsid w:val="0069682A"/>
    <w:rsid w:val="00696DE0"/>
    <w:rsid w:val="00696F80"/>
    <w:rsid w:val="006974A9"/>
    <w:rsid w:val="00697552"/>
    <w:rsid w:val="00697A94"/>
    <w:rsid w:val="00697B5A"/>
    <w:rsid w:val="00697C39"/>
    <w:rsid w:val="006A0630"/>
    <w:rsid w:val="006A07F3"/>
    <w:rsid w:val="006A0D3F"/>
    <w:rsid w:val="006A131A"/>
    <w:rsid w:val="006A16AE"/>
    <w:rsid w:val="006A181F"/>
    <w:rsid w:val="006A1DCA"/>
    <w:rsid w:val="006A1DCF"/>
    <w:rsid w:val="006A222B"/>
    <w:rsid w:val="006A225A"/>
    <w:rsid w:val="006A2B9D"/>
    <w:rsid w:val="006A2DF3"/>
    <w:rsid w:val="006A2FC8"/>
    <w:rsid w:val="006A3704"/>
    <w:rsid w:val="006A3A8A"/>
    <w:rsid w:val="006A3B2D"/>
    <w:rsid w:val="006A3C6A"/>
    <w:rsid w:val="006A3D10"/>
    <w:rsid w:val="006A47BB"/>
    <w:rsid w:val="006A4AEB"/>
    <w:rsid w:val="006A4C24"/>
    <w:rsid w:val="006A4CBA"/>
    <w:rsid w:val="006A4DA6"/>
    <w:rsid w:val="006A4FAD"/>
    <w:rsid w:val="006A553F"/>
    <w:rsid w:val="006A5605"/>
    <w:rsid w:val="006A5B5A"/>
    <w:rsid w:val="006A5F88"/>
    <w:rsid w:val="006A616D"/>
    <w:rsid w:val="006A62AE"/>
    <w:rsid w:val="006A678F"/>
    <w:rsid w:val="006A69B8"/>
    <w:rsid w:val="006A6AD9"/>
    <w:rsid w:val="006A6C83"/>
    <w:rsid w:val="006A6D5D"/>
    <w:rsid w:val="006A7167"/>
    <w:rsid w:val="006A7524"/>
    <w:rsid w:val="006A7629"/>
    <w:rsid w:val="006A77F4"/>
    <w:rsid w:val="006A78FD"/>
    <w:rsid w:val="006A7935"/>
    <w:rsid w:val="006A7C99"/>
    <w:rsid w:val="006A7E7C"/>
    <w:rsid w:val="006A7FCC"/>
    <w:rsid w:val="006B00C9"/>
    <w:rsid w:val="006B0404"/>
    <w:rsid w:val="006B0450"/>
    <w:rsid w:val="006B0542"/>
    <w:rsid w:val="006B08DE"/>
    <w:rsid w:val="006B103E"/>
    <w:rsid w:val="006B183C"/>
    <w:rsid w:val="006B184D"/>
    <w:rsid w:val="006B1929"/>
    <w:rsid w:val="006B19C6"/>
    <w:rsid w:val="006B1A75"/>
    <w:rsid w:val="006B1FD0"/>
    <w:rsid w:val="006B22C7"/>
    <w:rsid w:val="006B242D"/>
    <w:rsid w:val="006B28C1"/>
    <w:rsid w:val="006B2E0C"/>
    <w:rsid w:val="006B2F56"/>
    <w:rsid w:val="006B3316"/>
    <w:rsid w:val="006B3471"/>
    <w:rsid w:val="006B36ED"/>
    <w:rsid w:val="006B3702"/>
    <w:rsid w:val="006B38BA"/>
    <w:rsid w:val="006B39F0"/>
    <w:rsid w:val="006B3AB1"/>
    <w:rsid w:val="006B3B01"/>
    <w:rsid w:val="006B3B6B"/>
    <w:rsid w:val="006B3CCA"/>
    <w:rsid w:val="006B4156"/>
    <w:rsid w:val="006B472F"/>
    <w:rsid w:val="006B4890"/>
    <w:rsid w:val="006B4B57"/>
    <w:rsid w:val="006B4DCA"/>
    <w:rsid w:val="006B4EFA"/>
    <w:rsid w:val="006B522A"/>
    <w:rsid w:val="006B5312"/>
    <w:rsid w:val="006B57B4"/>
    <w:rsid w:val="006B5EAE"/>
    <w:rsid w:val="006B604E"/>
    <w:rsid w:val="006B61D9"/>
    <w:rsid w:val="006B6ADC"/>
    <w:rsid w:val="006B6D68"/>
    <w:rsid w:val="006B6E2B"/>
    <w:rsid w:val="006B7014"/>
    <w:rsid w:val="006B71DE"/>
    <w:rsid w:val="006B7458"/>
    <w:rsid w:val="006B7888"/>
    <w:rsid w:val="006B7EB2"/>
    <w:rsid w:val="006C05F1"/>
    <w:rsid w:val="006C0B95"/>
    <w:rsid w:val="006C0D17"/>
    <w:rsid w:val="006C0DE8"/>
    <w:rsid w:val="006C0F91"/>
    <w:rsid w:val="006C1459"/>
    <w:rsid w:val="006C145C"/>
    <w:rsid w:val="006C1C1A"/>
    <w:rsid w:val="006C1D13"/>
    <w:rsid w:val="006C1E2F"/>
    <w:rsid w:val="006C2092"/>
    <w:rsid w:val="006C2840"/>
    <w:rsid w:val="006C28EC"/>
    <w:rsid w:val="006C2AB6"/>
    <w:rsid w:val="006C2F9C"/>
    <w:rsid w:val="006C30A1"/>
    <w:rsid w:val="006C31BB"/>
    <w:rsid w:val="006C32CA"/>
    <w:rsid w:val="006C3353"/>
    <w:rsid w:val="006C33B3"/>
    <w:rsid w:val="006C3AF3"/>
    <w:rsid w:val="006C4110"/>
    <w:rsid w:val="006C453C"/>
    <w:rsid w:val="006C46B7"/>
    <w:rsid w:val="006C49E4"/>
    <w:rsid w:val="006C4BE6"/>
    <w:rsid w:val="006C4D44"/>
    <w:rsid w:val="006C4DC3"/>
    <w:rsid w:val="006C4E6E"/>
    <w:rsid w:val="006C5A80"/>
    <w:rsid w:val="006C5BA4"/>
    <w:rsid w:val="006C5BEB"/>
    <w:rsid w:val="006C5C1F"/>
    <w:rsid w:val="006C5EC0"/>
    <w:rsid w:val="006C60D1"/>
    <w:rsid w:val="006C64CA"/>
    <w:rsid w:val="006C65BE"/>
    <w:rsid w:val="006C66D6"/>
    <w:rsid w:val="006C6BBB"/>
    <w:rsid w:val="006C6D5E"/>
    <w:rsid w:val="006C741A"/>
    <w:rsid w:val="006C74DC"/>
    <w:rsid w:val="006C79ED"/>
    <w:rsid w:val="006C7B53"/>
    <w:rsid w:val="006C7BC1"/>
    <w:rsid w:val="006C7BFB"/>
    <w:rsid w:val="006C7DA2"/>
    <w:rsid w:val="006D0236"/>
    <w:rsid w:val="006D04FB"/>
    <w:rsid w:val="006D0636"/>
    <w:rsid w:val="006D0BE3"/>
    <w:rsid w:val="006D0D76"/>
    <w:rsid w:val="006D103F"/>
    <w:rsid w:val="006D17A2"/>
    <w:rsid w:val="006D1A1F"/>
    <w:rsid w:val="006D1A86"/>
    <w:rsid w:val="006D1B91"/>
    <w:rsid w:val="006D1B98"/>
    <w:rsid w:val="006D1D63"/>
    <w:rsid w:val="006D1E9C"/>
    <w:rsid w:val="006D2229"/>
    <w:rsid w:val="006D22C0"/>
    <w:rsid w:val="006D2FBC"/>
    <w:rsid w:val="006D326B"/>
    <w:rsid w:val="006D34E9"/>
    <w:rsid w:val="006D3AFB"/>
    <w:rsid w:val="006D3B3B"/>
    <w:rsid w:val="006D41D7"/>
    <w:rsid w:val="006D420D"/>
    <w:rsid w:val="006D45F6"/>
    <w:rsid w:val="006D47A5"/>
    <w:rsid w:val="006D4A30"/>
    <w:rsid w:val="006D4A31"/>
    <w:rsid w:val="006D4BCB"/>
    <w:rsid w:val="006D4D27"/>
    <w:rsid w:val="006D4DC0"/>
    <w:rsid w:val="006D4ED6"/>
    <w:rsid w:val="006D4FD0"/>
    <w:rsid w:val="006D5045"/>
    <w:rsid w:val="006D508A"/>
    <w:rsid w:val="006D5243"/>
    <w:rsid w:val="006D56A1"/>
    <w:rsid w:val="006D5CF8"/>
    <w:rsid w:val="006D5DE5"/>
    <w:rsid w:val="006D633F"/>
    <w:rsid w:val="006D6593"/>
    <w:rsid w:val="006D65FB"/>
    <w:rsid w:val="006D660C"/>
    <w:rsid w:val="006D6654"/>
    <w:rsid w:val="006D67C9"/>
    <w:rsid w:val="006D6F41"/>
    <w:rsid w:val="006D7223"/>
    <w:rsid w:val="006D7249"/>
    <w:rsid w:val="006D7368"/>
    <w:rsid w:val="006D7647"/>
    <w:rsid w:val="006D771E"/>
    <w:rsid w:val="006D790E"/>
    <w:rsid w:val="006D7A04"/>
    <w:rsid w:val="006D7B1B"/>
    <w:rsid w:val="006E0091"/>
    <w:rsid w:val="006E013F"/>
    <w:rsid w:val="006E015B"/>
    <w:rsid w:val="006E0165"/>
    <w:rsid w:val="006E0231"/>
    <w:rsid w:val="006E03A8"/>
    <w:rsid w:val="006E03D3"/>
    <w:rsid w:val="006E050F"/>
    <w:rsid w:val="006E0510"/>
    <w:rsid w:val="006E0762"/>
    <w:rsid w:val="006E079C"/>
    <w:rsid w:val="006E0871"/>
    <w:rsid w:val="006E09FD"/>
    <w:rsid w:val="006E0E48"/>
    <w:rsid w:val="006E0F19"/>
    <w:rsid w:val="006E11FC"/>
    <w:rsid w:val="006E1593"/>
    <w:rsid w:val="006E16B4"/>
    <w:rsid w:val="006E174B"/>
    <w:rsid w:val="006E17ED"/>
    <w:rsid w:val="006E1802"/>
    <w:rsid w:val="006E1CA0"/>
    <w:rsid w:val="006E2229"/>
    <w:rsid w:val="006E2382"/>
    <w:rsid w:val="006E25AE"/>
    <w:rsid w:val="006E26BB"/>
    <w:rsid w:val="006E2A96"/>
    <w:rsid w:val="006E2CE9"/>
    <w:rsid w:val="006E2DDD"/>
    <w:rsid w:val="006E3C2D"/>
    <w:rsid w:val="006E3D7D"/>
    <w:rsid w:val="006E3DE9"/>
    <w:rsid w:val="006E3FA7"/>
    <w:rsid w:val="006E3FD6"/>
    <w:rsid w:val="006E44D4"/>
    <w:rsid w:val="006E4551"/>
    <w:rsid w:val="006E4633"/>
    <w:rsid w:val="006E46A0"/>
    <w:rsid w:val="006E46D8"/>
    <w:rsid w:val="006E48BF"/>
    <w:rsid w:val="006E4DE2"/>
    <w:rsid w:val="006E58CB"/>
    <w:rsid w:val="006E5AE4"/>
    <w:rsid w:val="006E5B74"/>
    <w:rsid w:val="006E5D84"/>
    <w:rsid w:val="006E5E3C"/>
    <w:rsid w:val="006E60AB"/>
    <w:rsid w:val="006E6644"/>
    <w:rsid w:val="006E67FC"/>
    <w:rsid w:val="006E68FE"/>
    <w:rsid w:val="006E6A1E"/>
    <w:rsid w:val="006E70CE"/>
    <w:rsid w:val="006E7507"/>
    <w:rsid w:val="006E7560"/>
    <w:rsid w:val="006E782B"/>
    <w:rsid w:val="006E783D"/>
    <w:rsid w:val="006E7CF9"/>
    <w:rsid w:val="006F010B"/>
    <w:rsid w:val="006F0D5D"/>
    <w:rsid w:val="006F0E67"/>
    <w:rsid w:val="006F1D68"/>
    <w:rsid w:val="006F1D70"/>
    <w:rsid w:val="006F1E8B"/>
    <w:rsid w:val="006F1F0B"/>
    <w:rsid w:val="006F20E8"/>
    <w:rsid w:val="006F25FC"/>
    <w:rsid w:val="006F2715"/>
    <w:rsid w:val="006F2C1E"/>
    <w:rsid w:val="006F2FEE"/>
    <w:rsid w:val="006F305B"/>
    <w:rsid w:val="006F323F"/>
    <w:rsid w:val="006F359B"/>
    <w:rsid w:val="006F35F5"/>
    <w:rsid w:val="006F3907"/>
    <w:rsid w:val="006F394B"/>
    <w:rsid w:val="006F485C"/>
    <w:rsid w:val="006F494F"/>
    <w:rsid w:val="006F509E"/>
    <w:rsid w:val="006F57BB"/>
    <w:rsid w:val="006F63D4"/>
    <w:rsid w:val="006F6613"/>
    <w:rsid w:val="006F7138"/>
    <w:rsid w:val="006F7372"/>
    <w:rsid w:val="006F759B"/>
    <w:rsid w:val="006F761E"/>
    <w:rsid w:val="006F766A"/>
    <w:rsid w:val="006F77C1"/>
    <w:rsid w:val="006F7AAB"/>
    <w:rsid w:val="006F7B65"/>
    <w:rsid w:val="006F7DEB"/>
    <w:rsid w:val="0070030F"/>
    <w:rsid w:val="00700796"/>
    <w:rsid w:val="007009C1"/>
    <w:rsid w:val="00700D86"/>
    <w:rsid w:val="0070127C"/>
    <w:rsid w:val="00701409"/>
    <w:rsid w:val="007019C1"/>
    <w:rsid w:val="00701AA0"/>
    <w:rsid w:val="00701BC8"/>
    <w:rsid w:val="00701E08"/>
    <w:rsid w:val="00701E53"/>
    <w:rsid w:val="007024A3"/>
    <w:rsid w:val="00702548"/>
    <w:rsid w:val="0070265F"/>
    <w:rsid w:val="00702916"/>
    <w:rsid w:val="00702F13"/>
    <w:rsid w:val="00702F34"/>
    <w:rsid w:val="00702FE0"/>
    <w:rsid w:val="0070306E"/>
    <w:rsid w:val="00703367"/>
    <w:rsid w:val="00703424"/>
    <w:rsid w:val="007036DB"/>
    <w:rsid w:val="0070396E"/>
    <w:rsid w:val="00703D39"/>
    <w:rsid w:val="00703EF8"/>
    <w:rsid w:val="00703F96"/>
    <w:rsid w:val="00704145"/>
    <w:rsid w:val="00704311"/>
    <w:rsid w:val="00704326"/>
    <w:rsid w:val="00704562"/>
    <w:rsid w:val="007048D6"/>
    <w:rsid w:val="00704B2E"/>
    <w:rsid w:val="00704EA4"/>
    <w:rsid w:val="00704F3F"/>
    <w:rsid w:val="007050C5"/>
    <w:rsid w:val="007052A7"/>
    <w:rsid w:val="0070546B"/>
    <w:rsid w:val="00705B4C"/>
    <w:rsid w:val="0070618B"/>
    <w:rsid w:val="00706483"/>
    <w:rsid w:val="00706CB8"/>
    <w:rsid w:val="00706E1C"/>
    <w:rsid w:val="00707542"/>
    <w:rsid w:val="00707772"/>
    <w:rsid w:val="00707848"/>
    <w:rsid w:val="00707B0C"/>
    <w:rsid w:val="007100E2"/>
    <w:rsid w:val="007104FD"/>
    <w:rsid w:val="0071056C"/>
    <w:rsid w:val="00710889"/>
    <w:rsid w:val="00710A1C"/>
    <w:rsid w:val="00710BB6"/>
    <w:rsid w:val="00710EAF"/>
    <w:rsid w:val="0071127F"/>
    <w:rsid w:val="007113A5"/>
    <w:rsid w:val="0071155B"/>
    <w:rsid w:val="00711A14"/>
    <w:rsid w:val="00711A3B"/>
    <w:rsid w:val="00711C3A"/>
    <w:rsid w:val="00711E65"/>
    <w:rsid w:val="00711F6D"/>
    <w:rsid w:val="00712584"/>
    <w:rsid w:val="007125CC"/>
    <w:rsid w:val="007125E3"/>
    <w:rsid w:val="00712659"/>
    <w:rsid w:val="0071271C"/>
    <w:rsid w:val="007128A1"/>
    <w:rsid w:val="0071297D"/>
    <w:rsid w:val="00712C69"/>
    <w:rsid w:val="00713045"/>
    <w:rsid w:val="0071308B"/>
    <w:rsid w:val="0071329A"/>
    <w:rsid w:val="00713C09"/>
    <w:rsid w:val="00714876"/>
    <w:rsid w:val="00715188"/>
    <w:rsid w:val="007154F7"/>
    <w:rsid w:val="007155C2"/>
    <w:rsid w:val="007155F1"/>
    <w:rsid w:val="00715A8F"/>
    <w:rsid w:val="00715D6D"/>
    <w:rsid w:val="00715E2A"/>
    <w:rsid w:val="00715EEB"/>
    <w:rsid w:val="0071610F"/>
    <w:rsid w:val="00716437"/>
    <w:rsid w:val="00716831"/>
    <w:rsid w:val="007169B6"/>
    <w:rsid w:val="00716BE7"/>
    <w:rsid w:val="00716C7F"/>
    <w:rsid w:val="00716CCD"/>
    <w:rsid w:val="00716D1B"/>
    <w:rsid w:val="00716F14"/>
    <w:rsid w:val="00716F3E"/>
    <w:rsid w:val="00716FBE"/>
    <w:rsid w:val="007173E2"/>
    <w:rsid w:val="00717468"/>
    <w:rsid w:val="00717817"/>
    <w:rsid w:val="00717B6E"/>
    <w:rsid w:val="00717F55"/>
    <w:rsid w:val="0072005B"/>
    <w:rsid w:val="00720216"/>
    <w:rsid w:val="00720284"/>
    <w:rsid w:val="007202F9"/>
    <w:rsid w:val="007204B5"/>
    <w:rsid w:val="0072078F"/>
    <w:rsid w:val="00720868"/>
    <w:rsid w:val="00720869"/>
    <w:rsid w:val="007208A1"/>
    <w:rsid w:val="00720977"/>
    <w:rsid w:val="007209B8"/>
    <w:rsid w:val="00720B2A"/>
    <w:rsid w:val="00720C9A"/>
    <w:rsid w:val="00720D5A"/>
    <w:rsid w:val="00721065"/>
    <w:rsid w:val="00721137"/>
    <w:rsid w:val="007219FB"/>
    <w:rsid w:val="00721A1A"/>
    <w:rsid w:val="00721DE7"/>
    <w:rsid w:val="00721FB5"/>
    <w:rsid w:val="00722248"/>
    <w:rsid w:val="007223B0"/>
    <w:rsid w:val="007228D5"/>
    <w:rsid w:val="00722E50"/>
    <w:rsid w:val="007239CD"/>
    <w:rsid w:val="00723A0E"/>
    <w:rsid w:val="00723BAB"/>
    <w:rsid w:val="00723E94"/>
    <w:rsid w:val="00723F81"/>
    <w:rsid w:val="00724461"/>
    <w:rsid w:val="00724551"/>
    <w:rsid w:val="00724597"/>
    <w:rsid w:val="007246C6"/>
    <w:rsid w:val="00724837"/>
    <w:rsid w:val="0072495A"/>
    <w:rsid w:val="00724F45"/>
    <w:rsid w:val="00724F6E"/>
    <w:rsid w:val="007250C3"/>
    <w:rsid w:val="007250D3"/>
    <w:rsid w:val="00725AB5"/>
    <w:rsid w:val="00725B90"/>
    <w:rsid w:val="00725E0D"/>
    <w:rsid w:val="00725F45"/>
    <w:rsid w:val="0072625A"/>
    <w:rsid w:val="0072635A"/>
    <w:rsid w:val="007265A2"/>
    <w:rsid w:val="007266EC"/>
    <w:rsid w:val="00726925"/>
    <w:rsid w:val="00726A96"/>
    <w:rsid w:val="00726AFA"/>
    <w:rsid w:val="00726F20"/>
    <w:rsid w:val="007272A9"/>
    <w:rsid w:val="00727852"/>
    <w:rsid w:val="00727FA0"/>
    <w:rsid w:val="0073035D"/>
    <w:rsid w:val="007303F0"/>
    <w:rsid w:val="00730439"/>
    <w:rsid w:val="00730AAA"/>
    <w:rsid w:val="00730E87"/>
    <w:rsid w:val="0073143C"/>
    <w:rsid w:val="00731529"/>
    <w:rsid w:val="00731BEA"/>
    <w:rsid w:val="007328BA"/>
    <w:rsid w:val="00732967"/>
    <w:rsid w:val="0073299B"/>
    <w:rsid w:val="00732CC7"/>
    <w:rsid w:val="00732EFB"/>
    <w:rsid w:val="00732FA4"/>
    <w:rsid w:val="007330A9"/>
    <w:rsid w:val="007330D0"/>
    <w:rsid w:val="00733576"/>
    <w:rsid w:val="0073365A"/>
    <w:rsid w:val="007342B3"/>
    <w:rsid w:val="007343B0"/>
    <w:rsid w:val="007347DD"/>
    <w:rsid w:val="0073481A"/>
    <w:rsid w:val="00735510"/>
    <w:rsid w:val="0073568A"/>
    <w:rsid w:val="00735B3B"/>
    <w:rsid w:val="00736499"/>
    <w:rsid w:val="007366F5"/>
    <w:rsid w:val="00736916"/>
    <w:rsid w:val="00736A0F"/>
    <w:rsid w:val="00736E0F"/>
    <w:rsid w:val="00736E8A"/>
    <w:rsid w:val="00736EA0"/>
    <w:rsid w:val="0073704A"/>
    <w:rsid w:val="007373CA"/>
    <w:rsid w:val="007377CF"/>
    <w:rsid w:val="00737901"/>
    <w:rsid w:val="00737937"/>
    <w:rsid w:val="00737C24"/>
    <w:rsid w:val="00737D42"/>
    <w:rsid w:val="00737EF7"/>
    <w:rsid w:val="007402AA"/>
    <w:rsid w:val="00740755"/>
    <w:rsid w:val="00740857"/>
    <w:rsid w:val="00740E49"/>
    <w:rsid w:val="00741111"/>
    <w:rsid w:val="0074150B"/>
    <w:rsid w:val="0074159F"/>
    <w:rsid w:val="00741FFC"/>
    <w:rsid w:val="0074232D"/>
    <w:rsid w:val="0074264A"/>
    <w:rsid w:val="00742653"/>
    <w:rsid w:val="0074299B"/>
    <w:rsid w:val="00742E30"/>
    <w:rsid w:val="00742F7B"/>
    <w:rsid w:val="0074312B"/>
    <w:rsid w:val="0074392F"/>
    <w:rsid w:val="0074396B"/>
    <w:rsid w:val="00743B90"/>
    <w:rsid w:val="00743F39"/>
    <w:rsid w:val="00744563"/>
    <w:rsid w:val="00744FC2"/>
    <w:rsid w:val="0074523E"/>
    <w:rsid w:val="0074577C"/>
    <w:rsid w:val="00746001"/>
    <w:rsid w:val="0074611A"/>
    <w:rsid w:val="007468FE"/>
    <w:rsid w:val="00746905"/>
    <w:rsid w:val="00746F5B"/>
    <w:rsid w:val="00746FF5"/>
    <w:rsid w:val="0074700A"/>
    <w:rsid w:val="00747510"/>
    <w:rsid w:val="0074754A"/>
    <w:rsid w:val="0074791A"/>
    <w:rsid w:val="007479A4"/>
    <w:rsid w:val="00747BC9"/>
    <w:rsid w:val="00747D2D"/>
    <w:rsid w:val="0075015E"/>
    <w:rsid w:val="00750235"/>
    <w:rsid w:val="0075034F"/>
    <w:rsid w:val="007505F0"/>
    <w:rsid w:val="00750ADC"/>
    <w:rsid w:val="00750C61"/>
    <w:rsid w:val="00750CEF"/>
    <w:rsid w:val="0075191D"/>
    <w:rsid w:val="0075193C"/>
    <w:rsid w:val="00751BC2"/>
    <w:rsid w:val="00751C5B"/>
    <w:rsid w:val="00751F4C"/>
    <w:rsid w:val="0075207B"/>
    <w:rsid w:val="0075265C"/>
    <w:rsid w:val="00752C74"/>
    <w:rsid w:val="00752DE9"/>
    <w:rsid w:val="00753695"/>
    <w:rsid w:val="00753782"/>
    <w:rsid w:val="00753C06"/>
    <w:rsid w:val="0075421C"/>
    <w:rsid w:val="00754AFE"/>
    <w:rsid w:val="00754B3F"/>
    <w:rsid w:val="00754CC0"/>
    <w:rsid w:val="00755760"/>
    <w:rsid w:val="00755C18"/>
    <w:rsid w:val="00755D0D"/>
    <w:rsid w:val="0075622A"/>
    <w:rsid w:val="007562BD"/>
    <w:rsid w:val="00756710"/>
    <w:rsid w:val="0075681B"/>
    <w:rsid w:val="00756874"/>
    <w:rsid w:val="00756943"/>
    <w:rsid w:val="00756B06"/>
    <w:rsid w:val="00756D18"/>
    <w:rsid w:val="00756E53"/>
    <w:rsid w:val="0075707B"/>
    <w:rsid w:val="00757297"/>
    <w:rsid w:val="007572D2"/>
    <w:rsid w:val="007577D1"/>
    <w:rsid w:val="00757BFE"/>
    <w:rsid w:val="00757E6B"/>
    <w:rsid w:val="007603E5"/>
    <w:rsid w:val="007604F6"/>
    <w:rsid w:val="00760F51"/>
    <w:rsid w:val="00760F6D"/>
    <w:rsid w:val="0076151D"/>
    <w:rsid w:val="007619F1"/>
    <w:rsid w:val="00761FFE"/>
    <w:rsid w:val="00762000"/>
    <w:rsid w:val="007620B7"/>
    <w:rsid w:val="00762572"/>
    <w:rsid w:val="00762712"/>
    <w:rsid w:val="0076275C"/>
    <w:rsid w:val="00763171"/>
    <w:rsid w:val="00763194"/>
    <w:rsid w:val="0076378E"/>
    <w:rsid w:val="007637C8"/>
    <w:rsid w:val="007637D1"/>
    <w:rsid w:val="007637F9"/>
    <w:rsid w:val="00763C27"/>
    <w:rsid w:val="00763EC0"/>
    <w:rsid w:val="00763EDB"/>
    <w:rsid w:val="00763F75"/>
    <w:rsid w:val="0076491B"/>
    <w:rsid w:val="00764C5E"/>
    <w:rsid w:val="00765097"/>
    <w:rsid w:val="00765140"/>
    <w:rsid w:val="007651D3"/>
    <w:rsid w:val="0076544D"/>
    <w:rsid w:val="0076569F"/>
    <w:rsid w:val="00765DD0"/>
    <w:rsid w:val="007662FD"/>
    <w:rsid w:val="0076647D"/>
    <w:rsid w:val="007666E6"/>
    <w:rsid w:val="00766707"/>
    <w:rsid w:val="00767448"/>
    <w:rsid w:val="0076744E"/>
    <w:rsid w:val="007674A2"/>
    <w:rsid w:val="00767A39"/>
    <w:rsid w:val="00767C9D"/>
    <w:rsid w:val="00767CC7"/>
    <w:rsid w:val="00767FA4"/>
    <w:rsid w:val="00767FE9"/>
    <w:rsid w:val="007702B1"/>
    <w:rsid w:val="0077055B"/>
    <w:rsid w:val="00770586"/>
    <w:rsid w:val="007705F6"/>
    <w:rsid w:val="00770831"/>
    <w:rsid w:val="007709BA"/>
    <w:rsid w:val="00770B52"/>
    <w:rsid w:val="0077102E"/>
    <w:rsid w:val="00771192"/>
    <w:rsid w:val="007711E9"/>
    <w:rsid w:val="00771260"/>
    <w:rsid w:val="007715C9"/>
    <w:rsid w:val="00771A69"/>
    <w:rsid w:val="00771DDB"/>
    <w:rsid w:val="00771ECA"/>
    <w:rsid w:val="00772022"/>
    <w:rsid w:val="00772429"/>
    <w:rsid w:val="00772F80"/>
    <w:rsid w:val="00773504"/>
    <w:rsid w:val="0077394F"/>
    <w:rsid w:val="00773A21"/>
    <w:rsid w:val="00773DA0"/>
    <w:rsid w:val="00774033"/>
    <w:rsid w:val="007742B5"/>
    <w:rsid w:val="00774F1D"/>
    <w:rsid w:val="007751C6"/>
    <w:rsid w:val="00775209"/>
    <w:rsid w:val="0077538E"/>
    <w:rsid w:val="00775584"/>
    <w:rsid w:val="007762EA"/>
    <w:rsid w:val="0077693C"/>
    <w:rsid w:val="00776BD9"/>
    <w:rsid w:val="00777050"/>
    <w:rsid w:val="00777126"/>
    <w:rsid w:val="007779BE"/>
    <w:rsid w:val="007779F4"/>
    <w:rsid w:val="00777B21"/>
    <w:rsid w:val="00777E94"/>
    <w:rsid w:val="00780072"/>
    <w:rsid w:val="0078032A"/>
    <w:rsid w:val="0078074E"/>
    <w:rsid w:val="007807ED"/>
    <w:rsid w:val="00780AA7"/>
    <w:rsid w:val="00780B3F"/>
    <w:rsid w:val="00780BDA"/>
    <w:rsid w:val="00780C80"/>
    <w:rsid w:val="0078135D"/>
    <w:rsid w:val="00781720"/>
    <w:rsid w:val="007817FE"/>
    <w:rsid w:val="007818CE"/>
    <w:rsid w:val="00781D7E"/>
    <w:rsid w:val="00781DE7"/>
    <w:rsid w:val="00781FD4"/>
    <w:rsid w:val="00782149"/>
    <w:rsid w:val="007822BE"/>
    <w:rsid w:val="00782467"/>
    <w:rsid w:val="00782489"/>
    <w:rsid w:val="00782B9F"/>
    <w:rsid w:val="00782C28"/>
    <w:rsid w:val="00783046"/>
    <w:rsid w:val="007830E7"/>
    <w:rsid w:val="007832EF"/>
    <w:rsid w:val="007834DC"/>
    <w:rsid w:val="007834E9"/>
    <w:rsid w:val="00783527"/>
    <w:rsid w:val="00783543"/>
    <w:rsid w:val="0078356A"/>
    <w:rsid w:val="007837B1"/>
    <w:rsid w:val="0078385D"/>
    <w:rsid w:val="00783987"/>
    <w:rsid w:val="00783AC2"/>
    <w:rsid w:val="00783D9A"/>
    <w:rsid w:val="00783FFD"/>
    <w:rsid w:val="00784342"/>
    <w:rsid w:val="0078487B"/>
    <w:rsid w:val="00784921"/>
    <w:rsid w:val="00784C40"/>
    <w:rsid w:val="00784DFE"/>
    <w:rsid w:val="00784ED4"/>
    <w:rsid w:val="0078505E"/>
    <w:rsid w:val="00785224"/>
    <w:rsid w:val="0078531E"/>
    <w:rsid w:val="00785361"/>
    <w:rsid w:val="00785513"/>
    <w:rsid w:val="00785603"/>
    <w:rsid w:val="007856CE"/>
    <w:rsid w:val="007857EB"/>
    <w:rsid w:val="00785948"/>
    <w:rsid w:val="00785DCC"/>
    <w:rsid w:val="00786073"/>
    <w:rsid w:val="007862B0"/>
    <w:rsid w:val="00786440"/>
    <w:rsid w:val="007864EE"/>
    <w:rsid w:val="00786D9B"/>
    <w:rsid w:val="00787052"/>
    <w:rsid w:val="00787348"/>
    <w:rsid w:val="007873B9"/>
    <w:rsid w:val="00787502"/>
    <w:rsid w:val="0078794D"/>
    <w:rsid w:val="007879B0"/>
    <w:rsid w:val="00787B7A"/>
    <w:rsid w:val="00790297"/>
    <w:rsid w:val="007905C3"/>
    <w:rsid w:val="0079081E"/>
    <w:rsid w:val="00790A3B"/>
    <w:rsid w:val="00790DE8"/>
    <w:rsid w:val="007912B3"/>
    <w:rsid w:val="00791314"/>
    <w:rsid w:val="00792552"/>
    <w:rsid w:val="0079284A"/>
    <w:rsid w:val="00792991"/>
    <w:rsid w:val="00792A6C"/>
    <w:rsid w:val="00792BBD"/>
    <w:rsid w:val="00793503"/>
    <w:rsid w:val="00793645"/>
    <w:rsid w:val="00793697"/>
    <w:rsid w:val="00793CCC"/>
    <w:rsid w:val="0079403F"/>
    <w:rsid w:val="00794492"/>
    <w:rsid w:val="007944A7"/>
    <w:rsid w:val="00794634"/>
    <w:rsid w:val="00794AF6"/>
    <w:rsid w:val="00794BAB"/>
    <w:rsid w:val="00794F5E"/>
    <w:rsid w:val="00795051"/>
    <w:rsid w:val="007950D9"/>
    <w:rsid w:val="007951B8"/>
    <w:rsid w:val="007951F7"/>
    <w:rsid w:val="00795276"/>
    <w:rsid w:val="007952F2"/>
    <w:rsid w:val="00795591"/>
    <w:rsid w:val="00795870"/>
    <w:rsid w:val="00795881"/>
    <w:rsid w:val="007967FB"/>
    <w:rsid w:val="00796B21"/>
    <w:rsid w:val="00796BE1"/>
    <w:rsid w:val="00797024"/>
    <w:rsid w:val="00797092"/>
    <w:rsid w:val="00797A25"/>
    <w:rsid w:val="00797AC0"/>
    <w:rsid w:val="007A0699"/>
    <w:rsid w:val="007A0774"/>
    <w:rsid w:val="007A0967"/>
    <w:rsid w:val="007A0A88"/>
    <w:rsid w:val="007A0D0D"/>
    <w:rsid w:val="007A0E52"/>
    <w:rsid w:val="007A14F0"/>
    <w:rsid w:val="007A1522"/>
    <w:rsid w:val="007A176D"/>
    <w:rsid w:val="007A1E2F"/>
    <w:rsid w:val="007A2052"/>
    <w:rsid w:val="007A2059"/>
    <w:rsid w:val="007A2169"/>
    <w:rsid w:val="007A234C"/>
    <w:rsid w:val="007A2739"/>
    <w:rsid w:val="007A2A30"/>
    <w:rsid w:val="007A2B79"/>
    <w:rsid w:val="007A2DC7"/>
    <w:rsid w:val="007A2F5F"/>
    <w:rsid w:val="007A30A8"/>
    <w:rsid w:val="007A30AB"/>
    <w:rsid w:val="007A320E"/>
    <w:rsid w:val="007A3298"/>
    <w:rsid w:val="007A3305"/>
    <w:rsid w:val="007A3525"/>
    <w:rsid w:val="007A3552"/>
    <w:rsid w:val="007A375A"/>
    <w:rsid w:val="007A42DC"/>
    <w:rsid w:val="007A453D"/>
    <w:rsid w:val="007A4777"/>
    <w:rsid w:val="007A4B99"/>
    <w:rsid w:val="007A5056"/>
    <w:rsid w:val="007A52B4"/>
    <w:rsid w:val="007A542E"/>
    <w:rsid w:val="007A57F9"/>
    <w:rsid w:val="007A58B4"/>
    <w:rsid w:val="007A5FE1"/>
    <w:rsid w:val="007A62AF"/>
    <w:rsid w:val="007A6398"/>
    <w:rsid w:val="007A6CD1"/>
    <w:rsid w:val="007A745D"/>
    <w:rsid w:val="007A757B"/>
    <w:rsid w:val="007A7A17"/>
    <w:rsid w:val="007A7DC0"/>
    <w:rsid w:val="007A7E83"/>
    <w:rsid w:val="007B0315"/>
    <w:rsid w:val="007B04AF"/>
    <w:rsid w:val="007B05C6"/>
    <w:rsid w:val="007B073B"/>
    <w:rsid w:val="007B089E"/>
    <w:rsid w:val="007B0A17"/>
    <w:rsid w:val="007B0BF5"/>
    <w:rsid w:val="007B0CA5"/>
    <w:rsid w:val="007B0E18"/>
    <w:rsid w:val="007B11F8"/>
    <w:rsid w:val="007B1376"/>
    <w:rsid w:val="007B14EB"/>
    <w:rsid w:val="007B160F"/>
    <w:rsid w:val="007B1A9C"/>
    <w:rsid w:val="007B1F5E"/>
    <w:rsid w:val="007B2207"/>
    <w:rsid w:val="007B22BE"/>
    <w:rsid w:val="007B245B"/>
    <w:rsid w:val="007B2758"/>
    <w:rsid w:val="007B2872"/>
    <w:rsid w:val="007B29DB"/>
    <w:rsid w:val="007B2A2E"/>
    <w:rsid w:val="007B2ABB"/>
    <w:rsid w:val="007B2BD1"/>
    <w:rsid w:val="007B2C09"/>
    <w:rsid w:val="007B3072"/>
    <w:rsid w:val="007B3301"/>
    <w:rsid w:val="007B33D1"/>
    <w:rsid w:val="007B342D"/>
    <w:rsid w:val="007B36F7"/>
    <w:rsid w:val="007B3725"/>
    <w:rsid w:val="007B374E"/>
    <w:rsid w:val="007B3BE0"/>
    <w:rsid w:val="007B3C07"/>
    <w:rsid w:val="007B3F8F"/>
    <w:rsid w:val="007B3FD5"/>
    <w:rsid w:val="007B49A1"/>
    <w:rsid w:val="007B4D13"/>
    <w:rsid w:val="007B4EE2"/>
    <w:rsid w:val="007B51AD"/>
    <w:rsid w:val="007B549A"/>
    <w:rsid w:val="007B55A9"/>
    <w:rsid w:val="007B5A20"/>
    <w:rsid w:val="007B5AA8"/>
    <w:rsid w:val="007B5C73"/>
    <w:rsid w:val="007B5E2A"/>
    <w:rsid w:val="007B600F"/>
    <w:rsid w:val="007B6073"/>
    <w:rsid w:val="007B6809"/>
    <w:rsid w:val="007B6A39"/>
    <w:rsid w:val="007B6CB1"/>
    <w:rsid w:val="007B6CCA"/>
    <w:rsid w:val="007B6EF6"/>
    <w:rsid w:val="007B73C2"/>
    <w:rsid w:val="007B7480"/>
    <w:rsid w:val="007B76F6"/>
    <w:rsid w:val="007B7A2A"/>
    <w:rsid w:val="007B7A4D"/>
    <w:rsid w:val="007B7C49"/>
    <w:rsid w:val="007C0033"/>
    <w:rsid w:val="007C0167"/>
    <w:rsid w:val="007C0199"/>
    <w:rsid w:val="007C0392"/>
    <w:rsid w:val="007C0A63"/>
    <w:rsid w:val="007C0AC0"/>
    <w:rsid w:val="007C0CA6"/>
    <w:rsid w:val="007C0EC2"/>
    <w:rsid w:val="007C10B3"/>
    <w:rsid w:val="007C2538"/>
    <w:rsid w:val="007C2687"/>
    <w:rsid w:val="007C2754"/>
    <w:rsid w:val="007C28E0"/>
    <w:rsid w:val="007C2ADD"/>
    <w:rsid w:val="007C2BCC"/>
    <w:rsid w:val="007C3E11"/>
    <w:rsid w:val="007C40D9"/>
    <w:rsid w:val="007C4507"/>
    <w:rsid w:val="007C47C2"/>
    <w:rsid w:val="007C4C98"/>
    <w:rsid w:val="007C4F1F"/>
    <w:rsid w:val="007C4F59"/>
    <w:rsid w:val="007C50CA"/>
    <w:rsid w:val="007C5170"/>
    <w:rsid w:val="007C5451"/>
    <w:rsid w:val="007C546F"/>
    <w:rsid w:val="007C5FB6"/>
    <w:rsid w:val="007C62B6"/>
    <w:rsid w:val="007C6B50"/>
    <w:rsid w:val="007C6E6E"/>
    <w:rsid w:val="007C7451"/>
    <w:rsid w:val="007C763B"/>
    <w:rsid w:val="007C7783"/>
    <w:rsid w:val="007C799A"/>
    <w:rsid w:val="007C7AB5"/>
    <w:rsid w:val="007C7DD6"/>
    <w:rsid w:val="007C7EF8"/>
    <w:rsid w:val="007D0297"/>
    <w:rsid w:val="007D0427"/>
    <w:rsid w:val="007D0633"/>
    <w:rsid w:val="007D087D"/>
    <w:rsid w:val="007D0D06"/>
    <w:rsid w:val="007D0F03"/>
    <w:rsid w:val="007D0F30"/>
    <w:rsid w:val="007D108B"/>
    <w:rsid w:val="007D173B"/>
    <w:rsid w:val="007D17C0"/>
    <w:rsid w:val="007D19B5"/>
    <w:rsid w:val="007D1A8C"/>
    <w:rsid w:val="007D1C21"/>
    <w:rsid w:val="007D22C2"/>
    <w:rsid w:val="007D23C9"/>
    <w:rsid w:val="007D28AA"/>
    <w:rsid w:val="007D2CCD"/>
    <w:rsid w:val="007D2D65"/>
    <w:rsid w:val="007D2DDA"/>
    <w:rsid w:val="007D304D"/>
    <w:rsid w:val="007D34C0"/>
    <w:rsid w:val="007D34E3"/>
    <w:rsid w:val="007D3872"/>
    <w:rsid w:val="007D3DB7"/>
    <w:rsid w:val="007D4299"/>
    <w:rsid w:val="007D45F9"/>
    <w:rsid w:val="007D462A"/>
    <w:rsid w:val="007D4650"/>
    <w:rsid w:val="007D473E"/>
    <w:rsid w:val="007D489A"/>
    <w:rsid w:val="007D49CE"/>
    <w:rsid w:val="007D4B07"/>
    <w:rsid w:val="007D4B80"/>
    <w:rsid w:val="007D4CA7"/>
    <w:rsid w:val="007D4E3F"/>
    <w:rsid w:val="007D5360"/>
    <w:rsid w:val="007D57B1"/>
    <w:rsid w:val="007D58F1"/>
    <w:rsid w:val="007D5A14"/>
    <w:rsid w:val="007D5C24"/>
    <w:rsid w:val="007D68E7"/>
    <w:rsid w:val="007D6937"/>
    <w:rsid w:val="007D6A86"/>
    <w:rsid w:val="007D6E9E"/>
    <w:rsid w:val="007D74CF"/>
    <w:rsid w:val="007D756E"/>
    <w:rsid w:val="007D778B"/>
    <w:rsid w:val="007D7FAA"/>
    <w:rsid w:val="007E07BD"/>
    <w:rsid w:val="007E09CD"/>
    <w:rsid w:val="007E0B63"/>
    <w:rsid w:val="007E0BBC"/>
    <w:rsid w:val="007E1081"/>
    <w:rsid w:val="007E1316"/>
    <w:rsid w:val="007E14C0"/>
    <w:rsid w:val="007E16DB"/>
    <w:rsid w:val="007E18C2"/>
    <w:rsid w:val="007E18DD"/>
    <w:rsid w:val="007E1A60"/>
    <w:rsid w:val="007E1B81"/>
    <w:rsid w:val="007E1BB2"/>
    <w:rsid w:val="007E1DB6"/>
    <w:rsid w:val="007E2652"/>
    <w:rsid w:val="007E3713"/>
    <w:rsid w:val="007E3947"/>
    <w:rsid w:val="007E3B5A"/>
    <w:rsid w:val="007E3CB0"/>
    <w:rsid w:val="007E3DCC"/>
    <w:rsid w:val="007E3F1B"/>
    <w:rsid w:val="007E40ED"/>
    <w:rsid w:val="007E469D"/>
    <w:rsid w:val="007E486F"/>
    <w:rsid w:val="007E48F3"/>
    <w:rsid w:val="007E4968"/>
    <w:rsid w:val="007E4ACA"/>
    <w:rsid w:val="007E4C11"/>
    <w:rsid w:val="007E4D57"/>
    <w:rsid w:val="007E4E7F"/>
    <w:rsid w:val="007E4EDA"/>
    <w:rsid w:val="007E503A"/>
    <w:rsid w:val="007E50EE"/>
    <w:rsid w:val="007E510B"/>
    <w:rsid w:val="007E5497"/>
    <w:rsid w:val="007E5605"/>
    <w:rsid w:val="007E56E2"/>
    <w:rsid w:val="007E578C"/>
    <w:rsid w:val="007E5B6E"/>
    <w:rsid w:val="007E5BAF"/>
    <w:rsid w:val="007E5BB0"/>
    <w:rsid w:val="007E6140"/>
    <w:rsid w:val="007E6288"/>
    <w:rsid w:val="007E63BE"/>
    <w:rsid w:val="007E6609"/>
    <w:rsid w:val="007E67F4"/>
    <w:rsid w:val="007E680A"/>
    <w:rsid w:val="007E6912"/>
    <w:rsid w:val="007E6B5A"/>
    <w:rsid w:val="007E6C18"/>
    <w:rsid w:val="007E6E5C"/>
    <w:rsid w:val="007E6EED"/>
    <w:rsid w:val="007E70AD"/>
    <w:rsid w:val="007E73EA"/>
    <w:rsid w:val="007E751A"/>
    <w:rsid w:val="007E76B6"/>
    <w:rsid w:val="007E76EA"/>
    <w:rsid w:val="007F0227"/>
    <w:rsid w:val="007F0441"/>
    <w:rsid w:val="007F04E1"/>
    <w:rsid w:val="007F08A3"/>
    <w:rsid w:val="007F08BD"/>
    <w:rsid w:val="007F08D7"/>
    <w:rsid w:val="007F091D"/>
    <w:rsid w:val="007F0BE2"/>
    <w:rsid w:val="007F1024"/>
    <w:rsid w:val="007F1324"/>
    <w:rsid w:val="007F155D"/>
    <w:rsid w:val="007F15C4"/>
    <w:rsid w:val="007F16C7"/>
    <w:rsid w:val="007F19AB"/>
    <w:rsid w:val="007F1A01"/>
    <w:rsid w:val="007F21C2"/>
    <w:rsid w:val="007F289F"/>
    <w:rsid w:val="007F295C"/>
    <w:rsid w:val="007F2975"/>
    <w:rsid w:val="007F2985"/>
    <w:rsid w:val="007F29AD"/>
    <w:rsid w:val="007F2C77"/>
    <w:rsid w:val="007F2D9C"/>
    <w:rsid w:val="007F2EE6"/>
    <w:rsid w:val="007F3398"/>
    <w:rsid w:val="007F36FE"/>
    <w:rsid w:val="007F3711"/>
    <w:rsid w:val="007F3C59"/>
    <w:rsid w:val="007F411C"/>
    <w:rsid w:val="007F434E"/>
    <w:rsid w:val="007F436F"/>
    <w:rsid w:val="007F488C"/>
    <w:rsid w:val="007F4A56"/>
    <w:rsid w:val="007F4B9C"/>
    <w:rsid w:val="007F4C11"/>
    <w:rsid w:val="007F523E"/>
    <w:rsid w:val="007F59A5"/>
    <w:rsid w:val="007F5A54"/>
    <w:rsid w:val="007F5B4F"/>
    <w:rsid w:val="007F5D19"/>
    <w:rsid w:val="007F5F13"/>
    <w:rsid w:val="007F60FC"/>
    <w:rsid w:val="007F6274"/>
    <w:rsid w:val="007F64C9"/>
    <w:rsid w:val="007F6697"/>
    <w:rsid w:val="007F6734"/>
    <w:rsid w:val="007F6C62"/>
    <w:rsid w:val="007F6E65"/>
    <w:rsid w:val="007F7608"/>
    <w:rsid w:val="007F76F2"/>
    <w:rsid w:val="0080012B"/>
    <w:rsid w:val="0080016D"/>
    <w:rsid w:val="008002AC"/>
    <w:rsid w:val="00800E8E"/>
    <w:rsid w:val="0080119B"/>
    <w:rsid w:val="008012F4"/>
    <w:rsid w:val="00801452"/>
    <w:rsid w:val="0080149A"/>
    <w:rsid w:val="0080186D"/>
    <w:rsid w:val="00801B93"/>
    <w:rsid w:val="00801D03"/>
    <w:rsid w:val="00802959"/>
    <w:rsid w:val="00802B0F"/>
    <w:rsid w:val="00802D57"/>
    <w:rsid w:val="00802D73"/>
    <w:rsid w:val="00802E78"/>
    <w:rsid w:val="00802FE0"/>
    <w:rsid w:val="008030C8"/>
    <w:rsid w:val="0080355C"/>
    <w:rsid w:val="008037E8"/>
    <w:rsid w:val="00803941"/>
    <w:rsid w:val="00803B69"/>
    <w:rsid w:val="008047F1"/>
    <w:rsid w:val="008048A1"/>
    <w:rsid w:val="00804AA0"/>
    <w:rsid w:val="00804C2B"/>
    <w:rsid w:val="00804CEF"/>
    <w:rsid w:val="00805168"/>
    <w:rsid w:val="00805175"/>
    <w:rsid w:val="00805362"/>
    <w:rsid w:val="008057E5"/>
    <w:rsid w:val="00805812"/>
    <w:rsid w:val="00805B21"/>
    <w:rsid w:val="00805BB2"/>
    <w:rsid w:val="00805F63"/>
    <w:rsid w:val="008061A3"/>
    <w:rsid w:val="00806556"/>
    <w:rsid w:val="008067C1"/>
    <w:rsid w:val="00806A04"/>
    <w:rsid w:val="00806A6A"/>
    <w:rsid w:val="00806BFF"/>
    <w:rsid w:val="00806F58"/>
    <w:rsid w:val="008077FC"/>
    <w:rsid w:val="008078F4"/>
    <w:rsid w:val="00807956"/>
    <w:rsid w:val="00807A95"/>
    <w:rsid w:val="00807B6B"/>
    <w:rsid w:val="00807C32"/>
    <w:rsid w:val="00807C34"/>
    <w:rsid w:val="00807C9E"/>
    <w:rsid w:val="008100C2"/>
    <w:rsid w:val="00810172"/>
    <w:rsid w:val="0081026B"/>
    <w:rsid w:val="00810310"/>
    <w:rsid w:val="0081052F"/>
    <w:rsid w:val="00810BDD"/>
    <w:rsid w:val="00810FB4"/>
    <w:rsid w:val="0081103E"/>
    <w:rsid w:val="0081125D"/>
    <w:rsid w:val="008118C0"/>
    <w:rsid w:val="00811DB9"/>
    <w:rsid w:val="0081221F"/>
    <w:rsid w:val="00812A38"/>
    <w:rsid w:val="00812BE9"/>
    <w:rsid w:val="008134ED"/>
    <w:rsid w:val="008139DE"/>
    <w:rsid w:val="0081419D"/>
    <w:rsid w:val="00814A89"/>
    <w:rsid w:val="00814AF5"/>
    <w:rsid w:val="00814C6B"/>
    <w:rsid w:val="00814FE5"/>
    <w:rsid w:val="00815126"/>
    <w:rsid w:val="00815167"/>
    <w:rsid w:val="008151C5"/>
    <w:rsid w:val="008154D6"/>
    <w:rsid w:val="00815A76"/>
    <w:rsid w:val="00815D0E"/>
    <w:rsid w:val="00815FFA"/>
    <w:rsid w:val="0081643A"/>
    <w:rsid w:val="0081649A"/>
    <w:rsid w:val="00816851"/>
    <w:rsid w:val="00816A62"/>
    <w:rsid w:val="00816AE7"/>
    <w:rsid w:val="00816C62"/>
    <w:rsid w:val="00816E38"/>
    <w:rsid w:val="00817C91"/>
    <w:rsid w:val="00817DCE"/>
    <w:rsid w:val="00820083"/>
    <w:rsid w:val="008202DB"/>
    <w:rsid w:val="00820764"/>
    <w:rsid w:val="008207B4"/>
    <w:rsid w:val="00820808"/>
    <w:rsid w:val="00820F85"/>
    <w:rsid w:val="008214B9"/>
    <w:rsid w:val="008214BC"/>
    <w:rsid w:val="00821768"/>
    <w:rsid w:val="00821898"/>
    <w:rsid w:val="00821DB0"/>
    <w:rsid w:val="00822151"/>
    <w:rsid w:val="0082225E"/>
    <w:rsid w:val="00822300"/>
    <w:rsid w:val="0082263A"/>
    <w:rsid w:val="0082268B"/>
    <w:rsid w:val="0082288B"/>
    <w:rsid w:val="00822D3B"/>
    <w:rsid w:val="00822E2B"/>
    <w:rsid w:val="00822F51"/>
    <w:rsid w:val="00823323"/>
    <w:rsid w:val="008237EB"/>
    <w:rsid w:val="00823810"/>
    <w:rsid w:val="00823940"/>
    <w:rsid w:val="00823C15"/>
    <w:rsid w:val="00823F8A"/>
    <w:rsid w:val="00823FB5"/>
    <w:rsid w:val="0082422D"/>
    <w:rsid w:val="00824490"/>
    <w:rsid w:val="00824761"/>
    <w:rsid w:val="00824BE1"/>
    <w:rsid w:val="00824EA2"/>
    <w:rsid w:val="00824F32"/>
    <w:rsid w:val="00825042"/>
    <w:rsid w:val="00825227"/>
    <w:rsid w:val="00825336"/>
    <w:rsid w:val="00825476"/>
    <w:rsid w:val="008255B0"/>
    <w:rsid w:val="008258D1"/>
    <w:rsid w:val="008259D8"/>
    <w:rsid w:val="00825E28"/>
    <w:rsid w:val="00826113"/>
    <w:rsid w:val="008266C8"/>
    <w:rsid w:val="00826999"/>
    <w:rsid w:val="008270D2"/>
    <w:rsid w:val="008273FE"/>
    <w:rsid w:val="00827451"/>
    <w:rsid w:val="00827580"/>
    <w:rsid w:val="0082771D"/>
    <w:rsid w:val="008277B9"/>
    <w:rsid w:val="00827837"/>
    <w:rsid w:val="00830096"/>
    <w:rsid w:val="00830126"/>
    <w:rsid w:val="0083028D"/>
    <w:rsid w:val="00830715"/>
    <w:rsid w:val="00830865"/>
    <w:rsid w:val="00830BFD"/>
    <w:rsid w:val="00830CF3"/>
    <w:rsid w:val="0083159D"/>
    <w:rsid w:val="008319AF"/>
    <w:rsid w:val="00831BFB"/>
    <w:rsid w:val="00831F7A"/>
    <w:rsid w:val="0083214D"/>
    <w:rsid w:val="0083242E"/>
    <w:rsid w:val="00832457"/>
    <w:rsid w:val="008326D3"/>
    <w:rsid w:val="008328B0"/>
    <w:rsid w:val="00832B67"/>
    <w:rsid w:val="00832C41"/>
    <w:rsid w:val="00832D07"/>
    <w:rsid w:val="00832F77"/>
    <w:rsid w:val="00832F99"/>
    <w:rsid w:val="0083305B"/>
    <w:rsid w:val="008331A5"/>
    <w:rsid w:val="00833465"/>
    <w:rsid w:val="008334A4"/>
    <w:rsid w:val="008335AA"/>
    <w:rsid w:val="0083379C"/>
    <w:rsid w:val="008339F7"/>
    <w:rsid w:val="0083530F"/>
    <w:rsid w:val="00835398"/>
    <w:rsid w:val="008353A1"/>
    <w:rsid w:val="0083594F"/>
    <w:rsid w:val="00835D5B"/>
    <w:rsid w:val="00835D5C"/>
    <w:rsid w:val="008362A1"/>
    <w:rsid w:val="00836395"/>
    <w:rsid w:val="008363CB"/>
    <w:rsid w:val="00836CB1"/>
    <w:rsid w:val="00836DE2"/>
    <w:rsid w:val="00837197"/>
    <w:rsid w:val="00837272"/>
    <w:rsid w:val="008373C5"/>
    <w:rsid w:val="008375B5"/>
    <w:rsid w:val="008378D9"/>
    <w:rsid w:val="0083798F"/>
    <w:rsid w:val="00837D5C"/>
    <w:rsid w:val="008401BB"/>
    <w:rsid w:val="00840350"/>
    <w:rsid w:val="0084048B"/>
    <w:rsid w:val="00840703"/>
    <w:rsid w:val="00840983"/>
    <w:rsid w:val="008409DA"/>
    <w:rsid w:val="00840A35"/>
    <w:rsid w:val="00840CE8"/>
    <w:rsid w:val="00840DE0"/>
    <w:rsid w:val="00841160"/>
    <w:rsid w:val="008412B3"/>
    <w:rsid w:val="008412CE"/>
    <w:rsid w:val="00841634"/>
    <w:rsid w:val="008416C0"/>
    <w:rsid w:val="008418AF"/>
    <w:rsid w:val="00842290"/>
    <w:rsid w:val="0084239F"/>
    <w:rsid w:val="008423EB"/>
    <w:rsid w:val="0084288B"/>
    <w:rsid w:val="008428F7"/>
    <w:rsid w:val="008429A6"/>
    <w:rsid w:val="008429CC"/>
    <w:rsid w:val="00842AC1"/>
    <w:rsid w:val="00842E48"/>
    <w:rsid w:val="0084300E"/>
    <w:rsid w:val="00843058"/>
    <w:rsid w:val="0084360E"/>
    <w:rsid w:val="008438BF"/>
    <w:rsid w:val="00843D5F"/>
    <w:rsid w:val="00843EB2"/>
    <w:rsid w:val="00844232"/>
    <w:rsid w:val="00844884"/>
    <w:rsid w:val="008448F9"/>
    <w:rsid w:val="00844C2B"/>
    <w:rsid w:val="0084511F"/>
    <w:rsid w:val="00845253"/>
    <w:rsid w:val="00846189"/>
    <w:rsid w:val="008468A0"/>
    <w:rsid w:val="008468AC"/>
    <w:rsid w:val="00846BB5"/>
    <w:rsid w:val="00846D03"/>
    <w:rsid w:val="008470D2"/>
    <w:rsid w:val="008474CE"/>
    <w:rsid w:val="00847584"/>
    <w:rsid w:val="0084760F"/>
    <w:rsid w:val="00847626"/>
    <w:rsid w:val="008476F1"/>
    <w:rsid w:val="00847807"/>
    <w:rsid w:val="00847C68"/>
    <w:rsid w:val="00847D77"/>
    <w:rsid w:val="00851072"/>
    <w:rsid w:val="008512CD"/>
    <w:rsid w:val="0085162E"/>
    <w:rsid w:val="0085266F"/>
    <w:rsid w:val="0085278F"/>
    <w:rsid w:val="00852A65"/>
    <w:rsid w:val="00852C36"/>
    <w:rsid w:val="008532CE"/>
    <w:rsid w:val="008532FE"/>
    <w:rsid w:val="00853334"/>
    <w:rsid w:val="00853A8D"/>
    <w:rsid w:val="00853ABB"/>
    <w:rsid w:val="00853B17"/>
    <w:rsid w:val="00853E9F"/>
    <w:rsid w:val="00853F7C"/>
    <w:rsid w:val="0085419B"/>
    <w:rsid w:val="00854A3E"/>
    <w:rsid w:val="0085505A"/>
    <w:rsid w:val="00855162"/>
    <w:rsid w:val="00855ED3"/>
    <w:rsid w:val="00855F65"/>
    <w:rsid w:val="008561B3"/>
    <w:rsid w:val="008567FC"/>
    <w:rsid w:val="00856911"/>
    <w:rsid w:val="008569C6"/>
    <w:rsid w:val="00856A2B"/>
    <w:rsid w:val="00856BBF"/>
    <w:rsid w:val="00856D02"/>
    <w:rsid w:val="00856E1C"/>
    <w:rsid w:val="00856E2C"/>
    <w:rsid w:val="0085744E"/>
    <w:rsid w:val="00857900"/>
    <w:rsid w:val="0086002A"/>
    <w:rsid w:val="008602B6"/>
    <w:rsid w:val="0086060D"/>
    <w:rsid w:val="00860D55"/>
    <w:rsid w:val="008613B0"/>
    <w:rsid w:val="008614DA"/>
    <w:rsid w:val="00861DF2"/>
    <w:rsid w:val="00861E60"/>
    <w:rsid w:val="008621D9"/>
    <w:rsid w:val="008622D3"/>
    <w:rsid w:val="00862376"/>
    <w:rsid w:val="00862383"/>
    <w:rsid w:val="00862594"/>
    <w:rsid w:val="00862680"/>
    <w:rsid w:val="00862716"/>
    <w:rsid w:val="0086287B"/>
    <w:rsid w:val="00862A8E"/>
    <w:rsid w:val="00862F06"/>
    <w:rsid w:val="00863042"/>
    <w:rsid w:val="00863219"/>
    <w:rsid w:val="008633BD"/>
    <w:rsid w:val="008635A7"/>
    <w:rsid w:val="00863649"/>
    <w:rsid w:val="00863913"/>
    <w:rsid w:val="00863919"/>
    <w:rsid w:val="00863975"/>
    <w:rsid w:val="00863EF7"/>
    <w:rsid w:val="00864654"/>
    <w:rsid w:val="008649B5"/>
    <w:rsid w:val="00864F4F"/>
    <w:rsid w:val="0086515C"/>
    <w:rsid w:val="0086555F"/>
    <w:rsid w:val="008659E0"/>
    <w:rsid w:val="00865B09"/>
    <w:rsid w:val="00865B24"/>
    <w:rsid w:val="00866085"/>
    <w:rsid w:val="00866138"/>
    <w:rsid w:val="0086615E"/>
    <w:rsid w:val="00866229"/>
    <w:rsid w:val="0086627C"/>
    <w:rsid w:val="00866296"/>
    <w:rsid w:val="00866694"/>
    <w:rsid w:val="008668D5"/>
    <w:rsid w:val="00866C0B"/>
    <w:rsid w:val="00866DC8"/>
    <w:rsid w:val="00866E0C"/>
    <w:rsid w:val="00866EC9"/>
    <w:rsid w:val="008672A1"/>
    <w:rsid w:val="00867622"/>
    <w:rsid w:val="008676AF"/>
    <w:rsid w:val="008678B7"/>
    <w:rsid w:val="00867A98"/>
    <w:rsid w:val="00867E59"/>
    <w:rsid w:val="00867E88"/>
    <w:rsid w:val="00870A9B"/>
    <w:rsid w:val="00870D09"/>
    <w:rsid w:val="00870E0E"/>
    <w:rsid w:val="008717A6"/>
    <w:rsid w:val="00871B53"/>
    <w:rsid w:val="0087244F"/>
    <w:rsid w:val="0087273C"/>
    <w:rsid w:val="008729E0"/>
    <w:rsid w:val="008733C9"/>
    <w:rsid w:val="0087369B"/>
    <w:rsid w:val="008738D0"/>
    <w:rsid w:val="00873D42"/>
    <w:rsid w:val="00874678"/>
    <w:rsid w:val="008749F9"/>
    <w:rsid w:val="00874A47"/>
    <w:rsid w:val="00874EB6"/>
    <w:rsid w:val="00874F35"/>
    <w:rsid w:val="00875205"/>
    <w:rsid w:val="0087550E"/>
    <w:rsid w:val="0087592D"/>
    <w:rsid w:val="00875C70"/>
    <w:rsid w:val="00875C7E"/>
    <w:rsid w:val="00875CE3"/>
    <w:rsid w:val="00875DE6"/>
    <w:rsid w:val="00875FD0"/>
    <w:rsid w:val="008766BF"/>
    <w:rsid w:val="0087688B"/>
    <w:rsid w:val="00876E44"/>
    <w:rsid w:val="00877207"/>
    <w:rsid w:val="008774B9"/>
    <w:rsid w:val="00877ACE"/>
    <w:rsid w:val="00880194"/>
    <w:rsid w:val="00880389"/>
    <w:rsid w:val="008805DA"/>
    <w:rsid w:val="00880719"/>
    <w:rsid w:val="00880746"/>
    <w:rsid w:val="00880CBC"/>
    <w:rsid w:val="008810BC"/>
    <w:rsid w:val="00881121"/>
    <w:rsid w:val="0088156F"/>
    <w:rsid w:val="00881E1B"/>
    <w:rsid w:val="00881F8F"/>
    <w:rsid w:val="008822FC"/>
    <w:rsid w:val="008823A2"/>
    <w:rsid w:val="0088253D"/>
    <w:rsid w:val="00882707"/>
    <w:rsid w:val="00882771"/>
    <w:rsid w:val="00882D02"/>
    <w:rsid w:val="00883450"/>
    <w:rsid w:val="0088367E"/>
    <w:rsid w:val="008836FA"/>
    <w:rsid w:val="00883869"/>
    <w:rsid w:val="0088396F"/>
    <w:rsid w:val="00883D0D"/>
    <w:rsid w:val="008840D9"/>
    <w:rsid w:val="0088427A"/>
    <w:rsid w:val="0088473D"/>
    <w:rsid w:val="008849AA"/>
    <w:rsid w:val="00884CB8"/>
    <w:rsid w:val="00885541"/>
    <w:rsid w:val="00885AE6"/>
    <w:rsid w:val="00885C23"/>
    <w:rsid w:val="00885E79"/>
    <w:rsid w:val="00886052"/>
    <w:rsid w:val="00886076"/>
    <w:rsid w:val="00886233"/>
    <w:rsid w:val="00886533"/>
    <w:rsid w:val="00886859"/>
    <w:rsid w:val="00886865"/>
    <w:rsid w:val="00886995"/>
    <w:rsid w:val="008869A2"/>
    <w:rsid w:val="00886A34"/>
    <w:rsid w:val="00886B9B"/>
    <w:rsid w:val="00886D06"/>
    <w:rsid w:val="00887542"/>
    <w:rsid w:val="0089001D"/>
    <w:rsid w:val="0089044E"/>
    <w:rsid w:val="0089078D"/>
    <w:rsid w:val="00890CCF"/>
    <w:rsid w:val="00890F9E"/>
    <w:rsid w:val="0089132D"/>
    <w:rsid w:val="00891362"/>
    <w:rsid w:val="008918B1"/>
    <w:rsid w:val="00891D9C"/>
    <w:rsid w:val="00891F46"/>
    <w:rsid w:val="008925E0"/>
    <w:rsid w:val="00892B11"/>
    <w:rsid w:val="00892F99"/>
    <w:rsid w:val="0089325D"/>
    <w:rsid w:val="00893923"/>
    <w:rsid w:val="00893ACE"/>
    <w:rsid w:val="00894230"/>
    <w:rsid w:val="00894441"/>
    <w:rsid w:val="00894ACD"/>
    <w:rsid w:val="00894E75"/>
    <w:rsid w:val="0089502C"/>
    <w:rsid w:val="008955B5"/>
    <w:rsid w:val="00895633"/>
    <w:rsid w:val="00895918"/>
    <w:rsid w:val="00895AE4"/>
    <w:rsid w:val="0089633C"/>
    <w:rsid w:val="008965D1"/>
    <w:rsid w:val="00896E76"/>
    <w:rsid w:val="00896E9A"/>
    <w:rsid w:val="00897171"/>
    <w:rsid w:val="008972D1"/>
    <w:rsid w:val="008977CE"/>
    <w:rsid w:val="00897903"/>
    <w:rsid w:val="008A01E6"/>
    <w:rsid w:val="008A0334"/>
    <w:rsid w:val="008A0D28"/>
    <w:rsid w:val="008A0F61"/>
    <w:rsid w:val="008A142D"/>
    <w:rsid w:val="008A1626"/>
    <w:rsid w:val="008A1697"/>
    <w:rsid w:val="008A1AB1"/>
    <w:rsid w:val="008A1BBD"/>
    <w:rsid w:val="008A1E5B"/>
    <w:rsid w:val="008A1F83"/>
    <w:rsid w:val="008A203E"/>
    <w:rsid w:val="008A2102"/>
    <w:rsid w:val="008A21B1"/>
    <w:rsid w:val="008A22B8"/>
    <w:rsid w:val="008A2827"/>
    <w:rsid w:val="008A291E"/>
    <w:rsid w:val="008A2B9E"/>
    <w:rsid w:val="008A3119"/>
    <w:rsid w:val="008A31CC"/>
    <w:rsid w:val="008A3366"/>
    <w:rsid w:val="008A33AD"/>
    <w:rsid w:val="008A3476"/>
    <w:rsid w:val="008A348D"/>
    <w:rsid w:val="008A37F6"/>
    <w:rsid w:val="008A3A04"/>
    <w:rsid w:val="008A3F9B"/>
    <w:rsid w:val="008A4409"/>
    <w:rsid w:val="008A46D3"/>
    <w:rsid w:val="008A476D"/>
    <w:rsid w:val="008A4A8B"/>
    <w:rsid w:val="008A4BF5"/>
    <w:rsid w:val="008A4E36"/>
    <w:rsid w:val="008A5372"/>
    <w:rsid w:val="008A54B4"/>
    <w:rsid w:val="008A56DF"/>
    <w:rsid w:val="008A585E"/>
    <w:rsid w:val="008A5868"/>
    <w:rsid w:val="008A5A95"/>
    <w:rsid w:val="008A5AE7"/>
    <w:rsid w:val="008A5CFE"/>
    <w:rsid w:val="008A6179"/>
    <w:rsid w:val="008A6184"/>
    <w:rsid w:val="008A6185"/>
    <w:rsid w:val="008A66F3"/>
    <w:rsid w:val="008A68B8"/>
    <w:rsid w:val="008A6B5D"/>
    <w:rsid w:val="008A76B0"/>
    <w:rsid w:val="008A79F7"/>
    <w:rsid w:val="008B04D4"/>
    <w:rsid w:val="008B056E"/>
    <w:rsid w:val="008B0790"/>
    <w:rsid w:val="008B0AC2"/>
    <w:rsid w:val="008B0C99"/>
    <w:rsid w:val="008B0D70"/>
    <w:rsid w:val="008B0EE9"/>
    <w:rsid w:val="008B108C"/>
    <w:rsid w:val="008B1092"/>
    <w:rsid w:val="008B12D0"/>
    <w:rsid w:val="008B16AA"/>
    <w:rsid w:val="008B1939"/>
    <w:rsid w:val="008B1D38"/>
    <w:rsid w:val="008B23AE"/>
    <w:rsid w:val="008B28B7"/>
    <w:rsid w:val="008B31AB"/>
    <w:rsid w:val="008B36C9"/>
    <w:rsid w:val="008B3856"/>
    <w:rsid w:val="008B38DD"/>
    <w:rsid w:val="008B3AFA"/>
    <w:rsid w:val="008B3D0E"/>
    <w:rsid w:val="008B3ECD"/>
    <w:rsid w:val="008B493C"/>
    <w:rsid w:val="008B4FC6"/>
    <w:rsid w:val="008B5135"/>
    <w:rsid w:val="008B5321"/>
    <w:rsid w:val="008B53D2"/>
    <w:rsid w:val="008B58F6"/>
    <w:rsid w:val="008B5A5A"/>
    <w:rsid w:val="008B5CC2"/>
    <w:rsid w:val="008B5DD7"/>
    <w:rsid w:val="008B5ECF"/>
    <w:rsid w:val="008B5F57"/>
    <w:rsid w:val="008B6006"/>
    <w:rsid w:val="008B677D"/>
    <w:rsid w:val="008B6931"/>
    <w:rsid w:val="008B6A20"/>
    <w:rsid w:val="008B6D97"/>
    <w:rsid w:val="008B732B"/>
    <w:rsid w:val="008B7399"/>
    <w:rsid w:val="008B7AD6"/>
    <w:rsid w:val="008B7BC9"/>
    <w:rsid w:val="008B7EF5"/>
    <w:rsid w:val="008C0B73"/>
    <w:rsid w:val="008C0C52"/>
    <w:rsid w:val="008C10AF"/>
    <w:rsid w:val="008C10E9"/>
    <w:rsid w:val="008C1796"/>
    <w:rsid w:val="008C1A09"/>
    <w:rsid w:val="008C1A8B"/>
    <w:rsid w:val="008C1FCD"/>
    <w:rsid w:val="008C2108"/>
    <w:rsid w:val="008C2EB4"/>
    <w:rsid w:val="008C32CF"/>
    <w:rsid w:val="008C3524"/>
    <w:rsid w:val="008C3653"/>
    <w:rsid w:val="008C3736"/>
    <w:rsid w:val="008C3862"/>
    <w:rsid w:val="008C387A"/>
    <w:rsid w:val="008C418F"/>
    <w:rsid w:val="008C41E7"/>
    <w:rsid w:val="008C42F9"/>
    <w:rsid w:val="008C440B"/>
    <w:rsid w:val="008C4491"/>
    <w:rsid w:val="008C4633"/>
    <w:rsid w:val="008C471D"/>
    <w:rsid w:val="008C4AAF"/>
    <w:rsid w:val="008C4BD1"/>
    <w:rsid w:val="008C5164"/>
    <w:rsid w:val="008C5456"/>
    <w:rsid w:val="008C5F60"/>
    <w:rsid w:val="008C60DF"/>
    <w:rsid w:val="008C61FD"/>
    <w:rsid w:val="008C6883"/>
    <w:rsid w:val="008C6944"/>
    <w:rsid w:val="008C6952"/>
    <w:rsid w:val="008C6BFA"/>
    <w:rsid w:val="008C6EE2"/>
    <w:rsid w:val="008C6FFA"/>
    <w:rsid w:val="008C7383"/>
    <w:rsid w:val="008C765A"/>
    <w:rsid w:val="008C7CA6"/>
    <w:rsid w:val="008C7E33"/>
    <w:rsid w:val="008D017A"/>
    <w:rsid w:val="008D0333"/>
    <w:rsid w:val="008D035F"/>
    <w:rsid w:val="008D0537"/>
    <w:rsid w:val="008D0664"/>
    <w:rsid w:val="008D0B95"/>
    <w:rsid w:val="008D0EA1"/>
    <w:rsid w:val="008D124F"/>
    <w:rsid w:val="008D12AE"/>
    <w:rsid w:val="008D1330"/>
    <w:rsid w:val="008D17F3"/>
    <w:rsid w:val="008D1F05"/>
    <w:rsid w:val="008D1F0C"/>
    <w:rsid w:val="008D2002"/>
    <w:rsid w:val="008D20E8"/>
    <w:rsid w:val="008D2645"/>
    <w:rsid w:val="008D2660"/>
    <w:rsid w:val="008D280E"/>
    <w:rsid w:val="008D2EE6"/>
    <w:rsid w:val="008D3521"/>
    <w:rsid w:val="008D3786"/>
    <w:rsid w:val="008D38AC"/>
    <w:rsid w:val="008D3DFC"/>
    <w:rsid w:val="008D3E15"/>
    <w:rsid w:val="008D3F88"/>
    <w:rsid w:val="008D402E"/>
    <w:rsid w:val="008D43AC"/>
    <w:rsid w:val="008D4554"/>
    <w:rsid w:val="008D47E8"/>
    <w:rsid w:val="008D47FF"/>
    <w:rsid w:val="008D4920"/>
    <w:rsid w:val="008D4C07"/>
    <w:rsid w:val="008D5959"/>
    <w:rsid w:val="008D5962"/>
    <w:rsid w:val="008D5AB3"/>
    <w:rsid w:val="008D5E28"/>
    <w:rsid w:val="008D5FAE"/>
    <w:rsid w:val="008D62FB"/>
    <w:rsid w:val="008D65EE"/>
    <w:rsid w:val="008D692D"/>
    <w:rsid w:val="008D6D22"/>
    <w:rsid w:val="008D7097"/>
    <w:rsid w:val="008D7128"/>
    <w:rsid w:val="008D71C7"/>
    <w:rsid w:val="008D72A0"/>
    <w:rsid w:val="008D7EFD"/>
    <w:rsid w:val="008E003A"/>
    <w:rsid w:val="008E0234"/>
    <w:rsid w:val="008E0601"/>
    <w:rsid w:val="008E069F"/>
    <w:rsid w:val="008E0B20"/>
    <w:rsid w:val="008E0C18"/>
    <w:rsid w:val="008E10FE"/>
    <w:rsid w:val="008E204E"/>
    <w:rsid w:val="008E2549"/>
    <w:rsid w:val="008E296D"/>
    <w:rsid w:val="008E2A0D"/>
    <w:rsid w:val="008E332A"/>
    <w:rsid w:val="008E3461"/>
    <w:rsid w:val="008E390E"/>
    <w:rsid w:val="008E3AAC"/>
    <w:rsid w:val="008E3E1C"/>
    <w:rsid w:val="008E3E2B"/>
    <w:rsid w:val="008E3F01"/>
    <w:rsid w:val="008E40E0"/>
    <w:rsid w:val="008E41E5"/>
    <w:rsid w:val="008E460A"/>
    <w:rsid w:val="008E48D4"/>
    <w:rsid w:val="008E48F1"/>
    <w:rsid w:val="008E49CE"/>
    <w:rsid w:val="008E4AC0"/>
    <w:rsid w:val="008E4ADC"/>
    <w:rsid w:val="008E4B6F"/>
    <w:rsid w:val="008E4C5A"/>
    <w:rsid w:val="008E4DA8"/>
    <w:rsid w:val="008E4FF3"/>
    <w:rsid w:val="008E536F"/>
    <w:rsid w:val="008E5C6D"/>
    <w:rsid w:val="008E5CAB"/>
    <w:rsid w:val="008E626A"/>
    <w:rsid w:val="008E6699"/>
    <w:rsid w:val="008E6993"/>
    <w:rsid w:val="008E6C2D"/>
    <w:rsid w:val="008E6DAE"/>
    <w:rsid w:val="008E7141"/>
    <w:rsid w:val="008E7316"/>
    <w:rsid w:val="008E7488"/>
    <w:rsid w:val="008E748B"/>
    <w:rsid w:val="008E76BE"/>
    <w:rsid w:val="008E76C1"/>
    <w:rsid w:val="008E7802"/>
    <w:rsid w:val="008E7929"/>
    <w:rsid w:val="008E7A4F"/>
    <w:rsid w:val="008F01A9"/>
    <w:rsid w:val="008F0297"/>
    <w:rsid w:val="008F10F2"/>
    <w:rsid w:val="008F13EE"/>
    <w:rsid w:val="008F1413"/>
    <w:rsid w:val="008F1714"/>
    <w:rsid w:val="008F1964"/>
    <w:rsid w:val="008F1CFF"/>
    <w:rsid w:val="008F2C98"/>
    <w:rsid w:val="008F2CE9"/>
    <w:rsid w:val="008F2D31"/>
    <w:rsid w:val="008F2F2C"/>
    <w:rsid w:val="008F308F"/>
    <w:rsid w:val="008F327B"/>
    <w:rsid w:val="008F3554"/>
    <w:rsid w:val="008F364B"/>
    <w:rsid w:val="008F3950"/>
    <w:rsid w:val="008F3A29"/>
    <w:rsid w:val="008F3A2B"/>
    <w:rsid w:val="008F3F1A"/>
    <w:rsid w:val="008F4079"/>
    <w:rsid w:val="008F4461"/>
    <w:rsid w:val="008F449B"/>
    <w:rsid w:val="008F45AE"/>
    <w:rsid w:val="008F47E3"/>
    <w:rsid w:val="008F49BD"/>
    <w:rsid w:val="008F4D81"/>
    <w:rsid w:val="008F5281"/>
    <w:rsid w:val="008F52DC"/>
    <w:rsid w:val="008F52E1"/>
    <w:rsid w:val="008F6006"/>
    <w:rsid w:val="008F61AF"/>
    <w:rsid w:val="008F6246"/>
    <w:rsid w:val="008F6444"/>
    <w:rsid w:val="008F678D"/>
    <w:rsid w:val="008F690E"/>
    <w:rsid w:val="008F69D3"/>
    <w:rsid w:val="008F6AB2"/>
    <w:rsid w:val="008F6D70"/>
    <w:rsid w:val="008F7597"/>
    <w:rsid w:val="008F7700"/>
    <w:rsid w:val="008F776E"/>
    <w:rsid w:val="008F7BE4"/>
    <w:rsid w:val="00900170"/>
    <w:rsid w:val="0090017A"/>
    <w:rsid w:val="009004AD"/>
    <w:rsid w:val="0090054A"/>
    <w:rsid w:val="00900C31"/>
    <w:rsid w:val="00901293"/>
    <w:rsid w:val="00901301"/>
    <w:rsid w:val="0090164D"/>
    <w:rsid w:val="0090166D"/>
    <w:rsid w:val="00901FAE"/>
    <w:rsid w:val="00902240"/>
    <w:rsid w:val="0090288C"/>
    <w:rsid w:val="00902E1D"/>
    <w:rsid w:val="00903193"/>
    <w:rsid w:val="00903BC0"/>
    <w:rsid w:val="00904481"/>
    <w:rsid w:val="00904726"/>
    <w:rsid w:val="009049C3"/>
    <w:rsid w:val="00904FEC"/>
    <w:rsid w:val="009051B5"/>
    <w:rsid w:val="009058DD"/>
    <w:rsid w:val="00905B07"/>
    <w:rsid w:val="00905FF8"/>
    <w:rsid w:val="00906079"/>
    <w:rsid w:val="00906EF4"/>
    <w:rsid w:val="0090711C"/>
    <w:rsid w:val="00907176"/>
    <w:rsid w:val="009073E8"/>
    <w:rsid w:val="00907849"/>
    <w:rsid w:val="00907BC3"/>
    <w:rsid w:val="00907BD7"/>
    <w:rsid w:val="009105C6"/>
    <w:rsid w:val="00910A2C"/>
    <w:rsid w:val="00911084"/>
    <w:rsid w:val="009110C1"/>
    <w:rsid w:val="009112E5"/>
    <w:rsid w:val="0091147C"/>
    <w:rsid w:val="00911B9C"/>
    <w:rsid w:val="00911DA8"/>
    <w:rsid w:val="00911E68"/>
    <w:rsid w:val="0091222E"/>
    <w:rsid w:val="00912420"/>
    <w:rsid w:val="0091260B"/>
    <w:rsid w:val="00912733"/>
    <w:rsid w:val="0091283C"/>
    <w:rsid w:val="00912A37"/>
    <w:rsid w:val="00912BBE"/>
    <w:rsid w:val="00913214"/>
    <w:rsid w:val="00913409"/>
    <w:rsid w:val="0091345F"/>
    <w:rsid w:val="009139C9"/>
    <w:rsid w:val="00913D50"/>
    <w:rsid w:val="00913E2E"/>
    <w:rsid w:val="009140E5"/>
    <w:rsid w:val="0091414A"/>
    <w:rsid w:val="009142BA"/>
    <w:rsid w:val="009142C8"/>
    <w:rsid w:val="009148D7"/>
    <w:rsid w:val="00914987"/>
    <w:rsid w:val="00914C12"/>
    <w:rsid w:val="00914CB0"/>
    <w:rsid w:val="0091570A"/>
    <w:rsid w:val="00915776"/>
    <w:rsid w:val="009157FA"/>
    <w:rsid w:val="00915CBB"/>
    <w:rsid w:val="009160DD"/>
    <w:rsid w:val="0091633C"/>
    <w:rsid w:val="0091696D"/>
    <w:rsid w:val="00916983"/>
    <w:rsid w:val="00916FF3"/>
    <w:rsid w:val="009170BE"/>
    <w:rsid w:val="009171A6"/>
    <w:rsid w:val="00917333"/>
    <w:rsid w:val="009179EA"/>
    <w:rsid w:val="00917C52"/>
    <w:rsid w:val="00917D52"/>
    <w:rsid w:val="00917E2B"/>
    <w:rsid w:val="00920523"/>
    <w:rsid w:val="009206A2"/>
    <w:rsid w:val="00920B86"/>
    <w:rsid w:val="00920FF3"/>
    <w:rsid w:val="0092136C"/>
    <w:rsid w:val="00921514"/>
    <w:rsid w:val="00921C4A"/>
    <w:rsid w:val="00921CDC"/>
    <w:rsid w:val="00921EFF"/>
    <w:rsid w:val="009220C0"/>
    <w:rsid w:val="009221C5"/>
    <w:rsid w:val="009224D3"/>
    <w:rsid w:val="00922570"/>
    <w:rsid w:val="009228B5"/>
    <w:rsid w:val="00922A0C"/>
    <w:rsid w:val="00922A43"/>
    <w:rsid w:val="00922B94"/>
    <w:rsid w:val="00922EF0"/>
    <w:rsid w:val="009230A9"/>
    <w:rsid w:val="009235FA"/>
    <w:rsid w:val="00923CD1"/>
    <w:rsid w:val="00923D03"/>
    <w:rsid w:val="00923F00"/>
    <w:rsid w:val="00924426"/>
    <w:rsid w:val="009245BA"/>
    <w:rsid w:val="009247A6"/>
    <w:rsid w:val="00924B32"/>
    <w:rsid w:val="009257B1"/>
    <w:rsid w:val="00925E36"/>
    <w:rsid w:val="009261D2"/>
    <w:rsid w:val="00926320"/>
    <w:rsid w:val="009267FA"/>
    <w:rsid w:val="00927072"/>
    <w:rsid w:val="00927155"/>
    <w:rsid w:val="009272FD"/>
    <w:rsid w:val="009277BE"/>
    <w:rsid w:val="00927AB4"/>
    <w:rsid w:val="00927BBD"/>
    <w:rsid w:val="00927EC4"/>
    <w:rsid w:val="009300AF"/>
    <w:rsid w:val="00930571"/>
    <w:rsid w:val="00930D1C"/>
    <w:rsid w:val="00930F4D"/>
    <w:rsid w:val="00931A3B"/>
    <w:rsid w:val="00931E2F"/>
    <w:rsid w:val="00931F3F"/>
    <w:rsid w:val="009325AD"/>
    <w:rsid w:val="009327BB"/>
    <w:rsid w:val="00932AC4"/>
    <w:rsid w:val="00932C73"/>
    <w:rsid w:val="0093319C"/>
    <w:rsid w:val="009331BC"/>
    <w:rsid w:val="00933368"/>
    <w:rsid w:val="00933816"/>
    <w:rsid w:val="00933B4E"/>
    <w:rsid w:val="00933B80"/>
    <w:rsid w:val="00933DBA"/>
    <w:rsid w:val="00933E92"/>
    <w:rsid w:val="00934024"/>
    <w:rsid w:val="00934053"/>
    <w:rsid w:val="00934142"/>
    <w:rsid w:val="00934510"/>
    <w:rsid w:val="00934723"/>
    <w:rsid w:val="009347DA"/>
    <w:rsid w:val="00934EA6"/>
    <w:rsid w:val="00934EB6"/>
    <w:rsid w:val="009352B6"/>
    <w:rsid w:val="00935EBD"/>
    <w:rsid w:val="00935EDA"/>
    <w:rsid w:val="00935F1C"/>
    <w:rsid w:val="009361B4"/>
    <w:rsid w:val="0093666F"/>
    <w:rsid w:val="00936720"/>
    <w:rsid w:val="009367C9"/>
    <w:rsid w:val="00936B76"/>
    <w:rsid w:val="00936C62"/>
    <w:rsid w:val="00936F1F"/>
    <w:rsid w:val="00936F69"/>
    <w:rsid w:val="009375A8"/>
    <w:rsid w:val="0093796B"/>
    <w:rsid w:val="00937EAF"/>
    <w:rsid w:val="00937F4D"/>
    <w:rsid w:val="009400DF"/>
    <w:rsid w:val="00940253"/>
    <w:rsid w:val="009405A0"/>
    <w:rsid w:val="009405A5"/>
    <w:rsid w:val="009406B9"/>
    <w:rsid w:val="00940993"/>
    <w:rsid w:val="009419BE"/>
    <w:rsid w:val="0094274C"/>
    <w:rsid w:val="0094274D"/>
    <w:rsid w:val="00942A39"/>
    <w:rsid w:val="00942B33"/>
    <w:rsid w:val="00942F31"/>
    <w:rsid w:val="0094346F"/>
    <w:rsid w:val="009434A0"/>
    <w:rsid w:val="009434BA"/>
    <w:rsid w:val="0094398D"/>
    <w:rsid w:val="00943BB1"/>
    <w:rsid w:val="00943FD5"/>
    <w:rsid w:val="00944336"/>
    <w:rsid w:val="0094470B"/>
    <w:rsid w:val="0094479C"/>
    <w:rsid w:val="009449C9"/>
    <w:rsid w:val="00944E29"/>
    <w:rsid w:val="00944E96"/>
    <w:rsid w:val="00945123"/>
    <w:rsid w:val="0094526D"/>
    <w:rsid w:val="0094568F"/>
    <w:rsid w:val="009459A7"/>
    <w:rsid w:val="009460B3"/>
    <w:rsid w:val="009462CF"/>
    <w:rsid w:val="009465E6"/>
    <w:rsid w:val="00946650"/>
    <w:rsid w:val="0094669E"/>
    <w:rsid w:val="00946B1B"/>
    <w:rsid w:val="00946BFE"/>
    <w:rsid w:val="00946F67"/>
    <w:rsid w:val="00947138"/>
    <w:rsid w:val="00947308"/>
    <w:rsid w:val="00947682"/>
    <w:rsid w:val="0095006C"/>
    <w:rsid w:val="0095072F"/>
    <w:rsid w:val="00950BD8"/>
    <w:rsid w:val="00950CFE"/>
    <w:rsid w:val="00950DEB"/>
    <w:rsid w:val="009512DB"/>
    <w:rsid w:val="009514F1"/>
    <w:rsid w:val="00951827"/>
    <w:rsid w:val="009518B6"/>
    <w:rsid w:val="00952395"/>
    <w:rsid w:val="00952424"/>
    <w:rsid w:val="00952558"/>
    <w:rsid w:val="009528EB"/>
    <w:rsid w:val="0095294A"/>
    <w:rsid w:val="00952CF6"/>
    <w:rsid w:val="00952DEC"/>
    <w:rsid w:val="0095324B"/>
    <w:rsid w:val="0095370C"/>
    <w:rsid w:val="00953857"/>
    <w:rsid w:val="00953A4D"/>
    <w:rsid w:val="00953CC4"/>
    <w:rsid w:val="00953D70"/>
    <w:rsid w:val="00953E30"/>
    <w:rsid w:val="00954271"/>
    <w:rsid w:val="00954331"/>
    <w:rsid w:val="009545AD"/>
    <w:rsid w:val="00954781"/>
    <w:rsid w:val="00954A47"/>
    <w:rsid w:val="00954ABC"/>
    <w:rsid w:val="00954B7B"/>
    <w:rsid w:val="0095541A"/>
    <w:rsid w:val="00955437"/>
    <w:rsid w:val="00955AA4"/>
    <w:rsid w:val="00955FC6"/>
    <w:rsid w:val="00956042"/>
    <w:rsid w:val="00956090"/>
    <w:rsid w:val="0095616B"/>
    <w:rsid w:val="009566C5"/>
    <w:rsid w:val="0095756E"/>
    <w:rsid w:val="00957686"/>
    <w:rsid w:val="00957A91"/>
    <w:rsid w:val="00957C93"/>
    <w:rsid w:val="00957D30"/>
    <w:rsid w:val="00957F8A"/>
    <w:rsid w:val="00957FC9"/>
    <w:rsid w:val="009603EE"/>
    <w:rsid w:val="00960978"/>
    <w:rsid w:val="009609A7"/>
    <w:rsid w:val="00960A2B"/>
    <w:rsid w:val="00960A5B"/>
    <w:rsid w:val="00960C60"/>
    <w:rsid w:val="00960D99"/>
    <w:rsid w:val="00960E50"/>
    <w:rsid w:val="00961276"/>
    <w:rsid w:val="00961906"/>
    <w:rsid w:val="00961CD8"/>
    <w:rsid w:val="0096206A"/>
    <w:rsid w:val="0096218F"/>
    <w:rsid w:val="0096236D"/>
    <w:rsid w:val="009623DB"/>
    <w:rsid w:val="009624C8"/>
    <w:rsid w:val="009624DB"/>
    <w:rsid w:val="009629AD"/>
    <w:rsid w:val="00962F4E"/>
    <w:rsid w:val="00962FFD"/>
    <w:rsid w:val="00963364"/>
    <w:rsid w:val="00963397"/>
    <w:rsid w:val="009633A4"/>
    <w:rsid w:val="0096357A"/>
    <w:rsid w:val="0096379D"/>
    <w:rsid w:val="0096389E"/>
    <w:rsid w:val="00963D96"/>
    <w:rsid w:val="0096404A"/>
    <w:rsid w:val="0096414E"/>
    <w:rsid w:val="009641CD"/>
    <w:rsid w:val="009642DC"/>
    <w:rsid w:val="009649B2"/>
    <w:rsid w:val="00964A2F"/>
    <w:rsid w:val="00964C81"/>
    <w:rsid w:val="00964F4F"/>
    <w:rsid w:val="009652E5"/>
    <w:rsid w:val="0096544E"/>
    <w:rsid w:val="00965858"/>
    <w:rsid w:val="00965A88"/>
    <w:rsid w:val="00965F54"/>
    <w:rsid w:val="0096630E"/>
    <w:rsid w:val="0096658E"/>
    <w:rsid w:val="00966CAB"/>
    <w:rsid w:val="00966D7C"/>
    <w:rsid w:val="00966E5D"/>
    <w:rsid w:val="00966EAE"/>
    <w:rsid w:val="009671B3"/>
    <w:rsid w:val="0096734B"/>
    <w:rsid w:val="009673AB"/>
    <w:rsid w:val="0096740A"/>
    <w:rsid w:val="00967662"/>
    <w:rsid w:val="00967973"/>
    <w:rsid w:val="00967ABF"/>
    <w:rsid w:val="00967C93"/>
    <w:rsid w:val="00967DC4"/>
    <w:rsid w:val="00970285"/>
    <w:rsid w:val="009702E2"/>
    <w:rsid w:val="00970545"/>
    <w:rsid w:val="009707C9"/>
    <w:rsid w:val="00970A93"/>
    <w:rsid w:val="00970AC8"/>
    <w:rsid w:val="009712E5"/>
    <w:rsid w:val="009719C6"/>
    <w:rsid w:val="00971BA5"/>
    <w:rsid w:val="00971D55"/>
    <w:rsid w:val="009720F2"/>
    <w:rsid w:val="00972412"/>
    <w:rsid w:val="009728FC"/>
    <w:rsid w:val="00972947"/>
    <w:rsid w:val="00972BCB"/>
    <w:rsid w:val="00972C50"/>
    <w:rsid w:val="00972E44"/>
    <w:rsid w:val="009735A0"/>
    <w:rsid w:val="00973658"/>
    <w:rsid w:val="00973755"/>
    <w:rsid w:val="00973AF7"/>
    <w:rsid w:val="00973B90"/>
    <w:rsid w:val="00973F1E"/>
    <w:rsid w:val="0097401F"/>
    <w:rsid w:val="0097450B"/>
    <w:rsid w:val="00974A98"/>
    <w:rsid w:val="00974DCD"/>
    <w:rsid w:val="00975370"/>
    <w:rsid w:val="00975C36"/>
    <w:rsid w:val="0097601B"/>
    <w:rsid w:val="00976436"/>
    <w:rsid w:val="0097650C"/>
    <w:rsid w:val="009767BA"/>
    <w:rsid w:val="00976A20"/>
    <w:rsid w:val="00976CCF"/>
    <w:rsid w:val="00977284"/>
    <w:rsid w:val="00977312"/>
    <w:rsid w:val="00977399"/>
    <w:rsid w:val="009773B1"/>
    <w:rsid w:val="0097744F"/>
    <w:rsid w:val="0097757C"/>
    <w:rsid w:val="009800DD"/>
    <w:rsid w:val="009800ED"/>
    <w:rsid w:val="00980177"/>
    <w:rsid w:val="00980545"/>
    <w:rsid w:val="0098076F"/>
    <w:rsid w:val="009808F4"/>
    <w:rsid w:val="0098174B"/>
    <w:rsid w:val="00981C32"/>
    <w:rsid w:val="00981CAE"/>
    <w:rsid w:val="00981D2E"/>
    <w:rsid w:val="00981D55"/>
    <w:rsid w:val="00981EE9"/>
    <w:rsid w:val="00981EED"/>
    <w:rsid w:val="00982647"/>
    <w:rsid w:val="009826F4"/>
    <w:rsid w:val="0098271D"/>
    <w:rsid w:val="00982B79"/>
    <w:rsid w:val="00982E26"/>
    <w:rsid w:val="00983077"/>
    <w:rsid w:val="0098325A"/>
    <w:rsid w:val="00983CFB"/>
    <w:rsid w:val="00983EE6"/>
    <w:rsid w:val="0098456D"/>
    <w:rsid w:val="009846E7"/>
    <w:rsid w:val="00984B16"/>
    <w:rsid w:val="00984C46"/>
    <w:rsid w:val="00984E95"/>
    <w:rsid w:val="009857E9"/>
    <w:rsid w:val="00985BAA"/>
    <w:rsid w:val="00985C0D"/>
    <w:rsid w:val="00985C59"/>
    <w:rsid w:val="00985D29"/>
    <w:rsid w:val="00985D2A"/>
    <w:rsid w:val="00985DED"/>
    <w:rsid w:val="00985FB3"/>
    <w:rsid w:val="0098631B"/>
    <w:rsid w:val="0098647D"/>
    <w:rsid w:val="0098649F"/>
    <w:rsid w:val="009864B7"/>
    <w:rsid w:val="00986650"/>
    <w:rsid w:val="009868EB"/>
    <w:rsid w:val="00986D7C"/>
    <w:rsid w:val="00986FF4"/>
    <w:rsid w:val="009873D8"/>
    <w:rsid w:val="00987432"/>
    <w:rsid w:val="00987872"/>
    <w:rsid w:val="00987DB9"/>
    <w:rsid w:val="00990343"/>
    <w:rsid w:val="00990767"/>
    <w:rsid w:val="00990C09"/>
    <w:rsid w:val="009910C5"/>
    <w:rsid w:val="009917C6"/>
    <w:rsid w:val="00991826"/>
    <w:rsid w:val="00991897"/>
    <w:rsid w:val="009919EB"/>
    <w:rsid w:val="00991AE5"/>
    <w:rsid w:val="00991CBC"/>
    <w:rsid w:val="00991E3E"/>
    <w:rsid w:val="0099206D"/>
    <w:rsid w:val="0099216E"/>
    <w:rsid w:val="009921C7"/>
    <w:rsid w:val="009922EC"/>
    <w:rsid w:val="00992317"/>
    <w:rsid w:val="009923C9"/>
    <w:rsid w:val="009924F6"/>
    <w:rsid w:val="0099250C"/>
    <w:rsid w:val="00992C6C"/>
    <w:rsid w:val="00992CB4"/>
    <w:rsid w:val="00992EF2"/>
    <w:rsid w:val="009930AE"/>
    <w:rsid w:val="009934C4"/>
    <w:rsid w:val="0099350D"/>
    <w:rsid w:val="00993A2E"/>
    <w:rsid w:val="00993C14"/>
    <w:rsid w:val="00993DE4"/>
    <w:rsid w:val="009940BE"/>
    <w:rsid w:val="009940D3"/>
    <w:rsid w:val="009943E5"/>
    <w:rsid w:val="00994485"/>
    <w:rsid w:val="009950A8"/>
    <w:rsid w:val="0099511C"/>
    <w:rsid w:val="00995141"/>
    <w:rsid w:val="009956F8"/>
    <w:rsid w:val="00995827"/>
    <w:rsid w:val="00995849"/>
    <w:rsid w:val="00995A64"/>
    <w:rsid w:val="0099648D"/>
    <w:rsid w:val="009966F0"/>
    <w:rsid w:val="0099681F"/>
    <w:rsid w:val="00996C38"/>
    <w:rsid w:val="00996CB6"/>
    <w:rsid w:val="00996DFE"/>
    <w:rsid w:val="00996E0F"/>
    <w:rsid w:val="00997448"/>
    <w:rsid w:val="009974A2"/>
    <w:rsid w:val="00997515"/>
    <w:rsid w:val="00997668"/>
    <w:rsid w:val="009976BF"/>
    <w:rsid w:val="00997794"/>
    <w:rsid w:val="00997987"/>
    <w:rsid w:val="00997B6A"/>
    <w:rsid w:val="009A003D"/>
    <w:rsid w:val="009A004B"/>
    <w:rsid w:val="009A075D"/>
    <w:rsid w:val="009A09F4"/>
    <w:rsid w:val="009A1201"/>
    <w:rsid w:val="009A1345"/>
    <w:rsid w:val="009A1865"/>
    <w:rsid w:val="009A1A15"/>
    <w:rsid w:val="009A1A20"/>
    <w:rsid w:val="009A1B0A"/>
    <w:rsid w:val="009A1FBF"/>
    <w:rsid w:val="009A204C"/>
    <w:rsid w:val="009A230E"/>
    <w:rsid w:val="009A2A48"/>
    <w:rsid w:val="009A2B86"/>
    <w:rsid w:val="009A2BDD"/>
    <w:rsid w:val="009A2C1E"/>
    <w:rsid w:val="009A31D8"/>
    <w:rsid w:val="009A31F3"/>
    <w:rsid w:val="009A3816"/>
    <w:rsid w:val="009A3B65"/>
    <w:rsid w:val="009A3B76"/>
    <w:rsid w:val="009A3BA3"/>
    <w:rsid w:val="009A3F8B"/>
    <w:rsid w:val="009A411E"/>
    <w:rsid w:val="009A4198"/>
    <w:rsid w:val="009A42D2"/>
    <w:rsid w:val="009A4385"/>
    <w:rsid w:val="009A441B"/>
    <w:rsid w:val="009A4C18"/>
    <w:rsid w:val="009A5714"/>
    <w:rsid w:val="009A5CF0"/>
    <w:rsid w:val="009A5D96"/>
    <w:rsid w:val="009A5E74"/>
    <w:rsid w:val="009A5EF2"/>
    <w:rsid w:val="009A6137"/>
    <w:rsid w:val="009A6182"/>
    <w:rsid w:val="009A61F2"/>
    <w:rsid w:val="009A6258"/>
    <w:rsid w:val="009A635F"/>
    <w:rsid w:val="009A658E"/>
    <w:rsid w:val="009A6591"/>
    <w:rsid w:val="009A68BB"/>
    <w:rsid w:val="009A6B64"/>
    <w:rsid w:val="009A6D60"/>
    <w:rsid w:val="009A757B"/>
    <w:rsid w:val="009A76BF"/>
    <w:rsid w:val="009A7955"/>
    <w:rsid w:val="009B0022"/>
    <w:rsid w:val="009B00E5"/>
    <w:rsid w:val="009B08FD"/>
    <w:rsid w:val="009B0932"/>
    <w:rsid w:val="009B0A18"/>
    <w:rsid w:val="009B0D39"/>
    <w:rsid w:val="009B0EE6"/>
    <w:rsid w:val="009B11F0"/>
    <w:rsid w:val="009B153F"/>
    <w:rsid w:val="009B160E"/>
    <w:rsid w:val="009B1AC8"/>
    <w:rsid w:val="009B1C2A"/>
    <w:rsid w:val="009B240C"/>
    <w:rsid w:val="009B2AB4"/>
    <w:rsid w:val="009B2C90"/>
    <w:rsid w:val="009B30BD"/>
    <w:rsid w:val="009B310A"/>
    <w:rsid w:val="009B3650"/>
    <w:rsid w:val="009B3717"/>
    <w:rsid w:val="009B39FC"/>
    <w:rsid w:val="009B3BCC"/>
    <w:rsid w:val="009B3D81"/>
    <w:rsid w:val="009B413A"/>
    <w:rsid w:val="009B48F1"/>
    <w:rsid w:val="009B4903"/>
    <w:rsid w:val="009B4D63"/>
    <w:rsid w:val="009B4DC9"/>
    <w:rsid w:val="009B51B2"/>
    <w:rsid w:val="009B5357"/>
    <w:rsid w:val="009B54ED"/>
    <w:rsid w:val="009B5717"/>
    <w:rsid w:val="009B5E27"/>
    <w:rsid w:val="009B5E5D"/>
    <w:rsid w:val="009B5F15"/>
    <w:rsid w:val="009B5FE7"/>
    <w:rsid w:val="009B638B"/>
    <w:rsid w:val="009B7CED"/>
    <w:rsid w:val="009C03F0"/>
    <w:rsid w:val="009C0498"/>
    <w:rsid w:val="009C0512"/>
    <w:rsid w:val="009C077A"/>
    <w:rsid w:val="009C09F2"/>
    <w:rsid w:val="009C0FBC"/>
    <w:rsid w:val="009C1067"/>
    <w:rsid w:val="009C11F8"/>
    <w:rsid w:val="009C131E"/>
    <w:rsid w:val="009C1497"/>
    <w:rsid w:val="009C1503"/>
    <w:rsid w:val="009C1833"/>
    <w:rsid w:val="009C18FD"/>
    <w:rsid w:val="009C1976"/>
    <w:rsid w:val="009C1A97"/>
    <w:rsid w:val="009C1D32"/>
    <w:rsid w:val="009C2462"/>
    <w:rsid w:val="009C254A"/>
    <w:rsid w:val="009C27A8"/>
    <w:rsid w:val="009C2D4C"/>
    <w:rsid w:val="009C2E48"/>
    <w:rsid w:val="009C2F24"/>
    <w:rsid w:val="009C33DD"/>
    <w:rsid w:val="009C3467"/>
    <w:rsid w:val="009C3DFA"/>
    <w:rsid w:val="009C4A12"/>
    <w:rsid w:val="009C4AC3"/>
    <w:rsid w:val="009C4D97"/>
    <w:rsid w:val="009C500D"/>
    <w:rsid w:val="009C50F6"/>
    <w:rsid w:val="009C5298"/>
    <w:rsid w:val="009C5877"/>
    <w:rsid w:val="009C5AC6"/>
    <w:rsid w:val="009C5B8B"/>
    <w:rsid w:val="009C5EBB"/>
    <w:rsid w:val="009C5EE7"/>
    <w:rsid w:val="009C617E"/>
    <w:rsid w:val="009C6C03"/>
    <w:rsid w:val="009C76F0"/>
    <w:rsid w:val="009C7A4E"/>
    <w:rsid w:val="009C7A8A"/>
    <w:rsid w:val="009C7B43"/>
    <w:rsid w:val="009D0141"/>
    <w:rsid w:val="009D01C0"/>
    <w:rsid w:val="009D027B"/>
    <w:rsid w:val="009D09F9"/>
    <w:rsid w:val="009D0C77"/>
    <w:rsid w:val="009D0D38"/>
    <w:rsid w:val="009D160D"/>
    <w:rsid w:val="009D1F24"/>
    <w:rsid w:val="009D294C"/>
    <w:rsid w:val="009D2986"/>
    <w:rsid w:val="009D2BFC"/>
    <w:rsid w:val="009D3136"/>
    <w:rsid w:val="009D3180"/>
    <w:rsid w:val="009D33D0"/>
    <w:rsid w:val="009D35C0"/>
    <w:rsid w:val="009D3969"/>
    <w:rsid w:val="009D3CED"/>
    <w:rsid w:val="009D3EA6"/>
    <w:rsid w:val="009D42AB"/>
    <w:rsid w:val="009D439C"/>
    <w:rsid w:val="009D477B"/>
    <w:rsid w:val="009D484D"/>
    <w:rsid w:val="009D4AD9"/>
    <w:rsid w:val="009D5317"/>
    <w:rsid w:val="009D53F5"/>
    <w:rsid w:val="009D57C0"/>
    <w:rsid w:val="009D59D1"/>
    <w:rsid w:val="009D5AEB"/>
    <w:rsid w:val="009D5FB8"/>
    <w:rsid w:val="009D6122"/>
    <w:rsid w:val="009D6224"/>
    <w:rsid w:val="009D688B"/>
    <w:rsid w:val="009D6B6D"/>
    <w:rsid w:val="009D6BBA"/>
    <w:rsid w:val="009D701F"/>
    <w:rsid w:val="009D72B4"/>
    <w:rsid w:val="009D72DC"/>
    <w:rsid w:val="009D790F"/>
    <w:rsid w:val="009D7BD1"/>
    <w:rsid w:val="009D7FC8"/>
    <w:rsid w:val="009E081E"/>
    <w:rsid w:val="009E092A"/>
    <w:rsid w:val="009E0B25"/>
    <w:rsid w:val="009E0DB5"/>
    <w:rsid w:val="009E10D2"/>
    <w:rsid w:val="009E1C1D"/>
    <w:rsid w:val="009E1C4B"/>
    <w:rsid w:val="009E204F"/>
    <w:rsid w:val="009E2273"/>
    <w:rsid w:val="009E2791"/>
    <w:rsid w:val="009E28D1"/>
    <w:rsid w:val="009E2ABB"/>
    <w:rsid w:val="009E2F72"/>
    <w:rsid w:val="009E3104"/>
    <w:rsid w:val="009E3338"/>
    <w:rsid w:val="009E337E"/>
    <w:rsid w:val="009E364E"/>
    <w:rsid w:val="009E3962"/>
    <w:rsid w:val="009E3BE0"/>
    <w:rsid w:val="009E3EAA"/>
    <w:rsid w:val="009E437F"/>
    <w:rsid w:val="009E44DF"/>
    <w:rsid w:val="009E4631"/>
    <w:rsid w:val="009E4AB5"/>
    <w:rsid w:val="009E4AE5"/>
    <w:rsid w:val="009E4E82"/>
    <w:rsid w:val="009E5063"/>
    <w:rsid w:val="009E52C6"/>
    <w:rsid w:val="009E591E"/>
    <w:rsid w:val="009E5BA8"/>
    <w:rsid w:val="009E5F91"/>
    <w:rsid w:val="009E5FDA"/>
    <w:rsid w:val="009E6152"/>
    <w:rsid w:val="009E6599"/>
    <w:rsid w:val="009E66D8"/>
    <w:rsid w:val="009E6DE1"/>
    <w:rsid w:val="009E6E25"/>
    <w:rsid w:val="009E7140"/>
    <w:rsid w:val="009E77B6"/>
    <w:rsid w:val="009E77D9"/>
    <w:rsid w:val="009E78A3"/>
    <w:rsid w:val="009E7B9C"/>
    <w:rsid w:val="009F044B"/>
    <w:rsid w:val="009F069E"/>
    <w:rsid w:val="009F08F3"/>
    <w:rsid w:val="009F0A1C"/>
    <w:rsid w:val="009F0D03"/>
    <w:rsid w:val="009F0D59"/>
    <w:rsid w:val="009F14B3"/>
    <w:rsid w:val="009F16A1"/>
    <w:rsid w:val="009F17B3"/>
    <w:rsid w:val="009F1824"/>
    <w:rsid w:val="009F1AA9"/>
    <w:rsid w:val="009F1B2D"/>
    <w:rsid w:val="009F1D3A"/>
    <w:rsid w:val="009F1E21"/>
    <w:rsid w:val="009F22D2"/>
    <w:rsid w:val="009F276F"/>
    <w:rsid w:val="009F2CE9"/>
    <w:rsid w:val="009F3004"/>
    <w:rsid w:val="009F334B"/>
    <w:rsid w:val="009F338E"/>
    <w:rsid w:val="009F33F4"/>
    <w:rsid w:val="009F3649"/>
    <w:rsid w:val="009F3748"/>
    <w:rsid w:val="009F3CC0"/>
    <w:rsid w:val="009F3E2E"/>
    <w:rsid w:val="009F408A"/>
    <w:rsid w:val="009F43BE"/>
    <w:rsid w:val="009F4922"/>
    <w:rsid w:val="009F4C5C"/>
    <w:rsid w:val="009F5059"/>
    <w:rsid w:val="009F5082"/>
    <w:rsid w:val="009F5196"/>
    <w:rsid w:val="009F54B0"/>
    <w:rsid w:val="009F5509"/>
    <w:rsid w:val="009F598C"/>
    <w:rsid w:val="009F5B4A"/>
    <w:rsid w:val="009F5B5F"/>
    <w:rsid w:val="009F5BF3"/>
    <w:rsid w:val="009F61F2"/>
    <w:rsid w:val="009F6268"/>
    <w:rsid w:val="009F62FD"/>
    <w:rsid w:val="009F6A8B"/>
    <w:rsid w:val="009F6AEE"/>
    <w:rsid w:val="009F6B7A"/>
    <w:rsid w:val="009F70B8"/>
    <w:rsid w:val="009F7277"/>
    <w:rsid w:val="009F745D"/>
    <w:rsid w:val="009F7A21"/>
    <w:rsid w:val="009F7C93"/>
    <w:rsid w:val="00A003AF"/>
    <w:rsid w:val="00A00510"/>
    <w:rsid w:val="00A00ADD"/>
    <w:rsid w:val="00A00B8F"/>
    <w:rsid w:val="00A011AA"/>
    <w:rsid w:val="00A013C0"/>
    <w:rsid w:val="00A013F6"/>
    <w:rsid w:val="00A014EC"/>
    <w:rsid w:val="00A01877"/>
    <w:rsid w:val="00A01BFF"/>
    <w:rsid w:val="00A023AA"/>
    <w:rsid w:val="00A02832"/>
    <w:rsid w:val="00A0294E"/>
    <w:rsid w:val="00A0373E"/>
    <w:rsid w:val="00A03A85"/>
    <w:rsid w:val="00A03E2D"/>
    <w:rsid w:val="00A04FF0"/>
    <w:rsid w:val="00A05496"/>
    <w:rsid w:val="00A055A0"/>
    <w:rsid w:val="00A05611"/>
    <w:rsid w:val="00A0589D"/>
    <w:rsid w:val="00A05AC6"/>
    <w:rsid w:val="00A05B0A"/>
    <w:rsid w:val="00A05BF6"/>
    <w:rsid w:val="00A05C2A"/>
    <w:rsid w:val="00A05C65"/>
    <w:rsid w:val="00A05DBF"/>
    <w:rsid w:val="00A06710"/>
    <w:rsid w:val="00A067C3"/>
    <w:rsid w:val="00A06ABB"/>
    <w:rsid w:val="00A06EAA"/>
    <w:rsid w:val="00A06F95"/>
    <w:rsid w:val="00A070EA"/>
    <w:rsid w:val="00A07269"/>
    <w:rsid w:val="00A07326"/>
    <w:rsid w:val="00A07621"/>
    <w:rsid w:val="00A076CC"/>
    <w:rsid w:val="00A07946"/>
    <w:rsid w:val="00A07B82"/>
    <w:rsid w:val="00A07CA6"/>
    <w:rsid w:val="00A07E0D"/>
    <w:rsid w:val="00A10C51"/>
    <w:rsid w:val="00A10DF5"/>
    <w:rsid w:val="00A10E9F"/>
    <w:rsid w:val="00A11145"/>
    <w:rsid w:val="00A11A19"/>
    <w:rsid w:val="00A11BCC"/>
    <w:rsid w:val="00A11F60"/>
    <w:rsid w:val="00A12342"/>
    <w:rsid w:val="00A12396"/>
    <w:rsid w:val="00A1247B"/>
    <w:rsid w:val="00A129BC"/>
    <w:rsid w:val="00A12A34"/>
    <w:rsid w:val="00A12B13"/>
    <w:rsid w:val="00A12E0D"/>
    <w:rsid w:val="00A1339A"/>
    <w:rsid w:val="00A13B4E"/>
    <w:rsid w:val="00A13CC1"/>
    <w:rsid w:val="00A14382"/>
    <w:rsid w:val="00A1439D"/>
    <w:rsid w:val="00A147B3"/>
    <w:rsid w:val="00A14907"/>
    <w:rsid w:val="00A14D5A"/>
    <w:rsid w:val="00A1544D"/>
    <w:rsid w:val="00A156D6"/>
    <w:rsid w:val="00A157AD"/>
    <w:rsid w:val="00A158F5"/>
    <w:rsid w:val="00A1595F"/>
    <w:rsid w:val="00A15ADA"/>
    <w:rsid w:val="00A15DBC"/>
    <w:rsid w:val="00A15EB5"/>
    <w:rsid w:val="00A16307"/>
    <w:rsid w:val="00A16504"/>
    <w:rsid w:val="00A16636"/>
    <w:rsid w:val="00A16BA0"/>
    <w:rsid w:val="00A16CFF"/>
    <w:rsid w:val="00A17007"/>
    <w:rsid w:val="00A17395"/>
    <w:rsid w:val="00A17A90"/>
    <w:rsid w:val="00A17C9C"/>
    <w:rsid w:val="00A206E5"/>
    <w:rsid w:val="00A2085E"/>
    <w:rsid w:val="00A20D3A"/>
    <w:rsid w:val="00A20DF8"/>
    <w:rsid w:val="00A21076"/>
    <w:rsid w:val="00A21E3C"/>
    <w:rsid w:val="00A222A5"/>
    <w:rsid w:val="00A22460"/>
    <w:rsid w:val="00A22658"/>
    <w:rsid w:val="00A23245"/>
    <w:rsid w:val="00A2330E"/>
    <w:rsid w:val="00A23607"/>
    <w:rsid w:val="00A23814"/>
    <w:rsid w:val="00A2384A"/>
    <w:rsid w:val="00A23B82"/>
    <w:rsid w:val="00A23BDC"/>
    <w:rsid w:val="00A23EC7"/>
    <w:rsid w:val="00A23FEA"/>
    <w:rsid w:val="00A24073"/>
    <w:rsid w:val="00A2407D"/>
    <w:rsid w:val="00A240E2"/>
    <w:rsid w:val="00A2482A"/>
    <w:rsid w:val="00A24882"/>
    <w:rsid w:val="00A248BA"/>
    <w:rsid w:val="00A249B8"/>
    <w:rsid w:val="00A24B0E"/>
    <w:rsid w:val="00A24B17"/>
    <w:rsid w:val="00A24B2D"/>
    <w:rsid w:val="00A25009"/>
    <w:rsid w:val="00A2525C"/>
    <w:rsid w:val="00A25324"/>
    <w:rsid w:val="00A254BA"/>
    <w:rsid w:val="00A25671"/>
    <w:rsid w:val="00A25AB3"/>
    <w:rsid w:val="00A25DC1"/>
    <w:rsid w:val="00A2606B"/>
    <w:rsid w:val="00A261C2"/>
    <w:rsid w:val="00A264E0"/>
    <w:rsid w:val="00A26542"/>
    <w:rsid w:val="00A267C1"/>
    <w:rsid w:val="00A271B4"/>
    <w:rsid w:val="00A2737D"/>
    <w:rsid w:val="00A27459"/>
    <w:rsid w:val="00A275B7"/>
    <w:rsid w:val="00A276B5"/>
    <w:rsid w:val="00A277B5"/>
    <w:rsid w:val="00A27B32"/>
    <w:rsid w:val="00A27D77"/>
    <w:rsid w:val="00A30172"/>
    <w:rsid w:val="00A3055F"/>
    <w:rsid w:val="00A30651"/>
    <w:rsid w:val="00A3072B"/>
    <w:rsid w:val="00A30752"/>
    <w:rsid w:val="00A307EF"/>
    <w:rsid w:val="00A30B0A"/>
    <w:rsid w:val="00A31270"/>
    <w:rsid w:val="00A3129F"/>
    <w:rsid w:val="00A312DA"/>
    <w:rsid w:val="00A31FD1"/>
    <w:rsid w:val="00A3214C"/>
    <w:rsid w:val="00A327E8"/>
    <w:rsid w:val="00A329AF"/>
    <w:rsid w:val="00A329E2"/>
    <w:rsid w:val="00A32A3F"/>
    <w:rsid w:val="00A32AF8"/>
    <w:rsid w:val="00A32C4F"/>
    <w:rsid w:val="00A32DB3"/>
    <w:rsid w:val="00A3386C"/>
    <w:rsid w:val="00A33EDE"/>
    <w:rsid w:val="00A349A3"/>
    <w:rsid w:val="00A34F9F"/>
    <w:rsid w:val="00A3503B"/>
    <w:rsid w:val="00A35121"/>
    <w:rsid w:val="00A3512F"/>
    <w:rsid w:val="00A356BD"/>
    <w:rsid w:val="00A357E0"/>
    <w:rsid w:val="00A3593B"/>
    <w:rsid w:val="00A35CB4"/>
    <w:rsid w:val="00A366F6"/>
    <w:rsid w:val="00A36F59"/>
    <w:rsid w:val="00A3700C"/>
    <w:rsid w:val="00A375BD"/>
    <w:rsid w:val="00A37D8A"/>
    <w:rsid w:val="00A37F85"/>
    <w:rsid w:val="00A401D0"/>
    <w:rsid w:val="00A405FB"/>
    <w:rsid w:val="00A40BDD"/>
    <w:rsid w:val="00A40C5B"/>
    <w:rsid w:val="00A40D18"/>
    <w:rsid w:val="00A40FA1"/>
    <w:rsid w:val="00A41081"/>
    <w:rsid w:val="00A411A4"/>
    <w:rsid w:val="00A413FE"/>
    <w:rsid w:val="00A415DD"/>
    <w:rsid w:val="00A4171F"/>
    <w:rsid w:val="00A41AA1"/>
    <w:rsid w:val="00A41EED"/>
    <w:rsid w:val="00A41F98"/>
    <w:rsid w:val="00A42237"/>
    <w:rsid w:val="00A42725"/>
    <w:rsid w:val="00A4286B"/>
    <w:rsid w:val="00A42C96"/>
    <w:rsid w:val="00A42D96"/>
    <w:rsid w:val="00A42DAE"/>
    <w:rsid w:val="00A43044"/>
    <w:rsid w:val="00A4376B"/>
    <w:rsid w:val="00A437B9"/>
    <w:rsid w:val="00A4395D"/>
    <w:rsid w:val="00A43D39"/>
    <w:rsid w:val="00A43E37"/>
    <w:rsid w:val="00A43F80"/>
    <w:rsid w:val="00A44005"/>
    <w:rsid w:val="00A44209"/>
    <w:rsid w:val="00A443E8"/>
    <w:rsid w:val="00A44641"/>
    <w:rsid w:val="00A44E9C"/>
    <w:rsid w:val="00A45133"/>
    <w:rsid w:val="00A45350"/>
    <w:rsid w:val="00A455FF"/>
    <w:rsid w:val="00A4567C"/>
    <w:rsid w:val="00A456C4"/>
    <w:rsid w:val="00A45C3A"/>
    <w:rsid w:val="00A45D85"/>
    <w:rsid w:val="00A45E55"/>
    <w:rsid w:val="00A464B3"/>
    <w:rsid w:val="00A468F4"/>
    <w:rsid w:val="00A46953"/>
    <w:rsid w:val="00A46978"/>
    <w:rsid w:val="00A46A5A"/>
    <w:rsid w:val="00A46B70"/>
    <w:rsid w:val="00A46C3D"/>
    <w:rsid w:val="00A46DE4"/>
    <w:rsid w:val="00A4744F"/>
    <w:rsid w:val="00A474CB"/>
    <w:rsid w:val="00A47595"/>
    <w:rsid w:val="00A47B48"/>
    <w:rsid w:val="00A50217"/>
    <w:rsid w:val="00A5036C"/>
    <w:rsid w:val="00A50B73"/>
    <w:rsid w:val="00A50F9A"/>
    <w:rsid w:val="00A51190"/>
    <w:rsid w:val="00A51737"/>
    <w:rsid w:val="00A519A6"/>
    <w:rsid w:val="00A51C86"/>
    <w:rsid w:val="00A51EE5"/>
    <w:rsid w:val="00A51EEB"/>
    <w:rsid w:val="00A52889"/>
    <w:rsid w:val="00A52ADF"/>
    <w:rsid w:val="00A52B35"/>
    <w:rsid w:val="00A52BC8"/>
    <w:rsid w:val="00A531D7"/>
    <w:rsid w:val="00A5325B"/>
    <w:rsid w:val="00A5346D"/>
    <w:rsid w:val="00A53B01"/>
    <w:rsid w:val="00A53D38"/>
    <w:rsid w:val="00A54078"/>
    <w:rsid w:val="00A542B7"/>
    <w:rsid w:val="00A54BE2"/>
    <w:rsid w:val="00A54F46"/>
    <w:rsid w:val="00A554C5"/>
    <w:rsid w:val="00A554EF"/>
    <w:rsid w:val="00A55583"/>
    <w:rsid w:val="00A55661"/>
    <w:rsid w:val="00A556FB"/>
    <w:rsid w:val="00A55AD7"/>
    <w:rsid w:val="00A5616E"/>
    <w:rsid w:val="00A56256"/>
    <w:rsid w:val="00A56357"/>
    <w:rsid w:val="00A570B4"/>
    <w:rsid w:val="00A57349"/>
    <w:rsid w:val="00A57683"/>
    <w:rsid w:val="00A57689"/>
    <w:rsid w:val="00A57C11"/>
    <w:rsid w:val="00A57CE2"/>
    <w:rsid w:val="00A57E15"/>
    <w:rsid w:val="00A57FFC"/>
    <w:rsid w:val="00A60328"/>
    <w:rsid w:val="00A6060D"/>
    <w:rsid w:val="00A60785"/>
    <w:rsid w:val="00A60E61"/>
    <w:rsid w:val="00A61890"/>
    <w:rsid w:val="00A61E54"/>
    <w:rsid w:val="00A6209B"/>
    <w:rsid w:val="00A62289"/>
    <w:rsid w:val="00A6230F"/>
    <w:rsid w:val="00A6282E"/>
    <w:rsid w:val="00A62D49"/>
    <w:rsid w:val="00A633CD"/>
    <w:rsid w:val="00A6387A"/>
    <w:rsid w:val="00A63965"/>
    <w:rsid w:val="00A63AF0"/>
    <w:rsid w:val="00A643E1"/>
    <w:rsid w:val="00A64C24"/>
    <w:rsid w:val="00A64EAC"/>
    <w:rsid w:val="00A64FFC"/>
    <w:rsid w:val="00A651AD"/>
    <w:rsid w:val="00A652B1"/>
    <w:rsid w:val="00A65492"/>
    <w:rsid w:val="00A655D9"/>
    <w:rsid w:val="00A65A38"/>
    <w:rsid w:val="00A65DF3"/>
    <w:rsid w:val="00A65F64"/>
    <w:rsid w:val="00A665BC"/>
    <w:rsid w:val="00A66A3B"/>
    <w:rsid w:val="00A66AAE"/>
    <w:rsid w:val="00A670E7"/>
    <w:rsid w:val="00A6721D"/>
    <w:rsid w:val="00A67496"/>
    <w:rsid w:val="00A674C9"/>
    <w:rsid w:val="00A67510"/>
    <w:rsid w:val="00A67741"/>
    <w:rsid w:val="00A678E5"/>
    <w:rsid w:val="00A67C76"/>
    <w:rsid w:val="00A67C77"/>
    <w:rsid w:val="00A67E54"/>
    <w:rsid w:val="00A7009C"/>
    <w:rsid w:val="00A702A2"/>
    <w:rsid w:val="00A70DD3"/>
    <w:rsid w:val="00A7152B"/>
    <w:rsid w:val="00A71735"/>
    <w:rsid w:val="00A71EA6"/>
    <w:rsid w:val="00A72121"/>
    <w:rsid w:val="00A72C16"/>
    <w:rsid w:val="00A72CF7"/>
    <w:rsid w:val="00A73E4F"/>
    <w:rsid w:val="00A745EA"/>
    <w:rsid w:val="00A746DA"/>
    <w:rsid w:val="00A7471C"/>
    <w:rsid w:val="00A74743"/>
    <w:rsid w:val="00A74D01"/>
    <w:rsid w:val="00A74DAC"/>
    <w:rsid w:val="00A7578E"/>
    <w:rsid w:val="00A757CC"/>
    <w:rsid w:val="00A75B4C"/>
    <w:rsid w:val="00A766A3"/>
    <w:rsid w:val="00A76D35"/>
    <w:rsid w:val="00A7730D"/>
    <w:rsid w:val="00A77399"/>
    <w:rsid w:val="00A774BE"/>
    <w:rsid w:val="00A77669"/>
    <w:rsid w:val="00A7772D"/>
    <w:rsid w:val="00A7775C"/>
    <w:rsid w:val="00A80094"/>
    <w:rsid w:val="00A8028E"/>
    <w:rsid w:val="00A802DB"/>
    <w:rsid w:val="00A80322"/>
    <w:rsid w:val="00A80337"/>
    <w:rsid w:val="00A80477"/>
    <w:rsid w:val="00A806D4"/>
    <w:rsid w:val="00A8094C"/>
    <w:rsid w:val="00A80C74"/>
    <w:rsid w:val="00A81269"/>
    <w:rsid w:val="00A81A0E"/>
    <w:rsid w:val="00A81AC2"/>
    <w:rsid w:val="00A81F76"/>
    <w:rsid w:val="00A82067"/>
    <w:rsid w:val="00A8210A"/>
    <w:rsid w:val="00A82113"/>
    <w:rsid w:val="00A821A1"/>
    <w:rsid w:val="00A821EA"/>
    <w:rsid w:val="00A826E2"/>
    <w:rsid w:val="00A827B5"/>
    <w:rsid w:val="00A82E82"/>
    <w:rsid w:val="00A82FB7"/>
    <w:rsid w:val="00A831C4"/>
    <w:rsid w:val="00A83219"/>
    <w:rsid w:val="00A8385E"/>
    <w:rsid w:val="00A8394A"/>
    <w:rsid w:val="00A83A63"/>
    <w:rsid w:val="00A83C5E"/>
    <w:rsid w:val="00A840AB"/>
    <w:rsid w:val="00A841B8"/>
    <w:rsid w:val="00A842A4"/>
    <w:rsid w:val="00A843FB"/>
    <w:rsid w:val="00A84AAC"/>
    <w:rsid w:val="00A84CA9"/>
    <w:rsid w:val="00A8500A"/>
    <w:rsid w:val="00A85157"/>
    <w:rsid w:val="00A85821"/>
    <w:rsid w:val="00A860D7"/>
    <w:rsid w:val="00A86108"/>
    <w:rsid w:val="00A864A5"/>
    <w:rsid w:val="00A86981"/>
    <w:rsid w:val="00A86CEC"/>
    <w:rsid w:val="00A86DF2"/>
    <w:rsid w:val="00A870A6"/>
    <w:rsid w:val="00A87716"/>
    <w:rsid w:val="00A87894"/>
    <w:rsid w:val="00A87B37"/>
    <w:rsid w:val="00A87BED"/>
    <w:rsid w:val="00A87C96"/>
    <w:rsid w:val="00A87C98"/>
    <w:rsid w:val="00A87CB6"/>
    <w:rsid w:val="00A90073"/>
    <w:rsid w:val="00A904C0"/>
    <w:rsid w:val="00A90626"/>
    <w:rsid w:val="00A90664"/>
    <w:rsid w:val="00A906A7"/>
    <w:rsid w:val="00A90743"/>
    <w:rsid w:val="00A90761"/>
    <w:rsid w:val="00A907B6"/>
    <w:rsid w:val="00A90D17"/>
    <w:rsid w:val="00A916B9"/>
    <w:rsid w:val="00A91FF3"/>
    <w:rsid w:val="00A925D5"/>
    <w:rsid w:val="00A926A1"/>
    <w:rsid w:val="00A92CA1"/>
    <w:rsid w:val="00A93033"/>
    <w:rsid w:val="00A93585"/>
    <w:rsid w:val="00A935AF"/>
    <w:rsid w:val="00A937C6"/>
    <w:rsid w:val="00A939AF"/>
    <w:rsid w:val="00A93A19"/>
    <w:rsid w:val="00A93D21"/>
    <w:rsid w:val="00A93DC7"/>
    <w:rsid w:val="00A93EE3"/>
    <w:rsid w:val="00A9499F"/>
    <w:rsid w:val="00A94A82"/>
    <w:rsid w:val="00A94B07"/>
    <w:rsid w:val="00A94B54"/>
    <w:rsid w:val="00A94C85"/>
    <w:rsid w:val="00A94DE6"/>
    <w:rsid w:val="00A95897"/>
    <w:rsid w:val="00A95D6D"/>
    <w:rsid w:val="00A96162"/>
    <w:rsid w:val="00A96634"/>
    <w:rsid w:val="00A966F8"/>
    <w:rsid w:val="00A96761"/>
    <w:rsid w:val="00A96EC6"/>
    <w:rsid w:val="00A97176"/>
    <w:rsid w:val="00A9756F"/>
    <w:rsid w:val="00A97762"/>
    <w:rsid w:val="00A977C9"/>
    <w:rsid w:val="00A9799A"/>
    <w:rsid w:val="00A97E8E"/>
    <w:rsid w:val="00A97FF9"/>
    <w:rsid w:val="00AA08EB"/>
    <w:rsid w:val="00AA0A93"/>
    <w:rsid w:val="00AA0C12"/>
    <w:rsid w:val="00AA0D48"/>
    <w:rsid w:val="00AA1087"/>
    <w:rsid w:val="00AA113B"/>
    <w:rsid w:val="00AA2104"/>
    <w:rsid w:val="00AA223E"/>
    <w:rsid w:val="00AA254F"/>
    <w:rsid w:val="00AA25A1"/>
    <w:rsid w:val="00AA27E7"/>
    <w:rsid w:val="00AA2E5D"/>
    <w:rsid w:val="00AA39BF"/>
    <w:rsid w:val="00AA3F73"/>
    <w:rsid w:val="00AA424B"/>
    <w:rsid w:val="00AA464C"/>
    <w:rsid w:val="00AA46DA"/>
    <w:rsid w:val="00AA4AB5"/>
    <w:rsid w:val="00AA4E00"/>
    <w:rsid w:val="00AA5441"/>
    <w:rsid w:val="00AA5807"/>
    <w:rsid w:val="00AA5B54"/>
    <w:rsid w:val="00AA5CDD"/>
    <w:rsid w:val="00AA6799"/>
    <w:rsid w:val="00AA6C15"/>
    <w:rsid w:val="00AA6D95"/>
    <w:rsid w:val="00AA6DB8"/>
    <w:rsid w:val="00AA70B8"/>
    <w:rsid w:val="00AA749A"/>
    <w:rsid w:val="00AA7636"/>
    <w:rsid w:val="00AA7A45"/>
    <w:rsid w:val="00AA7A49"/>
    <w:rsid w:val="00AA7AF5"/>
    <w:rsid w:val="00AB025F"/>
    <w:rsid w:val="00AB0546"/>
    <w:rsid w:val="00AB0786"/>
    <w:rsid w:val="00AB0AFE"/>
    <w:rsid w:val="00AB0D5C"/>
    <w:rsid w:val="00AB10C9"/>
    <w:rsid w:val="00AB1427"/>
    <w:rsid w:val="00AB15E6"/>
    <w:rsid w:val="00AB17FE"/>
    <w:rsid w:val="00AB1880"/>
    <w:rsid w:val="00AB18F5"/>
    <w:rsid w:val="00AB1950"/>
    <w:rsid w:val="00AB1A0D"/>
    <w:rsid w:val="00AB1EEB"/>
    <w:rsid w:val="00AB1F45"/>
    <w:rsid w:val="00AB238C"/>
    <w:rsid w:val="00AB23FF"/>
    <w:rsid w:val="00AB244F"/>
    <w:rsid w:val="00AB2ADC"/>
    <w:rsid w:val="00AB31E1"/>
    <w:rsid w:val="00AB3280"/>
    <w:rsid w:val="00AB3663"/>
    <w:rsid w:val="00AB39D9"/>
    <w:rsid w:val="00AB3B63"/>
    <w:rsid w:val="00AB3DB3"/>
    <w:rsid w:val="00AB3DF3"/>
    <w:rsid w:val="00AB4053"/>
    <w:rsid w:val="00AB405B"/>
    <w:rsid w:val="00AB469A"/>
    <w:rsid w:val="00AB46BA"/>
    <w:rsid w:val="00AB479E"/>
    <w:rsid w:val="00AB4B5A"/>
    <w:rsid w:val="00AB4D82"/>
    <w:rsid w:val="00AB51AC"/>
    <w:rsid w:val="00AB5630"/>
    <w:rsid w:val="00AB5640"/>
    <w:rsid w:val="00AB59CD"/>
    <w:rsid w:val="00AB5A98"/>
    <w:rsid w:val="00AB5C37"/>
    <w:rsid w:val="00AB5D77"/>
    <w:rsid w:val="00AB5E7C"/>
    <w:rsid w:val="00AB701C"/>
    <w:rsid w:val="00AB7226"/>
    <w:rsid w:val="00AB73C8"/>
    <w:rsid w:val="00AB74CF"/>
    <w:rsid w:val="00AB7539"/>
    <w:rsid w:val="00AB780E"/>
    <w:rsid w:val="00AB7F27"/>
    <w:rsid w:val="00AC0160"/>
    <w:rsid w:val="00AC01C4"/>
    <w:rsid w:val="00AC043C"/>
    <w:rsid w:val="00AC08A4"/>
    <w:rsid w:val="00AC0CEB"/>
    <w:rsid w:val="00AC193A"/>
    <w:rsid w:val="00AC1B81"/>
    <w:rsid w:val="00AC242C"/>
    <w:rsid w:val="00AC2495"/>
    <w:rsid w:val="00AC2A77"/>
    <w:rsid w:val="00AC2CA5"/>
    <w:rsid w:val="00AC2FE9"/>
    <w:rsid w:val="00AC31B1"/>
    <w:rsid w:val="00AC31E6"/>
    <w:rsid w:val="00AC31E8"/>
    <w:rsid w:val="00AC3322"/>
    <w:rsid w:val="00AC35E7"/>
    <w:rsid w:val="00AC386A"/>
    <w:rsid w:val="00AC3D85"/>
    <w:rsid w:val="00AC3DB9"/>
    <w:rsid w:val="00AC4138"/>
    <w:rsid w:val="00AC459A"/>
    <w:rsid w:val="00AC45A6"/>
    <w:rsid w:val="00AC4718"/>
    <w:rsid w:val="00AC4B42"/>
    <w:rsid w:val="00AC4B77"/>
    <w:rsid w:val="00AC4BE2"/>
    <w:rsid w:val="00AC4DAB"/>
    <w:rsid w:val="00AC5089"/>
    <w:rsid w:val="00AC52C9"/>
    <w:rsid w:val="00AC53E0"/>
    <w:rsid w:val="00AC54A7"/>
    <w:rsid w:val="00AC568F"/>
    <w:rsid w:val="00AC5967"/>
    <w:rsid w:val="00AC5C62"/>
    <w:rsid w:val="00AC6294"/>
    <w:rsid w:val="00AC63F9"/>
    <w:rsid w:val="00AC643A"/>
    <w:rsid w:val="00AC6485"/>
    <w:rsid w:val="00AC64C4"/>
    <w:rsid w:val="00AC6532"/>
    <w:rsid w:val="00AC6A46"/>
    <w:rsid w:val="00AC6AD6"/>
    <w:rsid w:val="00AC6BCE"/>
    <w:rsid w:val="00AC6E5E"/>
    <w:rsid w:val="00AC6F04"/>
    <w:rsid w:val="00AC6F57"/>
    <w:rsid w:val="00AC6FD5"/>
    <w:rsid w:val="00AC6FF2"/>
    <w:rsid w:val="00AC761B"/>
    <w:rsid w:val="00AC796E"/>
    <w:rsid w:val="00AC7A81"/>
    <w:rsid w:val="00AD0156"/>
    <w:rsid w:val="00AD04AB"/>
    <w:rsid w:val="00AD069D"/>
    <w:rsid w:val="00AD069F"/>
    <w:rsid w:val="00AD07FA"/>
    <w:rsid w:val="00AD0885"/>
    <w:rsid w:val="00AD0AEE"/>
    <w:rsid w:val="00AD0F5D"/>
    <w:rsid w:val="00AD1021"/>
    <w:rsid w:val="00AD14F2"/>
    <w:rsid w:val="00AD1528"/>
    <w:rsid w:val="00AD16C0"/>
    <w:rsid w:val="00AD1D80"/>
    <w:rsid w:val="00AD1FD7"/>
    <w:rsid w:val="00AD2378"/>
    <w:rsid w:val="00AD2513"/>
    <w:rsid w:val="00AD2591"/>
    <w:rsid w:val="00AD2867"/>
    <w:rsid w:val="00AD2936"/>
    <w:rsid w:val="00AD2CBE"/>
    <w:rsid w:val="00AD2EFD"/>
    <w:rsid w:val="00AD339F"/>
    <w:rsid w:val="00AD3439"/>
    <w:rsid w:val="00AD3564"/>
    <w:rsid w:val="00AD35C2"/>
    <w:rsid w:val="00AD3826"/>
    <w:rsid w:val="00AD3C52"/>
    <w:rsid w:val="00AD4100"/>
    <w:rsid w:val="00AD4567"/>
    <w:rsid w:val="00AD4A4B"/>
    <w:rsid w:val="00AD4B25"/>
    <w:rsid w:val="00AD4C9B"/>
    <w:rsid w:val="00AD4E39"/>
    <w:rsid w:val="00AD4EDA"/>
    <w:rsid w:val="00AD52FB"/>
    <w:rsid w:val="00AD56F5"/>
    <w:rsid w:val="00AD5B39"/>
    <w:rsid w:val="00AD5EDA"/>
    <w:rsid w:val="00AD608C"/>
    <w:rsid w:val="00AD68C5"/>
    <w:rsid w:val="00AD6AE0"/>
    <w:rsid w:val="00AD6D2C"/>
    <w:rsid w:val="00AD6F93"/>
    <w:rsid w:val="00AD715C"/>
    <w:rsid w:val="00AD79B0"/>
    <w:rsid w:val="00AD79E9"/>
    <w:rsid w:val="00AD7A6F"/>
    <w:rsid w:val="00AD7D99"/>
    <w:rsid w:val="00AD7F43"/>
    <w:rsid w:val="00AE04EB"/>
    <w:rsid w:val="00AE0656"/>
    <w:rsid w:val="00AE069B"/>
    <w:rsid w:val="00AE1018"/>
    <w:rsid w:val="00AE1123"/>
    <w:rsid w:val="00AE1144"/>
    <w:rsid w:val="00AE1660"/>
    <w:rsid w:val="00AE1736"/>
    <w:rsid w:val="00AE1DBC"/>
    <w:rsid w:val="00AE1E65"/>
    <w:rsid w:val="00AE1E75"/>
    <w:rsid w:val="00AE240B"/>
    <w:rsid w:val="00AE2836"/>
    <w:rsid w:val="00AE2AB8"/>
    <w:rsid w:val="00AE2B01"/>
    <w:rsid w:val="00AE2E85"/>
    <w:rsid w:val="00AE3A51"/>
    <w:rsid w:val="00AE3E25"/>
    <w:rsid w:val="00AE404A"/>
    <w:rsid w:val="00AE42A9"/>
    <w:rsid w:val="00AE4393"/>
    <w:rsid w:val="00AE4681"/>
    <w:rsid w:val="00AE4D99"/>
    <w:rsid w:val="00AE5450"/>
    <w:rsid w:val="00AE5696"/>
    <w:rsid w:val="00AE56C5"/>
    <w:rsid w:val="00AE59A9"/>
    <w:rsid w:val="00AE5B44"/>
    <w:rsid w:val="00AE6106"/>
    <w:rsid w:val="00AE6214"/>
    <w:rsid w:val="00AE687C"/>
    <w:rsid w:val="00AE68D7"/>
    <w:rsid w:val="00AE68F3"/>
    <w:rsid w:val="00AE6D30"/>
    <w:rsid w:val="00AE6DCB"/>
    <w:rsid w:val="00AE708A"/>
    <w:rsid w:val="00AE717D"/>
    <w:rsid w:val="00AE7724"/>
    <w:rsid w:val="00AE79E1"/>
    <w:rsid w:val="00AE7A3C"/>
    <w:rsid w:val="00AE7A69"/>
    <w:rsid w:val="00AF00EC"/>
    <w:rsid w:val="00AF020C"/>
    <w:rsid w:val="00AF03D0"/>
    <w:rsid w:val="00AF0673"/>
    <w:rsid w:val="00AF0948"/>
    <w:rsid w:val="00AF09BF"/>
    <w:rsid w:val="00AF0D5B"/>
    <w:rsid w:val="00AF10A2"/>
    <w:rsid w:val="00AF10D3"/>
    <w:rsid w:val="00AF1290"/>
    <w:rsid w:val="00AF13AB"/>
    <w:rsid w:val="00AF1515"/>
    <w:rsid w:val="00AF1764"/>
    <w:rsid w:val="00AF1AE1"/>
    <w:rsid w:val="00AF1DB2"/>
    <w:rsid w:val="00AF2304"/>
    <w:rsid w:val="00AF2890"/>
    <w:rsid w:val="00AF2959"/>
    <w:rsid w:val="00AF2976"/>
    <w:rsid w:val="00AF315D"/>
    <w:rsid w:val="00AF32E4"/>
    <w:rsid w:val="00AF388A"/>
    <w:rsid w:val="00AF399C"/>
    <w:rsid w:val="00AF39B9"/>
    <w:rsid w:val="00AF3FEF"/>
    <w:rsid w:val="00AF49C5"/>
    <w:rsid w:val="00AF50BA"/>
    <w:rsid w:val="00AF5266"/>
    <w:rsid w:val="00AF5611"/>
    <w:rsid w:val="00AF57DC"/>
    <w:rsid w:val="00AF5B03"/>
    <w:rsid w:val="00AF5BE5"/>
    <w:rsid w:val="00AF61FE"/>
    <w:rsid w:val="00AF6523"/>
    <w:rsid w:val="00AF66B3"/>
    <w:rsid w:val="00AF6A49"/>
    <w:rsid w:val="00AF6AAB"/>
    <w:rsid w:val="00AF6BAE"/>
    <w:rsid w:val="00AF6BBC"/>
    <w:rsid w:val="00AF6DE0"/>
    <w:rsid w:val="00AF6EE1"/>
    <w:rsid w:val="00AF6F1E"/>
    <w:rsid w:val="00AF6F98"/>
    <w:rsid w:val="00AF6FDC"/>
    <w:rsid w:val="00AF7282"/>
    <w:rsid w:val="00AF7DE0"/>
    <w:rsid w:val="00AF7FE8"/>
    <w:rsid w:val="00B000E7"/>
    <w:rsid w:val="00B00144"/>
    <w:rsid w:val="00B0033D"/>
    <w:rsid w:val="00B00574"/>
    <w:rsid w:val="00B00B7E"/>
    <w:rsid w:val="00B01001"/>
    <w:rsid w:val="00B01396"/>
    <w:rsid w:val="00B0149C"/>
    <w:rsid w:val="00B015E6"/>
    <w:rsid w:val="00B0171C"/>
    <w:rsid w:val="00B01B5E"/>
    <w:rsid w:val="00B0229B"/>
    <w:rsid w:val="00B02719"/>
    <w:rsid w:val="00B02843"/>
    <w:rsid w:val="00B028DF"/>
    <w:rsid w:val="00B02A0E"/>
    <w:rsid w:val="00B02B1E"/>
    <w:rsid w:val="00B02DFD"/>
    <w:rsid w:val="00B02E3D"/>
    <w:rsid w:val="00B02E40"/>
    <w:rsid w:val="00B035D2"/>
    <w:rsid w:val="00B0361C"/>
    <w:rsid w:val="00B03D3E"/>
    <w:rsid w:val="00B03D4E"/>
    <w:rsid w:val="00B0408B"/>
    <w:rsid w:val="00B0440C"/>
    <w:rsid w:val="00B04A5D"/>
    <w:rsid w:val="00B04CA6"/>
    <w:rsid w:val="00B04DCD"/>
    <w:rsid w:val="00B05346"/>
    <w:rsid w:val="00B053A6"/>
    <w:rsid w:val="00B055FA"/>
    <w:rsid w:val="00B058C9"/>
    <w:rsid w:val="00B058D2"/>
    <w:rsid w:val="00B05D35"/>
    <w:rsid w:val="00B0603E"/>
    <w:rsid w:val="00B06058"/>
    <w:rsid w:val="00B06065"/>
    <w:rsid w:val="00B0632E"/>
    <w:rsid w:val="00B0653D"/>
    <w:rsid w:val="00B06783"/>
    <w:rsid w:val="00B067D5"/>
    <w:rsid w:val="00B06C39"/>
    <w:rsid w:val="00B075D2"/>
    <w:rsid w:val="00B1021D"/>
    <w:rsid w:val="00B10255"/>
    <w:rsid w:val="00B10608"/>
    <w:rsid w:val="00B1060E"/>
    <w:rsid w:val="00B10620"/>
    <w:rsid w:val="00B10940"/>
    <w:rsid w:val="00B10994"/>
    <w:rsid w:val="00B10AC0"/>
    <w:rsid w:val="00B10B93"/>
    <w:rsid w:val="00B10F75"/>
    <w:rsid w:val="00B10FBC"/>
    <w:rsid w:val="00B110D7"/>
    <w:rsid w:val="00B111BA"/>
    <w:rsid w:val="00B11555"/>
    <w:rsid w:val="00B11695"/>
    <w:rsid w:val="00B1186D"/>
    <w:rsid w:val="00B1192E"/>
    <w:rsid w:val="00B11BA1"/>
    <w:rsid w:val="00B12413"/>
    <w:rsid w:val="00B125B2"/>
    <w:rsid w:val="00B12A39"/>
    <w:rsid w:val="00B13D84"/>
    <w:rsid w:val="00B141F2"/>
    <w:rsid w:val="00B1421C"/>
    <w:rsid w:val="00B15898"/>
    <w:rsid w:val="00B15B68"/>
    <w:rsid w:val="00B15C4E"/>
    <w:rsid w:val="00B15D94"/>
    <w:rsid w:val="00B15F4F"/>
    <w:rsid w:val="00B1626B"/>
    <w:rsid w:val="00B166BC"/>
    <w:rsid w:val="00B16C08"/>
    <w:rsid w:val="00B16F51"/>
    <w:rsid w:val="00B170E0"/>
    <w:rsid w:val="00B170EA"/>
    <w:rsid w:val="00B17410"/>
    <w:rsid w:val="00B176A0"/>
    <w:rsid w:val="00B203AF"/>
    <w:rsid w:val="00B2074E"/>
    <w:rsid w:val="00B20A69"/>
    <w:rsid w:val="00B20D6C"/>
    <w:rsid w:val="00B21013"/>
    <w:rsid w:val="00B21421"/>
    <w:rsid w:val="00B216F9"/>
    <w:rsid w:val="00B21A51"/>
    <w:rsid w:val="00B21B36"/>
    <w:rsid w:val="00B21D45"/>
    <w:rsid w:val="00B21E4E"/>
    <w:rsid w:val="00B2262F"/>
    <w:rsid w:val="00B226AE"/>
    <w:rsid w:val="00B22830"/>
    <w:rsid w:val="00B22B6B"/>
    <w:rsid w:val="00B2357C"/>
    <w:rsid w:val="00B23AE7"/>
    <w:rsid w:val="00B23C76"/>
    <w:rsid w:val="00B23CF7"/>
    <w:rsid w:val="00B24021"/>
    <w:rsid w:val="00B2423E"/>
    <w:rsid w:val="00B24EEB"/>
    <w:rsid w:val="00B260A2"/>
    <w:rsid w:val="00B2627A"/>
    <w:rsid w:val="00B265F7"/>
    <w:rsid w:val="00B267CD"/>
    <w:rsid w:val="00B26A8B"/>
    <w:rsid w:val="00B26B9D"/>
    <w:rsid w:val="00B27374"/>
    <w:rsid w:val="00B2744C"/>
    <w:rsid w:val="00B27567"/>
    <w:rsid w:val="00B27740"/>
    <w:rsid w:val="00B278D6"/>
    <w:rsid w:val="00B27CDB"/>
    <w:rsid w:val="00B27EFE"/>
    <w:rsid w:val="00B27F62"/>
    <w:rsid w:val="00B302F2"/>
    <w:rsid w:val="00B307DD"/>
    <w:rsid w:val="00B308BB"/>
    <w:rsid w:val="00B30CC1"/>
    <w:rsid w:val="00B30EDE"/>
    <w:rsid w:val="00B30F99"/>
    <w:rsid w:val="00B3100E"/>
    <w:rsid w:val="00B313D1"/>
    <w:rsid w:val="00B314B4"/>
    <w:rsid w:val="00B314E7"/>
    <w:rsid w:val="00B31908"/>
    <w:rsid w:val="00B31A40"/>
    <w:rsid w:val="00B322B3"/>
    <w:rsid w:val="00B32890"/>
    <w:rsid w:val="00B32AD5"/>
    <w:rsid w:val="00B32B1F"/>
    <w:rsid w:val="00B32C0C"/>
    <w:rsid w:val="00B33042"/>
    <w:rsid w:val="00B330FA"/>
    <w:rsid w:val="00B33107"/>
    <w:rsid w:val="00B3355C"/>
    <w:rsid w:val="00B3392A"/>
    <w:rsid w:val="00B33A2E"/>
    <w:rsid w:val="00B33D97"/>
    <w:rsid w:val="00B34217"/>
    <w:rsid w:val="00B34652"/>
    <w:rsid w:val="00B349F3"/>
    <w:rsid w:val="00B34FDD"/>
    <w:rsid w:val="00B35033"/>
    <w:rsid w:val="00B35288"/>
    <w:rsid w:val="00B35825"/>
    <w:rsid w:val="00B359F1"/>
    <w:rsid w:val="00B35A4A"/>
    <w:rsid w:val="00B35AF5"/>
    <w:rsid w:val="00B35B59"/>
    <w:rsid w:val="00B35C07"/>
    <w:rsid w:val="00B35C75"/>
    <w:rsid w:val="00B35CF8"/>
    <w:rsid w:val="00B35F36"/>
    <w:rsid w:val="00B36442"/>
    <w:rsid w:val="00B364B7"/>
    <w:rsid w:val="00B367AD"/>
    <w:rsid w:val="00B367FA"/>
    <w:rsid w:val="00B368C1"/>
    <w:rsid w:val="00B36F94"/>
    <w:rsid w:val="00B372F6"/>
    <w:rsid w:val="00B37714"/>
    <w:rsid w:val="00B379CC"/>
    <w:rsid w:val="00B37A3D"/>
    <w:rsid w:val="00B37A71"/>
    <w:rsid w:val="00B37B32"/>
    <w:rsid w:val="00B37B63"/>
    <w:rsid w:val="00B37D07"/>
    <w:rsid w:val="00B40006"/>
    <w:rsid w:val="00B4016B"/>
    <w:rsid w:val="00B4023F"/>
    <w:rsid w:val="00B40266"/>
    <w:rsid w:val="00B404F5"/>
    <w:rsid w:val="00B40515"/>
    <w:rsid w:val="00B40561"/>
    <w:rsid w:val="00B40965"/>
    <w:rsid w:val="00B40F19"/>
    <w:rsid w:val="00B41126"/>
    <w:rsid w:val="00B4115C"/>
    <w:rsid w:val="00B41410"/>
    <w:rsid w:val="00B414EC"/>
    <w:rsid w:val="00B416CE"/>
    <w:rsid w:val="00B418BB"/>
    <w:rsid w:val="00B420A8"/>
    <w:rsid w:val="00B4235F"/>
    <w:rsid w:val="00B42381"/>
    <w:rsid w:val="00B423A5"/>
    <w:rsid w:val="00B423A9"/>
    <w:rsid w:val="00B42C71"/>
    <w:rsid w:val="00B42E91"/>
    <w:rsid w:val="00B4312E"/>
    <w:rsid w:val="00B43226"/>
    <w:rsid w:val="00B43A3A"/>
    <w:rsid w:val="00B43AD3"/>
    <w:rsid w:val="00B4497E"/>
    <w:rsid w:val="00B44ADB"/>
    <w:rsid w:val="00B44B8D"/>
    <w:rsid w:val="00B450AA"/>
    <w:rsid w:val="00B4544D"/>
    <w:rsid w:val="00B45476"/>
    <w:rsid w:val="00B45E1B"/>
    <w:rsid w:val="00B460B1"/>
    <w:rsid w:val="00B4634E"/>
    <w:rsid w:val="00B467BA"/>
    <w:rsid w:val="00B46909"/>
    <w:rsid w:val="00B46AF2"/>
    <w:rsid w:val="00B46B77"/>
    <w:rsid w:val="00B474B2"/>
    <w:rsid w:val="00B47693"/>
    <w:rsid w:val="00B478E7"/>
    <w:rsid w:val="00B47904"/>
    <w:rsid w:val="00B47BD8"/>
    <w:rsid w:val="00B47C4A"/>
    <w:rsid w:val="00B47C91"/>
    <w:rsid w:val="00B47E74"/>
    <w:rsid w:val="00B50037"/>
    <w:rsid w:val="00B50126"/>
    <w:rsid w:val="00B502C3"/>
    <w:rsid w:val="00B5034C"/>
    <w:rsid w:val="00B50586"/>
    <w:rsid w:val="00B505C8"/>
    <w:rsid w:val="00B506EE"/>
    <w:rsid w:val="00B509BE"/>
    <w:rsid w:val="00B50CBD"/>
    <w:rsid w:val="00B50CBF"/>
    <w:rsid w:val="00B50DF5"/>
    <w:rsid w:val="00B50F2C"/>
    <w:rsid w:val="00B50F7F"/>
    <w:rsid w:val="00B51D2A"/>
    <w:rsid w:val="00B51E55"/>
    <w:rsid w:val="00B51FFC"/>
    <w:rsid w:val="00B52021"/>
    <w:rsid w:val="00B52100"/>
    <w:rsid w:val="00B52195"/>
    <w:rsid w:val="00B521BD"/>
    <w:rsid w:val="00B529F8"/>
    <w:rsid w:val="00B52C7C"/>
    <w:rsid w:val="00B52CC0"/>
    <w:rsid w:val="00B52D82"/>
    <w:rsid w:val="00B52DCA"/>
    <w:rsid w:val="00B52FFF"/>
    <w:rsid w:val="00B530E4"/>
    <w:rsid w:val="00B53150"/>
    <w:rsid w:val="00B531E0"/>
    <w:rsid w:val="00B5381A"/>
    <w:rsid w:val="00B53849"/>
    <w:rsid w:val="00B5404D"/>
    <w:rsid w:val="00B544AC"/>
    <w:rsid w:val="00B545FC"/>
    <w:rsid w:val="00B54670"/>
    <w:rsid w:val="00B54742"/>
    <w:rsid w:val="00B54C0E"/>
    <w:rsid w:val="00B54DA2"/>
    <w:rsid w:val="00B5542A"/>
    <w:rsid w:val="00B554C1"/>
    <w:rsid w:val="00B555C7"/>
    <w:rsid w:val="00B55659"/>
    <w:rsid w:val="00B55873"/>
    <w:rsid w:val="00B558B9"/>
    <w:rsid w:val="00B55978"/>
    <w:rsid w:val="00B559C0"/>
    <w:rsid w:val="00B55B12"/>
    <w:rsid w:val="00B55BB5"/>
    <w:rsid w:val="00B55C17"/>
    <w:rsid w:val="00B56566"/>
    <w:rsid w:val="00B5666A"/>
    <w:rsid w:val="00B56A5E"/>
    <w:rsid w:val="00B56F0B"/>
    <w:rsid w:val="00B57410"/>
    <w:rsid w:val="00B57D4D"/>
    <w:rsid w:val="00B6034B"/>
    <w:rsid w:val="00B606F7"/>
    <w:rsid w:val="00B60798"/>
    <w:rsid w:val="00B60B98"/>
    <w:rsid w:val="00B60F07"/>
    <w:rsid w:val="00B60F3D"/>
    <w:rsid w:val="00B615EC"/>
    <w:rsid w:val="00B619E0"/>
    <w:rsid w:val="00B61A26"/>
    <w:rsid w:val="00B61A6E"/>
    <w:rsid w:val="00B61C5E"/>
    <w:rsid w:val="00B61DC2"/>
    <w:rsid w:val="00B6236F"/>
    <w:rsid w:val="00B6253C"/>
    <w:rsid w:val="00B627FE"/>
    <w:rsid w:val="00B6288F"/>
    <w:rsid w:val="00B629F5"/>
    <w:rsid w:val="00B62BC5"/>
    <w:rsid w:val="00B62F0B"/>
    <w:rsid w:val="00B632DB"/>
    <w:rsid w:val="00B63312"/>
    <w:rsid w:val="00B63703"/>
    <w:rsid w:val="00B63724"/>
    <w:rsid w:val="00B63742"/>
    <w:rsid w:val="00B63849"/>
    <w:rsid w:val="00B638B1"/>
    <w:rsid w:val="00B63919"/>
    <w:rsid w:val="00B63F6A"/>
    <w:rsid w:val="00B641E7"/>
    <w:rsid w:val="00B6427E"/>
    <w:rsid w:val="00B6450D"/>
    <w:rsid w:val="00B645AE"/>
    <w:rsid w:val="00B6467D"/>
    <w:rsid w:val="00B64A57"/>
    <w:rsid w:val="00B64EF1"/>
    <w:rsid w:val="00B64FAF"/>
    <w:rsid w:val="00B65A33"/>
    <w:rsid w:val="00B65FC8"/>
    <w:rsid w:val="00B6612A"/>
    <w:rsid w:val="00B6613F"/>
    <w:rsid w:val="00B66885"/>
    <w:rsid w:val="00B66B4F"/>
    <w:rsid w:val="00B66F7D"/>
    <w:rsid w:val="00B6721D"/>
    <w:rsid w:val="00B672C9"/>
    <w:rsid w:val="00B678E9"/>
    <w:rsid w:val="00B67B13"/>
    <w:rsid w:val="00B67D15"/>
    <w:rsid w:val="00B67FED"/>
    <w:rsid w:val="00B702EB"/>
    <w:rsid w:val="00B70CFD"/>
    <w:rsid w:val="00B70E23"/>
    <w:rsid w:val="00B71467"/>
    <w:rsid w:val="00B71BB1"/>
    <w:rsid w:val="00B71CD5"/>
    <w:rsid w:val="00B71D9B"/>
    <w:rsid w:val="00B71FA6"/>
    <w:rsid w:val="00B72079"/>
    <w:rsid w:val="00B72914"/>
    <w:rsid w:val="00B72B6E"/>
    <w:rsid w:val="00B72C03"/>
    <w:rsid w:val="00B73240"/>
    <w:rsid w:val="00B73291"/>
    <w:rsid w:val="00B73328"/>
    <w:rsid w:val="00B7392C"/>
    <w:rsid w:val="00B73DB9"/>
    <w:rsid w:val="00B73E87"/>
    <w:rsid w:val="00B74067"/>
    <w:rsid w:val="00B7444F"/>
    <w:rsid w:val="00B744BB"/>
    <w:rsid w:val="00B746FD"/>
    <w:rsid w:val="00B748CC"/>
    <w:rsid w:val="00B7497F"/>
    <w:rsid w:val="00B74A44"/>
    <w:rsid w:val="00B74BFC"/>
    <w:rsid w:val="00B74EA7"/>
    <w:rsid w:val="00B74F98"/>
    <w:rsid w:val="00B751F5"/>
    <w:rsid w:val="00B7529E"/>
    <w:rsid w:val="00B75A18"/>
    <w:rsid w:val="00B75BF8"/>
    <w:rsid w:val="00B75DEC"/>
    <w:rsid w:val="00B76601"/>
    <w:rsid w:val="00B76670"/>
    <w:rsid w:val="00B76A82"/>
    <w:rsid w:val="00B76D5F"/>
    <w:rsid w:val="00B76E14"/>
    <w:rsid w:val="00B76FD2"/>
    <w:rsid w:val="00B774CD"/>
    <w:rsid w:val="00B7785C"/>
    <w:rsid w:val="00B77E20"/>
    <w:rsid w:val="00B800E8"/>
    <w:rsid w:val="00B80231"/>
    <w:rsid w:val="00B802B0"/>
    <w:rsid w:val="00B80D32"/>
    <w:rsid w:val="00B80D95"/>
    <w:rsid w:val="00B80EFB"/>
    <w:rsid w:val="00B8109B"/>
    <w:rsid w:val="00B81236"/>
    <w:rsid w:val="00B814CF"/>
    <w:rsid w:val="00B8199B"/>
    <w:rsid w:val="00B81CC7"/>
    <w:rsid w:val="00B81E12"/>
    <w:rsid w:val="00B820EB"/>
    <w:rsid w:val="00B82571"/>
    <w:rsid w:val="00B82A60"/>
    <w:rsid w:val="00B830B2"/>
    <w:rsid w:val="00B839B4"/>
    <w:rsid w:val="00B83A29"/>
    <w:rsid w:val="00B83A7E"/>
    <w:rsid w:val="00B841BE"/>
    <w:rsid w:val="00B84716"/>
    <w:rsid w:val="00B8492F"/>
    <w:rsid w:val="00B84A7F"/>
    <w:rsid w:val="00B84D70"/>
    <w:rsid w:val="00B84EB4"/>
    <w:rsid w:val="00B851F5"/>
    <w:rsid w:val="00B855C6"/>
    <w:rsid w:val="00B85A22"/>
    <w:rsid w:val="00B85A71"/>
    <w:rsid w:val="00B85DB6"/>
    <w:rsid w:val="00B86242"/>
    <w:rsid w:val="00B86A3F"/>
    <w:rsid w:val="00B86A54"/>
    <w:rsid w:val="00B86C71"/>
    <w:rsid w:val="00B87014"/>
    <w:rsid w:val="00B875DB"/>
    <w:rsid w:val="00B87942"/>
    <w:rsid w:val="00B87A63"/>
    <w:rsid w:val="00B87E23"/>
    <w:rsid w:val="00B901AC"/>
    <w:rsid w:val="00B90432"/>
    <w:rsid w:val="00B9062C"/>
    <w:rsid w:val="00B9099F"/>
    <w:rsid w:val="00B90D32"/>
    <w:rsid w:val="00B90F1D"/>
    <w:rsid w:val="00B90F41"/>
    <w:rsid w:val="00B914AD"/>
    <w:rsid w:val="00B9225A"/>
    <w:rsid w:val="00B9227C"/>
    <w:rsid w:val="00B925AB"/>
    <w:rsid w:val="00B9260D"/>
    <w:rsid w:val="00B92631"/>
    <w:rsid w:val="00B92A48"/>
    <w:rsid w:val="00B92B6A"/>
    <w:rsid w:val="00B92F5B"/>
    <w:rsid w:val="00B9332D"/>
    <w:rsid w:val="00B93373"/>
    <w:rsid w:val="00B93852"/>
    <w:rsid w:val="00B93FF5"/>
    <w:rsid w:val="00B9405C"/>
    <w:rsid w:val="00B94129"/>
    <w:rsid w:val="00B942E2"/>
    <w:rsid w:val="00B943DF"/>
    <w:rsid w:val="00B9448A"/>
    <w:rsid w:val="00B9448E"/>
    <w:rsid w:val="00B94740"/>
    <w:rsid w:val="00B94A0E"/>
    <w:rsid w:val="00B94ABC"/>
    <w:rsid w:val="00B94E81"/>
    <w:rsid w:val="00B95353"/>
    <w:rsid w:val="00B95398"/>
    <w:rsid w:val="00B95449"/>
    <w:rsid w:val="00B95779"/>
    <w:rsid w:val="00B9604D"/>
    <w:rsid w:val="00B9611E"/>
    <w:rsid w:val="00B968D5"/>
    <w:rsid w:val="00B96C37"/>
    <w:rsid w:val="00B96F49"/>
    <w:rsid w:val="00B97411"/>
    <w:rsid w:val="00B97A47"/>
    <w:rsid w:val="00BA026A"/>
    <w:rsid w:val="00BA0287"/>
    <w:rsid w:val="00BA05B9"/>
    <w:rsid w:val="00BA1224"/>
    <w:rsid w:val="00BA12B3"/>
    <w:rsid w:val="00BA1365"/>
    <w:rsid w:val="00BA145F"/>
    <w:rsid w:val="00BA14DA"/>
    <w:rsid w:val="00BA16D0"/>
    <w:rsid w:val="00BA1730"/>
    <w:rsid w:val="00BA1CDF"/>
    <w:rsid w:val="00BA1EAE"/>
    <w:rsid w:val="00BA284B"/>
    <w:rsid w:val="00BA292B"/>
    <w:rsid w:val="00BA2AC8"/>
    <w:rsid w:val="00BA2C49"/>
    <w:rsid w:val="00BA2D06"/>
    <w:rsid w:val="00BA2DD3"/>
    <w:rsid w:val="00BA2F3A"/>
    <w:rsid w:val="00BA3050"/>
    <w:rsid w:val="00BA33B0"/>
    <w:rsid w:val="00BA36C5"/>
    <w:rsid w:val="00BA3EBC"/>
    <w:rsid w:val="00BA4234"/>
    <w:rsid w:val="00BA4A33"/>
    <w:rsid w:val="00BA4D96"/>
    <w:rsid w:val="00BA561B"/>
    <w:rsid w:val="00BA5803"/>
    <w:rsid w:val="00BA58E0"/>
    <w:rsid w:val="00BA5FBC"/>
    <w:rsid w:val="00BA61CA"/>
    <w:rsid w:val="00BA66A9"/>
    <w:rsid w:val="00BA69D9"/>
    <w:rsid w:val="00BA6CB4"/>
    <w:rsid w:val="00BA7232"/>
    <w:rsid w:val="00BA72BE"/>
    <w:rsid w:val="00BA75F6"/>
    <w:rsid w:val="00BA763B"/>
    <w:rsid w:val="00BA7868"/>
    <w:rsid w:val="00BA7885"/>
    <w:rsid w:val="00BA7A79"/>
    <w:rsid w:val="00BA7B0A"/>
    <w:rsid w:val="00BA7C22"/>
    <w:rsid w:val="00BA7C25"/>
    <w:rsid w:val="00BA7E54"/>
    <w:rsid w:val="00BB039F"/>
    <w:rsid w:val="00BB0658"/>
    <w:rsid w:val="00BB08FF"/>
    <w:rsid w:val="00BB0BE6"/>
    <w:rsid w:val="00BB0D4D"/>
    <w:rsid w:val="00BB13FA"/>
    <w:rsid w:val="00BB1599"/>
    <w:rsid w:val="00BB180A"/>
    <w:rsid w:val="00BB1EC9"/>
    <w:rsid w:val="00BB1F31"/>
    <w:rsid w:val="00BB2035"/>
    <w:rsid w:val="00BB2EA1"/>
    <w:rsid w:val="00BB30D8"/>
    <w:rsid w:val="00BB3421"/>
    <w:rsid w:val="00BB40C7"/>
    <w:rsid w:val="00BB43C9"/>
    <w:rsid w:val="00BB4645"/>
    <w:rsid w:val="00BB4682"/>
    <w:rsid w:val="00BB47D1"/>
    <w:rsid w:val="00BB49F7"/>
    <w:rsid w:val="00BB4A33"/>
    <w:rsid w:val="00BB4AF0"/>
    <w:rsid w:val="00BB4B62"/>
    <w:rsid w:val="00BB4BDB"/>
    <w:rsid w:val="00BB4D7B"/>
    <w:rsid w:val="00BB4FDB"/>
    <w:rsid w:val="00BB5603"/>
    <w:rsid w:val="00BB5656"/>
    <w:rsid w:val="00BB5A1D"/>
    <w:rsid w:val="00BB5AA1"/>
    <w:rsid w:val="00BB5E78"/>
    <w:rsid w:val="00BB6141"/>
    <w:rsid w:val="00BB6216"/>
    <w:rsid w:val="00BB626B"/>
    <w:rsid w:val="00BB6520"/>
    <w:rsid w:val="00BB6922"/>
    <w:rsid w:val="00BB6E3C"/>
    <w:rsid w:val="00BB7058"/>
    <w:rsid w:val="00BB7867"/>
    <w:rsid w:val="00BB78DB"/>
    <w:rsid w:val="00BB7D0A"/>
    <w:rsid w:val="00BB7E2C"/>
    <w:rsid w:val="00BC01D1"/>
    <w:rsid w:val="00BC025E"/>
    <w:rsid w:val="00BC0449"/>
    <w:rsid w:val="00BC0738"/>
    <w:rsid w:val="00BC0DE1"/>
    <w:rsid w:val="00BC10A2"/>
    <w:rsid w:val="00BC16B2"/>
    <w:rsid w:val="00BC2177"/>
    <w:rsid w:val="00BC23BC"/>
    <w:rsid w:val="00BC25CA"/>
    <w:rsid w:val="00BC2E30"/>
    <w:rsid w:val="00BC30C9"/>
    <w:rsid w:val="00BC32DD"/>
    <w:rsid w:val="00BC33B3"/>
    <w:rsid w:val="00BC362B"/>
    <w:rsid w:val="00BC3757"/>
    <w:rsid w:val="00BC392E"/>
    <w:rsid w:val="00BC3FE8"/>
    <w:rsid w:val="00BC4037"/>
    <w:rsid w:val="00BC42B5"/>
    <w:rsid w:val="00BC44D8"/>
    <w:rsid w:val="00BC482E"/>
    <w:rsid w:val="00BC5012"/>
    <w:rsid w:val="00BC5062"/>
    <w:rsid w:val="00BC5711"/>
    <w:rsid w:val="00BC58B3"/>
    <w:rsid w:val="00BC5B50"/>
    <w:rsid w:val="00BC5BA0"/>
    <w:rsid w:val="00BC5CFC"/>
    <w:rsid w:val="00BC5EC0"/>
    <w:rsid w:val="00BC5EEC"/>
    <w:rsid w:val="00BC6367"/>
    <w:rsid w:val="00BC66B0"/>
    <w:rsid w:val="00BC6704"/>
    <w:rsid w:val="00BC698E"/>
    <w:rsid w:val="00BC6BB5"/>
    <w:rsid w:val="00BC6ECB"/>
    <w:rsid w:val="00BC714D"/>
    <w:rsid w:val="00BC71F5"/>
    <w:rsid w:val="00BC760F"/>
    <w:rsid w:val="00BC7B92"/>
    <w:rsid w:val="00BC7E81"/>
    <w:rsid w:val="00BC7FA7"/>
    <w:rsid w:val="00BD0127"/>
    <w:rsid w:val="00BD0280"/>
    <w:rsid w:val="00BD02C3"/>
    <w:rsid w:val="00BD0577"/>
    <w:rsid w:val="00BD0743"/>
    <w:rsid w:val="00BD0ACD"/>
    <w:rsid w:val="00BD0C53"/>
    <w:rsid w:val="00BD0CB9"/>
    <w:rsid w:val="00BD1081"/>
    <w:rsid w:val="00BD112B"/>
    <w:rsid w:val="00BD14CB"/>
    <w:rsid w:val="00BD1693"/>
    <w:rsid w:val="00BD178C"/>
    <w:rsid w:val="00BD1B4E"/>
    <w:rsid w:val="00BD1CB6"/>
    <w:rsid w:val="00BD1D41"/>
    <w:rsid w:val="00BD1D6B"/>
    <w:rsid w:val="00BD1FF7"/>
    <w:rsid w:val="00BD290B"/>
    <w:rsid w:val="00BD2C59"/>
    <w:rsid w:val="00BD2CE4"/>
    <w:rsid w:val="00BD39A8"/>
    <w:rsid w:val="00BD3C9E"/>
    <w:rsid w:val="00BD3DFD"/>
    <w:rsid w:val="00BD4057"/>
    <w:rsid w:val="00BD405E"/>
    <w:rsid w:val="00BD4126"/>
    <w:rsid w:val="00BD428C"/>
    <w:rsid w:val="00BD4CAC"/>
    <w:rsid w:val="00BD500C"/>
    <w:rsid w:val="00BD52F1"/>
    <w:rsid w:val="00BD5944"/>
    <w:rsid w:val="00BD5FBA"/>
    <w:rsid w:val="00BD60D8"/>
    <w:rsid w:val="00BD617A"/>
    <w:rsid w:val="00BD6458"/>
    <w:rsid w:val="00BD64F2"/>
    <w:rsid w:val="00BD6850"/>
    <w:rsid w:val="00BD6C9B"/>
    <w:rsid w:val="00BD6FD8"/>
    <w:rsid w:val="00BD7011"/>
    <w:rsid w:val="00BD7624"/>
    <w:rsid w:val="00BD7A77"/>
    <w:rsid w:val="00BE040D"/>
    <w:rsid w:val="00BE05E9"/>
    <w:rsid w:val="00BE0A00"/>
    <w:rsid w:val="00BE0BEB"/>
    <w:rsid w:val="00BE0C77"/>
    <w:rsid w:val="00BE11A1"/>
    <w:rsid w:val="00BE11C2"/>
    <w:rsid w:val="00BE1305"/>
    <w:rsid w:val="00BE1427"/>
    <w:rsid w:val="00BE14A0"/>
    <w:rsid w:val="00BE16B3"/>
    <w:rsid w:val="00BE16CE"/>
    <w:rsid w:val="00BE18D7"/>
    <w:rsid w:val="00BE19D8"/>
    <w:rsid w:val="00BE19FD"/>
    <w:rsid w:val="00BE1A63"/>
    <w:rsid w:val="00BE1E9D"/>
    <w:rsid w:val="00BE1FC4"/>
    <w:rsid w:val="00BE21F6"/>
    <w:rsid w:val="00BE2DFB"/>
    <w:rsid w:val="00BE33CA"/>
    <w:rsid w:val="00BE36B5"/>
    <w:rsid w:val="00BE39D2"/>
    <w:rsid w:val="00BE3DA6"/>
    <w:rsid w:val="00BE414C"/>
    <w:rsid w:val="00BE4160"/>
    <w:rsid w:val="00BE45AE"/>
    <w:rsid w:val="00BE488E"/>
    <w:rsid w:val="00BE4A00"/>
    <w:rsid w:val="00BE4A68"/>
    <w:rsid w:val="00BE4A9A"/>
    <w:rsid w:val="00BE4C6F"/>
    <w:rsid w:val="00BE4C86"/>
    <w:rsid w:val="00BE4FE1"/>
    <w:rsid w:val="00BE5965"/>
    <w:rsid w:val="00BE5ADB"/>
    <w:rsid w:val="00BE5E8F"/>
    <w:rsid w:val="00BE6312"/>
    <w:rsid w:val="00BE636F"/>
    <w:rsid w:val="00BE63B6"/>
    <w:rsid w:val="00BE6494"/>
    <w:rsid w:val="00BE68AD"/>
    <w:rsid w:val="00BE6A17"/>
    <w:rsid w:val="00BE6A64"/>
    <w:rsid w:val="00BE71A9"/>
    <w:rsid w:val="00BE74FD"/>
    <w:rsid w:val="00BE7AC8"/>
    <w:rsid w:val="00BE7CE3"/>
    <w:rsid w:val="00BE7FC2"/>
    <w:rsid w:val="00BF0276"/>
    <w:rsid w:val="00BF0321"/>
    <w:rsid w:val="00BF0749"/>
    <w:rsid w:val="00BF1043"/>
    <w:rsid w:val="00BF10F1"/>
    <w:rsid w:val="00BF159B"/>
    <w:rsid w:val="00BF163C"/>
    <w:rsid w:val="00BF191B"/>
    <w:rsid w:val="00BF1C64"/>
    <w:rsid w:val="00BF1F19"/>
    <w:rsid w:val="00BF221A"/>
    <w:rsid w:val="00BF25A1"/>
    <w:rsid w:val="00BF25BD"/>
    <w:rsid w:val="00BF2786"/>
    <w:rsid w:val="00BF2AE0"/>
    <w:rsid w:val="00BF2EC8"/>
    <w:rsid w:val="00BF3183"/>
    <w:rsid w:val="00BF31BC"/>
    <w:rsid w:val="00BF38B5"/>
    <w:rsid w:val="00BF39A9"/>
    <w:rsid w:val="00BF3DD9"/>
    <w:rsid w:val="00BF40B2"/>
    <w:rsid w:val="00BF40D5"/>
    <w:rsid w:val="00BF40FE"/>
    <w:rsid w:val="00BF4169"/>
    <w:rsid w:val="00BF438A"/>
    <w:rsid w:val="00BF469F"/>
    <w:rsid w:val="00BF47F7"/>
    <w:rsid w:val="00BF4A17"/>
    <w:rsid w:val="00BF4B35"/>
    <w:rsid w:val="00BF4C06"/>
    <w:rsid w:val="00BF4E0A"/>
    <w:rsid w:val="00BF4EA7"/>
    <w:rsid w:val="00BF5214"/>
    <w:rsid w:val="00BF5945"/>
    <w:rsid w:val="00BF5A65"/>
    <w:rsid w:val="00BF5B52"/>
    <w:rsid w:val="00BF5F0B"/>
    <w:rsid w:val="00BF64A0"/>
    <w:rsid w:val="00BF7600"/>
    <w:rsid w:val="00BF7DCD"/>
    <w:rsid w:val="00C0021D"/>
    <w:rsid w:val="00C002D3"/>
    <w:rsid w:val="00C007C6"/>
    <w:rsid w:val="00C011FD"/>
    <w:rsid w:val="00C01432"/>
    <w:rsid w:val="00C0145B"/>
    <w:rsid w:val="00C01490"/>
    <w:rsid w:val="00C014D5"/>
    <w:rsid w:val="00C016C5"/>
    <w:rsid w:val="00C016E8"/>
    <w:rsid w:val="00C0173A"/>
    <w:rsid w:val="00C0174F"/>
    <w:rsid w:val="00C0184A"/>
    <w:rsid w:val="00C01AAC"/>
    <w:rsid w:val="00C01B09"/>
    <w:rsid w:val="00C01D42"/>
    <w:rsid w:val="00C01D92"/>
    <w:rsid w:val="00C0207F"/>
    <w:rsid w:val="00C0250B"/>
    <w:rsid w:val="00C02A43"/>
    <w:rsid w:val="00C02BDC"/>
    <w:rsid w:val="00C02D23"/>
    <w:rsid w:val="00C02FB2"/>
    <w:rsid w:val="00C0358E"/>
    <w:rsid w:val="00C03767"/>
    <w:rsid w:val="00C039A0"/>
    <w:rsid w:val="00C03AA2"/>
    <w:rsid w:val="00C03B49"/>
    <w:rsid w:val="00C03BBC"/>
    <w:rsid w:val="00C03BF6"/>
    <w:rsid w:val="00C03C68"/>
    <w:rsid w:val="00C03C75"/>
    <w:rsid w:val="00C03CDB"/>
    <w:rsid w:val="00C03D22"/>
    <w:rsid w:val="00C043B5"/>
    <w:rsid w:val="00C04741"/>
    <w:rsid w:val="00C04926"/>
    <w:rsid w:val="00C04E3C"/>
    <w:rsid w:val="00C0534E"/>
    <w:rsid w:val="00C054B3"/>
    <w:rsid w:val="00C0568F"/>
    <w:rsid w:val="00C05C75"/>
    <w:rsid w:val="00C060F0"/>
    <w:rsid w:val="00C063D4"/>
    <w:rsid w:val="00C06684"/>
    <w:rsid w:val="00C067D4"/>
    <w:rsid w:val="00C06AB7"/>
    <w:rsid w:val="00C06B31"/>
    <w:rsid w:val="00C06FEC"/>
    <w:rsid w:val="00C074A3"/>
    <w:rsid w:val="00C1047D"/>
    <w:rsid w:val="00C106BE"/>
    <w:rsid w:val="00C10758"/>
    <w:rsid w:val="00C10DAF"/>
    <w:rsid w:val="00C10F37"/>
    <w:rsid w:val="00C11038"/>
    <w:rsid w:val="00C114E4"/>
    <w:rsid w:val="00C119C6"/>
    <w:rsid w:val="00C11C0D"/>
    <w:rsid w:val="00C11D20"/>
    <w:rsid w:val="00C11E1F"/>
    <w:rsid w:val="00C11EF2"/>
    <w:rsid w:val="00C11F8F"/>
    <w:rsid w:val="00C1204F"/>
    <w:rsid w:val="00C120BE"/>
    <w:rsid w:val="00C122C1"/>
    <w:rsid w:val="00C12380"/>
    <w:rsid w:val="00C12794"/>
    <w:rsid w:val="00C129AE"/>
    <w:rsid w:val="00C13125"/>
    <w:rsid w:val="00C131E8"/>
    <w:rsid w:val="00C134C3"/>
    <w:rsid w:val="00C1399E"/>
    <w:rsid w:val="00C13BBD"/>
    <w:rsid w:val="00C13ED7"/>
    <w:rsid w:val="00C14287"/>
    <w:rsid w:val="00C142E6"/>
    <w:rsid w:val="00C1447C"/>
    <w:rsid w:val="00C147C2"/>
    <w:rsid w:val="00C14A56"/>
    <w:rsid w:val="00C14CA8"/>
    <w:rsid w:val="00C15600"/>
    <w:rsid w:val="00C15922"/>
    <w:rsid w:val="00C15C8A"/>
    <w:rsid w:val="00C16374"/>
    <w:rsid w:val="00C16693"/>
    <w:rsid w:val="00C16853"/>
    <w:rsid w:val="00C16898"/>
    <w:rsid w:val="00C16F30"/>
    <w:rsid w:val="00C17085"/>
    <w:rsid w:val="00C171C0"/>
    <w:rsid w:val="00C172E2"/>
    <w:rsid w:val="00C17EBA"/>
    <w:rsid w:val="00C17F63"/>
    <w:rsid w:val="00C20179"/>
    <w:rsid w:val="00C204C4"/>
    <w:rsid w:val="00C20584"/>
    <w:rsid w:val="00C20A11"/>
    <w:rsid w:val="00C20A15"/>
    <w:rsid w:val="00C20A8C"/>
    <w:rsid w:val="00C211B3"/>
    <w:rsid w:val="00C21273"/>
    <w:rsid w:val="00C212ED"/>
    <w:rsid w:val="00C2144E"/>
    <w:rsid w:val="00C216AD"/>
    <w:rsid w:val="00C217AF"/>
    <w:rsid w:val="00C2191A"/>
    <w:rsid w:val="00C21D75"/>
    <w:rsid w:val="00C224C9"/>
    <w:rsid w:val="00C225D9"/>
    <w:rsid w:val="00C22C9A"/>
    <w:rsid w:val="00C22DD2"/>
    <w:rsid w:val="00C231D1"/>
    <w:rsid w:val="00C23360"/>
    <w:rsid w:val="00C23499"/>
    <w:rsid w:val="00C23665"/>
    <w:rsid w:val="00C23854"/>
    <w:rsid w:val="00C238F2"/>
    <w:rsid w:val="00C23C0E"/>
    <w:rsid w:val="00C23E90"/>
    <w:rsid w:val="00C23E9D"/>
    <w:rsid w:val="00C24052"/>
    <w:rsid w:val="00C241B1"/>
    <w:rsid w:val="00C2452E"/>
    <w:rsid w:val="00C2460F"/>
    <w:rsid w:val="00C24BA6"/>
    <w:rsid w:val="00C24CC8"/>
    <w:rsid w:val="00C24E8F"/>
    <w:rsid w:val="00C24F58"/>
    <w:rsid w:val="00C25166"/>
    <w:rsid w:val="00C25240"/>
    <w:rsid w:val="00C253B7"/>
    <w:rsid w:val="00C2546C"/>
    <w:rsid w:val="00C25B2B"/>
    <w:rsid w:val="00C25C12"/>
    <w:rsid w:val="00C262D1"/>
    <w:rsid w:val="00C26413"/>
    <w:rsid w:val="00C267FA"/>
    <w:rsid w:val="00C26E95"/>
    <w:rsid w:val="00C26F09"/>
    <w:rsid w:val="00C26F83"/>
    <w:rsid w:val="00C26F86"/>
    <w:rsid w:val="00C27215"/>
    <w:rsid w:val="00C272EA"/>
    <w:rsid w:val="00C2737D"/>
    <w:rsid w:val="00C27632"/>
    <w:rsid w:val="00C27835"/>
    <w:rsid w:val="00C2794F"/>
    <w:rsid w:val="00C27B50"/>
    <w:rsid w:val="00C27F9B"/>
    <w:rsid w:val="00C27FDF"/>
    <w:rsid w:val="00C30092"/>
    <w:rsid w:val="00C3024C"/>
    <w:rsid w:val="00C306C5"/>
    <w:rsid w:val="00C30908"/>
    <w:rsid w:val="00C30964"/>
    <w:rsid w:val="00C30A9D"/>
    <w:rsid w:val="00C30EC8"/>
    <w:rsid w:val="00C30FB9"/>
    <w:rsid w:val="00C3110E"/>
    <w:rsid w:val="00C31828"/>
    <w:rsid w:val="00C318CE"/>
    <w:rsid w:val="00C31D59"/>
    <w:rsid w:val="00C31EDF"/>
    <w:rsid w:val="00C31F0D"/>
    <w:rsid w:val="00C31F50"/>
    <w:rsid w:val="00C32338"/>
    <w:rsid w:val="00C325C5"/>
    <w:rsid w:val="00C327E2"/>
    <w:rsid w:val="00C32A0C"/>
    <w:rsid w:val="00C32BE4"/>
    <w:rsid w:val="00C32CB4"/>
    <w:rsid w:val="00C3327D"/>
    <w:rsid w:val="00C3365F"/>
    <w:rsid w:val="00C33824"/>
    <w:rsid w:val="00C33BF5"/>
    <w:rsid w:val="00C341E1"/>
    <w:rsid w:val="00C3427A"/>
    <w:rsid w:val="00C346F9"/>
    <w:rsid w:val="00C34810"/>
    <w:rsid w:val="00C34B39"/>
    <w:rsid w:val="00C351A4"/>
    <w:rsid w:val="00C356D6"/>
    <w:rsid w:val="00C3584F"/>
    <w:rsid w:val="00C359A1"/>
    <w:rsid w:val="00C360C1"/>
    <w:rsid w:val="00C3612F"/>
    <w:rsid w:val="00C36253"/>
    <w:rsid w:val="00C36591"/>
    <w:rsid w:val="00C36659"/>
    <w:rsid w:val="00C36EA0"/>
    <w:rsid w:val="00C36ECB"/>
    <w:rsid w:val="00C36F07"/>
    <w:rsid w:val="00C36FBB"/>
    <w:rsid w:val="00C36FDB"/>
    <w:rsid w:val="00C3745E"/>
    <w:rsid w:val="00C3768D"/>
    <w:rsid w:val="00C376A4"/>
    <w:rsid w:val="00C37948"/>
    <w:rsid w:val="00C37A11"/>
    <w:rsid w:val="00C37AA5"/>
    <w:rsid w:val="00C40007"/>
    <w:rsid w:val="00C400C4"/>
    <w:rsid w:val="00C40A63"/>
    <w:rsid w:val="00C40A82"/>
    <w:rsid w:val="00C40CB7"/>
    <w:rsid w:val="00C41031"/>
    <w:rsid w:val="00C41082"/>
    <w:rsid w:val="00C4124A"/>
    <w:rsid w:val="00C413BD"/>
    <w:rsid w:val="00C413C1"/>
    <w:rsid w:val="00C41517"/>
    <w:rsid w:val="00C41562"/>
    <w:rsid w:val="00C4178E"/>
    <w:rsid w:val="00C41814"/>
    <w:rsid w:val="00C419E4"/>
    <w:rsid w:val="00C41F0D"/>
    <w:rsid w:val="00C41FEA"/>
    <w:rsid w:val="00C421B0"/>
    <w:rsid w:val="00C426E6"/>
    <w:rsid w:val="00C42858"/>
    <w:rsid w:val="00C429B4"/>
    <w:rsid w:val="00C42A28"/>
    <w:rsid w:val="00C42CBB"/>
    <w:rsid w:val="00C42F24"/>
    <w:rsid w:val="00C4321B"/>
    <w:rsid w:val="00C432F1"/>
    <w:rsid w:val="00C4370C"/>
    <w:rsid w:val="00C43AE0"/>
    <w:rsid w:val="00C43C4B"/>
    <w:rsid w:val="00C44168"/>
    <w:rsid w:val="00C449B1"/>
    <w:rsid w:val="00C44D4E"/>
    <w:rsid w:val="00C4596E"/>
    <w:rsid w:val="00C45AEC"/>
    <w:rsid w:val="00C462DB"/>
    <w:rsid w:val="00C46707"/>
    <w:rsid w:val="00C46C22"/>
    <w:rsid w:val="00C46E6A"/>
    <w:rsid w:val="00C470F3"/>
    <w:rsid w:val="00C472C4"/>
    <w:rsid w:val="00C47A31"/>
    <w:rsid w:val="00C47A8F"/>
    <w:rsid w:val="00C47B6F"/>
    <w:rsid w:val="00C50071"/>
    <w:rsid w:val="00C50138"/>
    <w:rsid w:val="00C50734"/>
    <w:rsid w:val="00C50C5B"/>
    <w:rsid w:val="00C51248"/>
    <w:rsid w:val="00C512BD"/>
    <w:rsid w:val="00C51763"/>
    <w:rsid w:val="00C51ADB"/>
    <w:rsid w:val="00C51E78"/>
    <w:rsid w:val="00C52303"/>
    <w:rsid w:val="00C523D8"/>
    <w:rsid w:val="00C5269C"/>
    <w:rsid w:val="00C52C55"/>
    <w:rsid w:val="00C52E15"/>
    <w:rsid w:val="00C53173"/>
    <w:rsid w:val="00C532BD"/>
    <w:rsid w:val="00C53AD7"/>
    <w:rsid w:val="00C53ADE"/>
    <w:rsid w:val="00C53DD9"/>
    <w:rsid w:val="00C542A2"/>
    <w:rsid w:val="00C54374"/>
    <w:rsid w:val="00C547B1"/>
    <w:rsid w:val="00C5484C"/>
    <w:rsid w:val="00C54FE0"/>
    <w:rsid w:val="00C550B8"/>
    <w:rsid w:val="00C55456"/>
    <w:rsid w:val="00C55639"/>
    <w:rsid w:val="00C55C53"/>
    <w:rsid w:val="00C55CF5"/>
    <w:rsid w:val="00C55D89"/>
    <w:rsid w:val="00C56642"/>
    <w:rsid w:val="00C569D3"/>
    <w:rsid w:val="00C56B97"/>
    <w:rsid w:val="00C5728D"/>
    <w:rsid w:val="00C57796"/>
    <w:rsid w:val="00C578EF"/>
    <w:rsid w:val="00C57A8A"/>
    <w:rsid w:val="00C57BFA"/>
    <w:rsid w:val="00C57C22"/>
    <w:rsid w:val="00C57EA4"/>
    <w:rsid w:val="00C60671"/>
    <w:rsid w:val="00C6087E"/>
    <w:rsid w:val="00C60927"/>
    <w:rsid w:val="00C60982"/>
    <w:rsid w:val="00C609BF"/>
    <w:rsid w:val="00C60CB1"/>
    <w:rsid w:val="00C60E80"/>
    <w:rsid w:val="00C6108A"/>
    <w:rsid w:val="00C61D2A"/>
    <w:rsid w:val="00C61D50"/>
    <w:rsid w:val="00C62260"/>
    <w:rsid w:val="00C62438"/>
    <w:rsid w:val="00C6311D"/>
    <w:rsid w:val="00C63651"/>
    <w:rsid w:val="00C63A4A"/>
    <w:rsid w:val="00C63EB4"/>
    <w:rsid w:val="00C64172"/>
    <w:rsid w:val="00C64508"/>
    <w:rsid w:val="00C64965"/>
    <w:rsid w:val="00C64BB2"/>
    <w:rsid w:val="00C64D31"/>
    <w:rsid w:val="00C64D85"/>
    <w:rsid w:val="00C65181"/>
    <w:rsid w:val="00C6577F"/>
    <w:rsid w:val="00C65A5A"/>
    <w:rsid w:val="00C65C08"/>
    <w:rsid w:val="00C660C5"/>
    <w:rsid w:val="00C660DD"/>
    <w:rsid w:val="00C6611C"/>
    <w:rsid w:val="00C66541"/>
    <w:rsid w:val="00C666B6"/>
    <w:rsid w:val="00C667FF"/>
    <w:rsid w:val="00C668E1"/>
    <w:rsid w:val="00C66C25"/>
    <w:rsid w:val="00C66D2F"/>
    <w:rsid w:val="00C67427"/>
    <w:rsid w:val="00C67504"/>
    <w:rsid w:val="00C6799F"/>
    <w:rsid w:val="00C67B52"/>
    <w:rsid w:val="00C67F13"/>
    <w:rsid w:val="00C67FDF"/>
    <w:rsid w:val="00C7007A"/>
    <w:rsid w:val="00C7081A"/>
    <w:rsid w:val="00C70870"/>
    <w:rsid w:val="00C708BB"/>
    <w:rsid w:val="00C70921"/>
    <w:rsid w:val="00C70B54"/>
    <w:rsid w:val="00C713E5"/>
    <w:rsid w:val="00C7143D"/>
    <w:rsid w:val="00C7154E"/>
    <w:rsid w:val="00C7185B"/>
    <w:rsid w:val="00C72014"/>
    <w:rsid w:val="00C72192"/>
    <w:rsid w:val="00C72404"/>
    <w:rsid w:val="00C729E2"/>
    <w:rsid w:val="00C72E2D"/>
    <w:rsid w:val="00C72E74"/>
    <w:rsid w:val="00C73371"/>
    <w:rsid w:val="00C73504"/>
    <w:rsid w:val="00C73A28"/>
    <w:rsid w:val="00C73AEB"/>
    <w:rsid w:val="00C73B51"/>
    <w:rsid w:val="00C73E14"/>
    <w:rsid w:val="00C73F66"/>
    <w:rsid w:val="00C740C3"/>
    <w:rsid w:val="00C74429"/>
    <w:rsid w:val="00C74677"/>
    <w:rsid w:val="00C74797"/>
    <w:rsid w:val="00C74EE7"/>
    <w:rsid w:val="00C75233"/>
    <w:rsid w:val="00C752AC"/>
    <w:rsid w:val="00C757EF"/>
    <w:rsid w:val="00C75905"/>
    <w:rsid w:val="00C75C7D"/>
    <w:rsid w:val="00C75D7A"/>
    <w:rsid w:val="00C7602C"/>
    <w:rsid w:val="00C76039"/>
    <w:rsid w:val="00C76263"/>
    <w:rsid w:val="00C76344"/>
    <w:rsid w:val="00C7642E"/>
    <w:rsid w:val="00C7655E"/>
    <w:rsid w:val="00C768E7"/>
    <w:rsid w:val="00C76925"/>
    <w:rsid w:val="00C769FB"/>
    <w:rsid w:val="00C76F51"/>
    <w:rsid w:val="00C77181"/>
    <w:rsid w:val="00C77EAC"/>
    <w:rsid w:val="00C803B6"/>
    <w:rsid w:val="00C80984"/>
    <w:rsid w:val="00C80B1C"/>
    <w:rsid w:val="00C8122F"/>
    <w:rsid w:val="00C814FA"/>
    <w:rsid w:val="00C81601"/>
    <w:rsid w:val="00C8185A"/>
    <w:rsid w:val="00C8190C"/>
    <w:rsid w:val="00C81D1B"/>
    <w:rsid w:val="00C81E45"/>
    <w:rsid w:val="00C8225C"/>
    <w:rsid w:val="00C82A59"/>
    <w:rsid w:val="00C83504"/>
    <w:rsid w:val="00C83B59"/>
    <w:rsid w:val="00C83BDC"/>
    <w:rsid w:val="00C83F2D"/>
    <w:rsid w:val="00C83F62"/>
    <w:rsid w:val="00C84269"/>
    <w:rsid w:val="00C842BA"/>
    <w:rsid w:val="00C8484F"/>
    <w:rsid w:val="00C84E71"/>
    <w:rsid w:val="00C854BA"/>
    <w:rsid w:val="00C8572C"/>
    <w:rsid w:val="00C85770"/>
    <w:rsid w:val="00C8624A"/>
    <w:rsid w:val="00C86289"/>
    <w:rsid w:val="00C86D9B"/>
    <w:rsid w:val="00C86F55"/>
    <w:rsid w:val="00C870F5"/>
    <w:rsid w:val="00C871E6"/>
    <w:rsid w:val="00C87292"/>
    <w:rsid w:val="00C8735A"/>
    <w:rsid w:val="00C87476"/>
    <w:rsid w:val="00C875F9"/>
    <w:rsid w:val="00C87FAC"/>
    <w:rsid w:val="00C90709"/>
    <w:rsid w:val="00C9074F"/>
    <w:rsid w:val="00C90B23"/>
    <w:rsid w:val="00C9104E"/>
    <w:rsid w:val="00C91269"/>
    <w:rsid w:val="00C9126B"/>
    <w:rsid w:val="00C9153C"/>
    <w:rsid w:val="00C9182F"/>
    <w:rsid w:val="00C918BF"/>
    <w:rsid w:val="00C9198F"/>
    <w:rsid w:val="00C91CAF"/>
    <w:rsid w:val="00C9238E"/>
    <w:rsid w:val="00C931B6"/>
    <w:rsid w:val="00C932F9"/>
    <w:rsid w:val="00C9358C"/>
    <w:rsid w:val="00C938CF"/>
    <w:rsid w:val="00C93DCF"/>
    <w:rsid w:val="00C94014"/>
    <w:rsid w:val="00C94086"/>
    <w:rsid w:val="00C94393"/>
    <w:rsid w:val="00C945C9"/>
    <w:rsid w:val="00C9466B"/>
    <w:rsid w:val="00C94C20"/>
    <w:rsid w:val="00C94CD6"/>
    <w:rsid w:val="00C95002"/>
    <w:rsid w:val="00C95167"/>
    <w:rsid w:val="00C951AA"/>
    <w:rsid w:val="00C95470"/>
    <w:rsid w:val="00C9554C"/>
    <w:rsid w:val="00C95550"/>
    <w:rsid w:val="00C9583F"/>
    <w:rsid w:val="00C959DC"/>
    <w:rsid w:val="00C95A08"/>
    <w:rsid w:val="00C95CD7"/>
    <w:rsid w:val="00C96071"/>
    <w:rsid w:val="00C96772"/>
    <w:rsid w:val="00C9681B"/>
    <w:rsid w:val="00C96853"/>
    <w:rsid w:val="00C96A77"/>
    <w:rsid w:val="00C96BA0"/>
    <w:rsid w:val="00C96C97"/>
    <w:rsid w:val="00C974C0"/>
    <w:rsid w:val="00C9774F"/>
    <w:rsid w:val="00C97867"/>
    <w:rsid w:val="00C978B0"/>
    <w:rsid w:val="00C97C1C"/>
    <w:rsid w:val="00C97D2E"/>
    <w:rsid w:val="00C97D64"/>
    <w:rsid w:val="00CA01A4"/>
    <w:rsid w:val="00CA04F4"/>
    <w:rsid w:val="00CA05E1"/>
    <w:rsid w:val="00CA06C9"/>
    <w:rsid w:val="00CA0861"/>
    <w:rsid w:val="00CA0BF0"/>
    <w:rsid w:val="00CA0D2E"/>
    <w:rsid w:val="00CA0D8E"/>
    <w:rsid w:val="00CA11BB"/>
    <w:rsid w:val="00CA127B"/>
    <w:rsid w:val="00CA164C"/>
    <w:rsid w:val="00CA1720"/>
    <w:rsid w:val="00CA19C4"/>
    <w:rsid w:val="00CA25A0"/>
    <w:rsid w:val="00CA2D74"/>
    <w:rsid w:val="00CA32C7"/>
    <w:rsid w:val="00CA3413"/>
    <w:rsid w:val="00CA37DB"/>
    <w:rsid w:val="00CA3AEB"/>
    <w:rsid w:val="00CA3BB5"/>
    <w:rsid w:val="00CA3C8B"/>
    <w:rsid w:val="00CA3DA3"/>
    <w:rsid w:val="00CA3EEB"/>
    <w:rsid w:val="00CA4332"/>
    <w:rsid w:val="00CA4448"/>
    <w:rsid w:val="00CA44AB"/>
    <w:rsid w:val="00CA4532"/>
    <w:rsid w:val="00CA4BB2"/>
    <w:rsid w:val="00CA4C30"/>
    <w:rsid w:val="00CA4F10"/>
    <w:rsid w:val="00CA5448"/>
    <w:rsid w:val="00CA54F9"/>
    <w:rsid w:val="00CA5662"/>
    <w:rsid w:val="00CA58C5"/>
    <w:rsid w:val="00CA5A0A"/>
    <w:rsid w:val="00CA5A4D"/>
    <w:rsid w:val="00CA5C14"/>
    <w:rsid w:val="00CA5FDD"/>
    <w:rsid w:val="00CA6022"/>
    <w:rsid w:val="00CA604F"/>
    <w:rsid w:val="00CA651F"/>
    <w:rsid w:val="00CA657B"/>
    <w:rsid w:val="00CA6871"/>
    <w:rsid w:val="00CA6C42"/>
    <w:rsid w:val="00CA6C9E"/>
    <w:rsid w:val="00CA6E37"/>
    <w:rsid w:val="00CA701A"/>
    <w:rsid w:val="00CA7115"/>
    <w:rsid w:val="00CA733B"/>
    <w:rsid w:val="00CA76DF"/>
    <w:rsid w:val="00CA7A54"/>
    <w:rsid w:val="00CA7E46"/>
    <w:rsid w:val="00CA7E73"/>
    <w:rsid w:val="00CA7F7A"/>
    <w:rsid w:val="00CB0830"/>
    <w:rsid w:val="00CB0AEB"/>
    <w:rsid w:val="00CB0EA7"/>
    <w:rsid w:val="00CB0F0F"/>
    <w:rsid w:val="00CB11A7"/>
    <w:rsid w:val="00CB1444"/>
    <w:rsid w:val="00CB1484"/>
    <w:rsid w:val="00CB20D6"/>
    <w:rsid w:val="00CB2407"/>
    <w:rsid w:val="00CB25A3"/>
    <w:rsid w:val="00CB25C3"/>
    <w:rsid w:val="00CB2EA1"/>
    <w:rsid w:val="00CB2F56"/>
    <w:rsid w:val="00CB3043"/>
    <w:rsid w:val="00CB312E"/>
    <w:rsid w:val="00CB31B9"/>
    <w:rsid w:val="00CB3F4B"/>
    <w:rsid w:val="00CB43FC"/>
    <w:rsid w:val="00CB498D"/>
    <w:rsid w:val="00CB4D06"/>
    <w:rsid w:val="00CB4D79"/>
    <w:rsid w:val="00CB4E8F"/>
    <w:rsid w:val="00CB5329"/>
    <w:rsid w:val="00CB53F6"/>
    <w:rsid w:val="00CB5499"/>
    <w:rsid w:val="00CB597B"/>
    <w:rsid w:val="00CB5C59"/>
    <w:rsid w:val="00CB5E50"/>
    <w:rsid w:val="00CB60A1"/>
    <w:rsid w:val="00CB60EF"/>
    <w:rsid w:val="00CB63B9"/>
    <w:rsid w:val="00CB67EE"/>
    <w:rsid w:val="00CB6B18"/>
    <w:rsid w:val="00CB6D62"/>
    <w:rsid w:val="00CB6FCA"/>
    <w:rsid w:val="00CB73C6"/>
    <w:rsid w:val="00CB7994"/>
    <w:rsid w:val="00CB7CA6"/>
    <w:rsid w:val="00CB7E24"/>
    <w:rsid w:val="00CB7F91"/>
    <w:rsid w:val="00CC03D2"/>
    <w:rsid w:val="00CC0713"/>
    <w:rsid w:val="00CC0A1B"/>
    <w:rsid w:val="00CC0C2D"/>
    <w:rsid w:val="00CC0CD1"/>
    <w:rsid w:val="00CC12C2"/>
    <w:rsid w:val="00CC13D8"/>
    <w:rsid w:val="00CC14E5"/>
    <w:rsid w:val="00CC2381"/>
    <w:rsid w:val="00CC2490"/>
    <w:rsid w:val="00CC251B"/>
    <w:rsid w:val="00CC29EF"/>
    <w:rsid w:val="00CC2DE8"/>
    <w:rsid w:val="00CC305B"/>
    <w:rsid w:val="00CC35AF"/>
    <w:rsid w:val="00CC37C5"/>
    <w:rsid w:val="00CC3BDC"/>
    <w:rsid w:val="00CC3EDB"/>
    <w:rsid w:val="00CC3FBA"/>
    <w:rsid w:val="00CC43BB"/>
    <w:rsid w:val="00CC4A03"/>
    <w:rsid w:val="00CC4A43"/>
    <w:rsid w:val="00CC5054"/>
    <w:rsid w:val="00CC50A2"/>
    <w:rsid w:val="00CC50C0"/>
    <w:rsid w:val="00CC523D"/>
    <w:rsid w:val="00CC5313"/>
    <w:rsid w:val="00CC557D"/>
    <w:rsid w:val="00CC58AD"/>
    <w:rsid w:val="00CC5905"/>
    <w:rsid w:val="00CC5978"/>
    <w:rsid w:val="00CC598E"/>
    <w:rsid w:val="00CC5C74"/>
    <w:rsid w:val="00CC5F32"/>
    <w:rsid w:val="00CC6455"/>
    <w:rsid w:val="00CC6A7A"/>
    <w:rsid w:val="00CC6B4E"/>
    <w:rsid w:val="00CC6CAD"/>
    <w:rsid w:val="00CC6E12"/>
    <w:rsid w:val="00CC725E"/>
    <w:rsid w:val="00CC7910"/>
    <w:rsid w:val="00CC7CAB"/>
    <w:rsid w:val="00CC7E55"/>
    <w:rsid w:val="00CD041A"/>
    <w:rsid w:val="00CD05A6"/>
    <w:rsid w:val="00CD0966"/>
    <w:rsid w:val="00CD105C"/>
    <w:rsid w:val="00CD11EE"/>
    <w:rsid w:val="00CD122C"/>
    <w:rsid w:val="00CD16CB"/>
    <w:rsid w:val="00CD170E"/>
    <w:rsid w:val="00CD1D5E"/>
    <w:rsid w:val="00CD1FE4"/>
    <w:rsid w:val="00CD22AF"/>
    <w:rsid w:val="00CD2350"/>
    <w:rsid w:val="00CD24F9"/>
    <w:rsid w:val="00CD296E"/>
    <w:rsid w:val="00CD29C5"/>
    <w:rsid w:val="00CD2A2E"/>
    <w:rsid w:val="00CD2B2E"/>
    <w:rsid w:val="00CD2BAA"/>
    <w:rsid w:val="00CD2E82"/>
    <w:rsid w:val="00CD31EC"/>
    <w:rsid w:val="00CD3375"/>
    <w:rsid w:val="00CD36B5"/>
    <w:rsid w:val="00CD3717"/>
    <w:rsid w:val="00CD38AE"/>
    <w:rsid w:val="00CD3CEB"/>
    <w:rsid w:val="00CD3D4D"/>
    <w:rsid w:val="00CD3E9E"/>
    <w:rsid w:val="00CD4167"/>
    <w:rsid w:val="00CD480B"/>
    <w:rsid w:val="00CD4814"/>
    <w:rsid w:val="00CD48B7"/>
    <w:rsid w:val="00CD48DE"/>
    <w:rsid w:val="00CD4AAA"/>
    <w:rsid w:val="00CD4DDF"/>
    <w:rsid w:val="00CD50FB"/>
    <w:rsid w:val="00CD68A8"/>
    <w:rsid w:val="00CD6C5B"/>
    <w:rsid w:val="00CD6DEB"/>
    <w:rsid w:val="00CD6F81"/>
    <w:rsid w:val="00CD71B6"/>
    <w:rsid w:val="00CD75AA"/>
    <w:rsid w:val="00CD7A7B"/>
    <w:rsid w:val="00CD7C2A"/>
    <w:rsid w:val="00CD7D23"/>
    <w:rsid w:val="00CD7F02"/>
    <w:rsid w:val="00CE00E3"/>
    <w:rsid w:val="00CE01C7"/>
    <w:rsid w:val="00CE02B1"/>
    <w:rsid w:val="00CE0844"/>
    <w:rsid w:val="00CE0C43"/>
    <w:rsid w:val="00CE0C88"/>
    <w:rsid w:val="00CE0E46"/>
    <w:rsid w:val="00CE13F1"/>
    <w:rsid w:val="00CE19A2"/>
    <w:rsid w:val="00CE1B94"/>
    <w:rsid w:val="00CE1D54"/>
    <w:rsid w:val="00CE1FFA"/>
    <w:rsid w:val="00CE205D"/>
    <w:rsid w:val="00CE234B"/>
    <w:rsid w:val="00CE2925"/>
    <w:rsid w:val="00CE2E8F"/>
    <w:rsid w:val="00CE3008"/>
    <w:rsid w:val="00CE32BB"/>
    <w:rsid w:val="00CE369D"/>
    <w:rsid w:val="00CE375E"/>
    <w:rsid w:val="00CE3D5D"/>
    <w:rsid w:val="00CE3FFF"/>
    <w:rsid w:val="00CE4246"/>
    <w:rsid w:val="00CE4587"/>
    <w:rsid w:val="00CE4653"/>
    <w:rsid w:val="00CE4671"/>
    <w:rsid w:val="00CE4AFB"/>
    <w:rsid w:val="00CE4EB6"/>
    <w:rsid w:val="00CE5029"/>
    <w:rsid w:val="00CE5080"/>
    <w:rsid w:val="00CE5620"/>
    <w:rsid w:val="00CE57D8"/>
    <w:rsid w:val="00CE5921"/>
    <w:rsid w:val="00CE5A0E"/>
    <w:rsid w:val="00CE5D0A"/>
    <w:rsid w:val="00CE62F5"/>
    <w:rsid w:val="00CE6A7F"/>
    <w:rsid w:val="00CE6A8E"/>
    <w:rsid w:val="00CE6B76"/>
    <w:rsid w:val="00CE6B7B"/>
    <w:rsid w:val="00CE6BAB"/>
    <w:rsid w:val="00CE6D88"/>
    <w:rsid w:val="00CE75FF"/>
    <w:rsid w:val="00CE77E3"/>
    <w:rsid w:val="00CE7B4C"/>
    <w:rsid w:val="00CF004D"/>
    <w:rsid w:val="00CF026E"/>
    <w:rsid w:val="00CF02C6"/>
    <w:rsid w:val="00CF078E"/>
    <w:rsid w:val="00CF0AC3"/>
    <w:rsid w:val="00CF0F9C"/>
    <w:rsid w:val="00CF1181"/>
    <w:rsid w:val="00CF15BC"/>
    <w:rsid w:val="00CF21C7"/>
    <w:rsid w:val="00CF263C"/>
    <w:rsid w:val="00CF29A5"/>
    <w:rsid w:val="00CF2A3C"/>
    <w:rsid w:val="00CF2F9D"/>
    <w:rsid w:val="00CF315C"/>
    <w:rsid w:val="00CF3529"/>
    <w:rsid w:val="00CF35E6"/>
    <w:rsid w:val="00CF378F"/>
    <w:rsid w:val="00CF39D2"/>
    <w:rsid w:val="00CF39DD"/>
    <w:rsid w:val="00CF3E1E"/>
    <w:rsid w:val="00CF3F44"/>
    <w:rsid w:val="00CF4015"/>
    <w:rsid w:val="00CF4023"/>
    <w:rsid w:val="00CF4099"/>
    <w:rsid w:val="00CF41ED"/>
    <w:rsid w:val="00CF437E"/>
    <w:rsid w:val="00CF44D0"/>
    <w:rsid w:val="00CF470A"/>
    <w:rsid w:val="00CF4883"/>
    <w:rsid w:val="00CF4B2D"/>
    <w:rsid w:val="00CF4B38"/>
    <w:rsid w:val="00CF4CA5"/>
    <w:rsid w:val="00CF5141"/>
    <w:rsid w:val="00CF5365"/>
    <w:rsid w:val="00CF57B9"/>
    <w:rsid w:val="00CF5832"/>
    <w:rsid w:val="00CF5930"/>
    <w:rsid w:val="00CF599A"/>
    <w:rsid w:val="00CF5D89"/>
    <w:rsid w:val="00CF62BA"/>
    <w:rsid w:val="00CF684F"/>
    <w:rsid w:val="00CF704C"/>
    <w:rsid w:val="00CF7055"/>
    <w:rsid w:val="00CF799B"/>
    <w:rsid w:val="00CF7C62"/>
    <w:rsid w:val="00D00261"/>
    <w:rsid w:val="00D0068C"/>
    <w:rsid w:val="00D007A5"/>
    <w:rsid w:val="00D00857"/>
    <w:rsid w:val="00D00B50"/>
    <w:rsid w:val="00D00F5C"/>
    <w:rsid w:val="00D010A3"/>
    <w:rsid w:val="00D011D0"/>
    <w:rsid w:val="00D01282"/>
    <w:rsid w:val="00D018B3"/>
    <w:rsid w:val="00D01ABC"/>
    <w:rsid w:val="00D01B7D"/>
    <w:rsid w:val="00D01DFB"/>
    <w:rsid w:val="00D01E78"/>
    <w:rsid w:val="00D01FD5"/>
    <w:rsid w:val="00D02002"/>
    <w:rsid w:val="00D021DF"/>
    <w:rsid w:val="00D02679"/>
    <w:rsid w:val="00D027EF"/>
    <w:rsid w:val="00D02803"/>
    <w:rsid w:val="00D028EE"/>
    <w:rsid w:val="00D02B7F"/>
    <w:rsid w:val="00D02C47"/>
    <w:rsid w:val="00D02E9A"/>
    <w:rsid w:val="00D030DA"/>
    <w:rsid w:val="00D0328B"/>
    <w:rsid w:val="00D03521"/>
    <w:rsid w:val="00D04083"/>
    <w:rsid w:val="00D04211"/>
    <w:rsid w:val="00D0423D"/>
    <w:rsid w:val="00D044B3"/>
    <w:rsid w:val="00D045DB"/>
    <w:rsid w:val="00D04624"/>
    <w:rsid w:val="00D04729"/>
    <w:rsid w:val="00D048EC"/>
    <w:rsid w:val="00D04A41"/>
    <w:rsid w:val="00D04B71"/>
    <w:rsid w:val="00D04DC5"/>
    <w:rsid w:val="00D04F51"/>
    <w:rsid w:val="00D04F80"/>
    <w:rsid w:val="00D053FB"/>
    <w:rsid w:val="00D0549E"/>
    <w:rsid w:val="00D05585"/>
    <w:rsid w:val="00D058B8"/>
    <w:rsid w:val="00D05A1F"/>
    <w:rsid w:val="00D05DA5"/>
    <w:rsid w:val="00D05EAD"/>
    <w:rsid w:val="00D06236"/>
    <w:rsid w:val="00D0636A"/>
    <w:rsid w:val="00D0639A"/>
    <w:rsid w:val="00D068B3"/>
    <w:rsid w:val="00D06D69"/>
    <w:rsid w:val="00D07026"/>
    <w:rsid w:val="00D0707F"/>
    <w:rsid w:val="00D071EF"/>
    <w:rsid w:val="00D073BC"/>
    <w:rsid w:val="00D07649"/>
    <w:rsid w:val="00D077CA"/>
    <w:rsid w:val="00D07D83"/>
    <w:rsid w:val="00D07FB7"/>
    <w:rsid w:val="00D07FC9"/>
    <w:rsid w:val="00D1004F"/>
    <w:rsid w:val="00D101A2"/>
    <w:rsid w:val="00D10317"/>
    <w:rsid w:val="00D109CE"/>
    <w:rsid w:val="00D10AA9"/>
    <w:rsid w:val="00D10B16"/>
    <w:rsid w:val="00D10BFB"/>
    <w:rsid w:val="00D10C19"/>
    <w:rsid w:val="00D10DEC"/>
    <w:rsid w:val="00D10FAF"/>
    <w:rsid w:val="00D10FD9"/>
    <w:rsid w:val="00D1106D"/>
    <w:rsid w:val="00D11312"/>
    <w:rsid w:val="00D11819"/>
    <w:rsid w:val="00D11BD1"/>
    <w:rsid w:val="00D12218"/>
    <w:rsid w:val="00D1236B"/>
    <w:rsid w:val="00D124A9"/>
    <w:rsid w:val="00D12833"/>
    <w:rsid w:val="00D131D8"/>
    <w:rsid w:val="00D13A62"/>
    <w:rsid w:val="00D13C58"/>
    <w:rsid w:val="00D13FE7"/>
    <w:rsid w:val="00D14044"/>
    <w:rsid w:val="00D14465"/>
    <w:rsid w:val="00D145E9"/>
    <w:rsid w:val="00D14778"/>
    <w:rsid w:val="00D14F8A"/>
    <w:rsid w:val="00D150ED"/>
    <w:rsid w:val="00D158CA"/>
    <w:rsid w:val="00D15A5F"/>
    <w:rsid w:val="00D15B44"/>
    <w:rsid w:val="00D15CF6"/>
    <w:rsid w:val="00D15D94"/>
    <w:rsid w:val="00D15DB2"/>
    <w:rsid w:val="00D16126"/>
    <w:rsid w:val="00D1612F"/>
    <w:rsid w:val="00D16368"/>
    <w:rsid w:val="00D16486"/>
    <w:rsid w:val="00D16E2B"/>
    <w:rsid w:val="00D17270"/>
    <w:rsid w:val="00D17813"/>
    <w:rsid w:val="00D17B88"/>
    <w:rsid w:val="00D17BE0"/>
    <w:rsid w:val="00D202AC"/>
    <w:rsid w:val="00D203B0"/>
    <w:rsid w:val="00D20433"/>
    <w:rsid w:val="00D204D6"/>
    <w:rsid w:val="00D20A6F"/>
    <w:rsid w:val="00D20EEF"/>
    <w:rsid w:val="00D2104F"/>
    <w:rsid w:val="00D21074"/>
    <w:rsid w:val="00D210C3"/>
    <w:rsid w:val="00D21572"/>
    <w:rsid w:val="00D21821"/>
    <w:rsid w:val="00D218C2"/>
    <w:rsid w:val="00D21E90"/>
    <w:rsid w:val="00D22185"/>
    <w:rsid w:val="00D22563"/>
    <w:rsid w:val="00D225F9"/>
    <w:rsid w:val="00D22674"/>
    <w:rsid w:val="00D22787"/>
    <w:rsid w:val="00D22ABA"/>
    <w:rsid w:val="00D22C37"/>
    <w:rsid w:val="00D23011"/>
    <w:rsid w:val="00D234F6"/>
    <w:rsid w:val="00D2352C"/>
    <w:rsid w:val="00D23719"/>
    <w:rsid w:val="00D23AA9"/>
    <w:rsid w:val="00D23F97"/>
    <w:rsid w:val="00D241F2"/>
    <w:rsid w:val="00D24612"/>
    <w:rsid w:val="00D246E8"/>
    <w:rsid w:val="00D24700"/>
    <w:rsid w:val="00D2486F"/>
    <w:rsid w:val="00D24885"/>
    <w:rsid w:val="00D248E0"/>
    <w:rsid w:val="00D24DBF"/>
    <w:rsid w:val="00D251CC"/>
    <w:rsid w:val="00D2573E"/>
    <w:rsid w:val="00D25CAE"/>
    <w:rsid w:val="00D26017"/>
    <w:rsid w:val="00D261F2"/>
    <w:rsid w:val="00D26560"/>
    <w:rsid w:val="00D2663B"/>
    <w:rsid w:val="00D268A8"/>
    <w:rsid w:val="00D26F18"/>
    <w:rsid w:val="00D2737B"/>
    <w:rsid w:val="00D277ED"/>
    <w:rsid w:val="00D278CD"/>
    <w:rsid w:val="00D27C3A"/>
    <w:rsid w:val="00D27ED8"/>
    <w:rsid w:val="00D3010B"/>
    <w:rsid w:val="00D301BE"/>
    <w:rsid w:val="00D301FD"/>
    <w:rsid w:val="00D30400"/>
    <w:rsid w:val="00D30ADF"/>
    <w:rsid w:val="00D30B7E"/>
    <w:rsid w:val="00D30C28"/>
    <w:rsid w:val="00D312D6"/>
    <w:rsid w:val="00D313D3"/>
    <w:rsid w:val="00D315E0"/>
    <w:rsid w:val="00D3175B"/>
    <w:rsid w:val="00D31919"/>
    <w:rsid w:val="00D31D1D"/>
    <w:rsid w:val="00D32190"/>
    <w:rsid w:val="00D32435"/>
    <w:rsid w:val="00D32862"/>
    <w:rsid w:val="00D329C9"/>
    <w:rsid w:val="00D32C2B"/>
    <w:rsid w:val="00D32D7A"/>
    <w:rsid w:val="00D33126"/>
    <w:rsid w:val="00D33478"/>
    <w:rsid w:val="00D335B6"/>
    <w:rsid w:val="00D336B9"/>
    <w:rsid w:val="00D336F0"/>
    <w:rsid w:val="00D33A81"/>
    <w:rsid w:val="00D33C6C"/>
    <w:rsid w:val="00D34199"/>
    <w:rsid w:val="00D344B0"/>
    <w:rsid w:val="00D3462A"/>
    <w:rsid w:val="00D3462E"/>
    <w:rsid w:val="00D34850"/>
    <w:rsid w:val="00D34C69"/>
    <w:rsid w:val="00D3512F"/>
    <w:rsid w:val="00D353C9"/>
    <w:rsid w:val="00D35A33"/>
    <w:rsid w:val="00D35C5B"/>
    <w:rsid w:val="00D35CB1"/>
    <w:rsid w:val="00D35EEE"/>
    <w:rsid w:val="00D35F22"/>
    <w:rsid w:val="00D361A2"/>
    <w:rsid w:val="00D36971"/>
    <w:rsid w:val="00D36A83"/>
    <w:rsid w:val="00D36C46"/>
    <w:rsid w:val="00D3705D"/>
    <w:rsid w:val="00D3743A"/>
    <w:rsid w:val="00D37901"/>
    <w:rsid w:val="00D379F0"/>
    <w:rsid w:val="00D37BA8"/>
    <w:rsid w:val="00D37F9D"/>
    <w:rsid w:val="00D401FC"/>
    <w:rsid w:val="00D40BC4"/>
    <w:rsid w:val="00D410A3"/>
    <w:rsid w:val="00D41AAF"/>
    <w:rsid w:val="00D41C2B"/>
    <w:rsid w:val="00D41C38"/>
    <w:rsid w:val="00D41E82"/>
    <w:rsid w:val="00D42182"/>
    <w:rsid w:val="00D42201"/>
    <w:rsid w:val="00D42775"/>
    <w:rsid w:val="00D427EE"/>
    <w:rsid w:val="00D428FD"/>
    <w:rsid w:val="00D42A9A"/>
    <w:rsid w:val="00D42E3C"/>
    <w:rsid w:val="00D43465"/>
    <w:rsid w:val="00D43593"/>
    <w:rsid w:val="00D436FA"/>
    <w:rsid w:val="00D43B8C"/>
    <w:rsid w:val="00D44247"/>
    <w:rsid w:val="00D442A9"/>
    <w:rsid w:val="00D4479C"/>
    <w:rsid w:val="00D4498C"/>
    <w:rsid w:val="00D451BC"/>
    <w:rsid w:val="00D452FB"/>
    <w:rsid w:val="00D45516"/>
    <w:rsid w:val="00D45624"/>
    <w:rsid w:val="00D45ECB"/>
    <w:rsid w:val="00D4609C"/>
    <w:rsid w:val="00D468A6"/>
    <w:rsid w:val="00D46AC0"/>
    <w:rsid w:val="00D47380"/>
    <w:rsid w:val="00D474A6"/>
    <w:rsid w:val="00D4762C"/>
    <w:rsid w:val="00D476E9"/>
    <w:rsid w:val="00D478D4"/>
    <w:rsid w:val="00D47AFB"/>
    <w:rsid w:val="00D50248"/>
    <w:rsid w:val="00D50464"/>
    <w:rsid w:val="00D504DD"/>
    <w:rsid w:val="00D506B2"/>
    <w:rsid w:val="00D5082B"/>
    <w:rsid w:val="00D50962"/>
    <w:rsid w:val="00D509E9"/>
    <w:rsid w:val="00D50B18"/>
    <w:rsid w:val="00D50B96"/>
    <w:rsid w:val="00D50ECA"/>
    <w:rsid w:val="00D510AF"/>
    <w:rsid w:val="00D5132E"/>
    <w:rsid w:val="00D51367"/>
    <w:rsid w:val="00D51B2B"/>
    <w:rsid w:val="00D51B5D"/>
    <w:rsid w:val="00D520A8"/>
    <w:rsid w:val="00D5229B"/>
    <w:rsid w:val="00D52665"/>
    <w:rsid w:val="00D52BA3"/>
    <w:rsid w:val="00D52EC4"/>
    <w:rsid w:val="00D530BC"/>
    <w:rsid w:val="00D5337C"/>
    <w:rsid w:val="00D53526"/>
    <w:rsid w:val="00D53645"/>
    <w:rsid w:val="00D537B4"/>
    <w:rsid w:val="00D53A87"/>
    <w:rsid w:val="00D54168"/>
    <w:rsid w:val="00D541E0"/>
    <w:rsid w:val="00D543AB"/>
    <w:rsid w:val="00D543CB"/>
    <w:rsid w:val="00D5450A"/>
    <w:rsid w:val="00D5460F"/>
    <w:rsid w:val="00D548E7"/>
    <w:rsid w:val="00D54A7D"/>
    <w:rsid w:val="00D54F6B"/>
    <w:rsid w:val="00D551C6"/>
    <w:rsid w:val="00D551D8"/>
    <w:rsid w:val="00D5528E"/>
    <w:rsid w:val="00D554D5"/>
    <w:rsid w:val="00D5559D"/>
    <w:rsid w:val="00D55675"/>
    <w:rsid w:val="00D55B0D"/>
    <w:rsid w:val="00D55BA8"/>
    <w:rsid w:val="00D55F8D"/>
    <w:rsid w:val="00D560FE"/>
    <w:rsid w:val="00D5630C"/>
    <w:rsid w:val="00D5655C"/>
    <w:rsid w:val="00D56B75"/>
    <w:rsid w:val="00D56CC8"/>
    <w:rsid w:val="00D570B0"/>
    <w:rsid w:val="00D57189"/>
    <w:rsid w:val="00D57263"/>
    <w:rsid w:val="00D57471"/>
    <w:rsid w:val="00D576B0"/>
    <w:rsid w:val="00D576B6"/>
    <w:rsid w:val="00D5795E"/>
    <w:rsid w:val="00D57BAB"/>
    <w:rsid w:val="00D60D49"/>
    <w:rsid w:val="00D60E9B"/>
    <w:rsid w:val="00D61BD5"/>
    <w:rsid w:val="00D61D79"/>
    <w:rsid w:val="00D62837"/>
    <w:rsid w:val="00D62C17"/>
    <w:rsid w:val="00D62C6F"/>
    <w:rsid w:val="00D62CDC"/>
    <w:rsid w:val="00D63A32"/>
    <w:rsid w:val="00D641FF"/>
    <w:rsid w:val="00D6478B"/>
    <w:rsid w:val="00D6478D"/>
    <w:rsid w:val="00D64B42"/>
    <w:rsid w:val="00D64CEE"/>
    <w:rsid w:val="00D65D31"/>
    <w:rsid w:val="00D65DFA"/>
    <w:rsid w:val="00D65EB7"/>
    <w:rsid w:val="00D6601B"/>
    <w:rsid w:val="00D6613F"/>
    <w:rsid w:val="00D66E18"/>
    <w:rsid w:val="00D673F6"/>
    <w:rsid w:val="00D675F0"/>
    <w:rsid w:val="00D6783E"/>
    <w:rsid w:val="00D678AE"/>
    <w:rsid w:val="00D67DCD"/>
    <w:rsid w:val="00D70306"/>
    <w:rsid w:val="00D704BB"/>
    <w:rsid w:val="00D704CE"/>
    <w:rsid w:val="00D70564"/>
    <w:rsid w:val="00D70693"/>
    <w:rsid w:val="00D706F6"/>
    <w:rsid w:val="00D70814"/>
    <w:rsid w:val="00D70A9D"/>
    <w:rsid w:val="00D70E8B"/>
    <w:rsid w:val="00D70F09"/>
    <w:rsid w:val="00D70FD7"/>
    <w:rsid w:val="00D7105A"/>
    <w:rsid w:val="00D71548"/>
    <w:rsid w:val="00D71D46"/>
    <w:rsid w:val="00D72028"/>
    <w:rsid w:val="00D72188"/>
    <w:rsid w:val="00D72333"/>
    <w:rsid w:val="00D723C0"/>
    <w:rsid w:val="00D72C14"/>
    <w:rsid w:val="00D72DCD"/>
    <w:rsid w:val="00D731B8"/>
    <w:rsid w:val="00D73615"/>
    <w:rsid w:val="00D73F5D"/>
    <w:rsid w:val="00D743D0"/>
    <w:rsid w:val="00D74983"/>
    <w:rsid w:val="00D74BE4"/>
    <w:rsid w:val="00D74D0D"/>
    <w:rsid w:val="00D74E51"/>
    <w:rsid w:val="00D74EC3"/>
    <w:rsid w:val="00D7526C"/>
    <w:rsid w:val="00D755C2"/>
    <w:rsid w:val="00D7565D"/>
    <w:rsid w:val="00D756B7"/>
    <w:rsid w:val="00D75733"/>
    <w:rsid w:val="00D75739"/>
    <w:rsid w:val="00D757A3"/>
    <w:rsid w:val="00D758E1"/>
    <w:rsid w:val="00D75AD2"/>
    <w:rsid w:val="00D75D22"/>
    <w:rsid w:val="00D762E3"/>
    <w:rsid w:val="00D764A8"/>
    <w:rsid w:val="00D765E5"/>
    <w:rsid w:val="00D7668C"/>
    <w:rsid w:val="00D76734"/>
    <w:rsid w:val="00D767F0"/>
    <w:rsid w:val="00D769D6"/>
    <w:rsid w:val="00D76C67"/>
    <w:rsid w:val="00D76F2D"/>
    <w:rsid w:val="00D771FF"/>
    <w:rsid w:val="00D7721C"/>
    <w:rsid w:val="00D77447"/>
    <w:rsid w:val="00D7756D"/>
    <w:rsid w:val="00D77769"/>
    <w:rsid w:val="00D77773"/>
    <w:rsid w:val="00D77796"/>
    <w:rsid w:val="00D77A1A"/>
    <w:rsid w:val="00D77DA0"/>
    <w:rsid w:val="00D803BC"/>
    <w:rsid w:val="00D80656"/>
    <w:rsid w:val="00D806E9"/>
    <w:rsid w:val="00D80840"/>
    <w:rsid w:val="00D80A9B"/>
    <w:rsid w:val="00D80DC2"/>
    <w:rsid w:val="00D80E84"/>
    <w:rsid w:val="00D819E1"/>
    <w:rsid w:val="00D81E1A"/>
    <w:rsid w:val="00D81FF7"/>
    <w:rsid w:val="00D82010"/>
    <w:rsid w:val="00D820F5"/>
    <w:rsid w:val="00D8219E"/>
    <w:rsid w:val="00D824B3"/>
    <w:rsid w:val="00D82588"/>
    <w:rsid w:val="00D826BB"/>
    <w:rsid w:val="00D8276D"/>
    <w:rsid w:val="00D82AD7"/>
    <w:rsid w:val="00D82ED4"/>
    <w:rsid w:val="00D8309C"/>
    <w:rsid w:val="00D8333C"/>
    <w:rsid w:val="00D8377B"/>
    <w:rsid w:val="00D84420"/>
    <w:rsid w:val="00D84581"/>
    <w:rsid w:val="00D8493F"/>
    <w:rsid w:val="00D84CB5"/>
    <w:rsid w:val="00D84DFE"/>
    <w:rsid w:val="00D8513B"/>
    <w:rsid w:val="00D851CA"/>
    <w:rsid w:val="00D851E1"/>
    <w:rsid w:val="00D854E5"/>
    <w:rsid w:val="00D85780"/>
    <w:rsid w:val="00D858FC"/>
    <w:rsid w:val="00D85C19"/>
    <w:rsid w:val="00D8607B"/>
    <w:rsid w:val="00D8673C"/>
    <w:rsid w:val="00D8681A"/>
    <w:rsid w:val="00D86995"/>
    <w:rsid w:val="00D8743D"/>
    <w:rsid w:val="00D87F19"/>
    <w:rsid w:val="00D9012B"/>
    <w:rsid w:val="00D901BE"/>
    <w:rsid w:val="00D90CB1"/>
    <w:rsid w:val="00D91499"/>
    <w:rsid w:val="00D91687"/>
    <w:rsid w:val="00D9188C"/>
    <w:rsid w:val="00D91A12"/>
    <w:rsid w:val="00D92090"/>
    <w:rsid w:val="00D920C0"/>
    <w:rsid w:val="00D9219D"/>
    <w:rsid w:val="00D921FF"/>
    <w:rsid w:val="00D92328"/>
    <w:rsid w:val="00D925C2"/>
    <w:rsid w:val="00D92735"/>
    <w:rsid w:val="00D92B88"/>
    <w:rsid w:val="00D92BC1"/>
    <w:rsid w:val="00D92C4D"/>
    <w:rsid w:val="00D92D95"/>
    <w:rsid w:val="00D92DDF"/>
    <w:rsid w:val="00D92FA7"/>
    <w:rsid w:val="00D93474"/>
    <w:rsid w:val="00D9368A"/>
    <w:rsid w:val="00D9399F"/>
    <w:rsid w:val="00D93AFF"/>
    <w:rsid w:val="00D93BC5"/>
    <w:rsid w:val="00D93E11"/>
    <w:rsid w:val="00D93E9E"/>
    <w:rsid w:val="00D93EE6"/>
    <w:rsid w:val="00D94217"/>
    <w:rsid w:val="00D94223"/>
    <w:rsid w:val="00D94455"/>
    <w:rsid w:val="00D94944"/>
    <w:rsid w:val="00D949DF"/>
    <w:rsid w:val="00D94B49"/>
    <w:rsid w:val="00D94DBB"/>
    <w:rsid w:val="00D94E28"/>
    <w:rsid w:val="00D94E46"/>
    <w:rsid w:val="00D9513F"/>
    <w:rsid w:val="00D9564F"/>
    <w:rsid w:val="00D95CAF"/>
    <w:rsid w:val="00D95DB8"/>
    <w:rsid w:val="00D95F46"/>
    <w:rsid w:val="00D9629C"/>
    <w:rsid w:val="00D962CD"/>
    <w:rsid w:val="00D967BD"/>
    <w:rsid w:val="00D969F2"/>
    <w:rsid w:val="00D96DC2"/>
    <w:rsid w:val="00D96E47"/>
    <w:rsid w:val="00D97715"/>
    <w:rsid w:val="00D97B5B"/>
    <w:rsid w:val="00D97C4A"/>
    <w:rsid w:val="00D97D0F"/>
    <w:rsid w:val="00D97D15"/>
    <w:rsid w:val="00D97E32"/>
    <w:rsid w:val="00D97F43"/>
    <w:rsid w:val="00DA010D"/>
    <w:rsid w:val="00DA015F"/>
    <w:rsid w:val="00DA0537"/>
    <w:rsid w:val="00DA06ED"/>
    <w:rsid w:val="00DA0A12"/>
    <w:rsid w:val="00DA0AE5"/>
    <w:rsid w:val="00DA0EA3"/>
    <w:rsid w:val="00DA1305"/>
    <w:rsid w:val="00DA1333"/>
    <w:rsid w:val="00DA197D"/>
    <w:rsid w:val="00DA1B07"/>
    <w:rsid w:val="00DA1D65"/>
    <w:rsid w:val="00DA1FCD"/>
    <w:rsid w:val="00DA20A2"/>
    <w:rsid w:val="00DA21B6"/>
    <w:rsid w:val="00DA27D4"/>
    <w:rsid w:val="00DA2B6B"/>
    <w:rsid w:val="00DA2DD8"/>
    <w:rsid w:val="00DA3486"/>
    <w:rsid w:val="00DA3851"/>
    <w:rsid w:val="00DA392A"/>
    <w:rsid w:val="00DA3D4E"/>
    <w:rsid w:val="00DA3F68"/>
    <w:rsid w:val="00DA4402"/>
    <w:rsid w:val="00DA4911"/>
    <w:rsid w:val="00DA4A21"/>
    <w:rsid w:val="00DA4F25"/>
    <w:rsid w:val="00DA4F46"/>
    <w:rsid w:val="00DA504B"/>
    <w:rsid w:val="00DA519F"/>
    <w:rsid w:val="00DA52D9"/>
    <w:rsid w:val="00DA5A1A"/>
    <w:rsid w:val="00DA6389"/>
    <w:rsid w:val="00DA6473"/>
    <w:rsid w:val="00DA6614"/>
    <w:rsid w:val="00DA6708"/>
    <w:rsid w:val="00DA6721"/>
    <w:rsid w:val="00DA6C72"/>
    <w:rsid w:val="00DA6E04"/>
    <w:rsid w:val="00DA6EF5"/>
    <w:rsid w:val="00DA7165"/>
    <w:rsid w:val="00DA717C"/>
    <w:rsid w:val="00DA71C3"/>
    <w:rsid w:val="00DA72CA"/>
    <w:rsid w:val="00DA7366"/>
    <w:rsid w:val="00DA7AFD"/>
    <w:rsid w:val="00DA7B8D"/>
    <w:rsid w:val="00DA7D8C"/>
    <w:rsid w:val="00DB01F9"/>
    <w:rsid w:val="00DB0325"/>
    <w:rsid w:val="00DB1863"/>
    <w:rsid w:val="00DB191D"/>
    <w:rsid w:val="00DB197E"/>
    <w:rsid w:val="00DB1982"/>
    <w:rsid w:val="00DB1D18"/>
    <w:rsid w:val="00DB1D78"/>
    <w:rsid w:val="00DB1DA9"/>
    <w:rsid w:val="00DB23E0"/>
    <w:rsid w:val="00DB2588"/>
    <w:rsid w:val="00DB2BB3"/>
    <w:rsid w:val="00DB2E31"/>
    <w:rsid w:val="00DB2F54"/>
    <w:rsid w:val="00DB336E"/>
    <w:rsid w:val="00DB37FA"/>
    <w:rsid w:val="00DB4242"/>
    <w:rsid w:val="00DB59BA"/>
    <w:rsid w:val="00DB6188"/>
    <w:rsid w:val="00DB6719"/>
    <w:rsid w:val="00DB6841"/>
    <w:rsid w:val="00DB6A1F"/>
    <w:rsid w:val="00DB6AB1"/>
    <w:rsid w:val="00DB6F04"/>
    <w:rsid w:val="00DB7370"/>
    <w:rsid w:val="00DB75EB"/>
    <w:rsid w:val="00DB7B75"/>
    <w:rsid w:val="00DB7C7D"/>
    <w:rsid w:val="00DC00C9"/>
    <w:rsid w:val="00DC0906"/>
    <w:rsid w:val="00DC0A8E"/>
    <w:rsid w:val="00DC0AE2"/>
    <w:rsid w:val="00DC0D46"/>
    <w:rsid w:val="00DC0DF5"/>
    <w:rsid w:val="00DC0FEE"/>
    <w:rsid w:val="00DC10E5"/>
    <w:rsid w:val="00DC1124"/>
    <w:rsid w:val="00DC1293"/>
    <w:rsid w:val="00DC14E2"/>
    <w:rsid w:val="00DC155B"/>
    <w:rsid w:val="00DC177A"/>
    <w:rsid w:val="00DC17FF"/>
    <w:rsid w:val="00DC1B3C"/>
    <w:rsid w:val="00DC1B4A"/>
    <w:rsid w:val="00DC1CAB"/>
    <w:rsid w:val="00DC203B"/>
    <w:rsid w:val="00DC2212"/>
    <w:rsid w:val="00DC22A9"/>
    <w:rsid w:val="00DC2511"/>
    <w:rsid w:val="00DC2528"/>
    <w:rsid w:val="00DC26E4"/>
    <w:rsid w:val="00DC26E7"/>
    <w:rsid w:val="00DC26EE"/>
    <w:rsid w:val="00DC2C80"/>
    <w:rsid w:val="00DC3400"/>
    <w:rsid w:val="00DC3A37"/>
    <w:rsid w:val="00DC3D3E"/>
    <w:rsid w:val="00DC3E80"/>
    <w:rsid w:val="00DC41D9"/>
    <w:rsid w:val="00DC4319"/>
    <w:rsid w:val="00DC4394"/>
    <w:rsid w:val="00DC44D5"/>
    <w:rsid w:val="00DC4537"/>
    <w:rsid w:val="00DC4582"/>
    <w:rsid w:val="00DC59F6"/>
    <w:rsid w:val="00DC5A41"/>
    <w:rsid w:val="00DC5BD2"/>
    <w:rsid w:val="00DC5D15"/>
    <w:rsid w:val="00DC5F88"/>
    <w:rsid w:val="00DC605E"/>
    <w:rsid w:val="00DC613B"/>
    <w:rsid w:val="00DC66A2"/>
    <w:rsid w:val="00DC6770"/>
    <w:rsid w:val="00DC6C2F"/>
    <w:rsid w:val="00DC7885"/>
    <w:rsid w:val="00DC794F"/>
    <w:rsid w:val="00DC7B18"/>
    <w:rsid w:val="00DC7DAA"/>
    <w:rsid w:val="00DC7DB2"/>
    <w:rsid w:val="00DD0146"/>
    <w:rsid w:val="00DD045E"/>
    <w:rsid w:val="00DD0529"/>
    <w:rsid w:val="00DD0838"/>
    <w:rsid w:val="00DD0AA5"/>
    <w:rsid w:val="00DD0C64"/>
    <w:rsid w:val="00DD0D4D"/>
    <w:rsid w:val="00DD0E86"/>
    <w:rsid w:val="00DD1305"/>
    <w:rsid w:val="00DD149F"/>
    <w:rsid w:val="00DD1574"/>
    <w:rsid w:val="00DD1A92"/>
    <w:rsid w:val="00DD1BF0"/>
    <w:rsid w:val="00DD1BFD"/>
    <w:rsid w:val="00DD273B"/>
    <w:rsid w:val="00DD275F"/>
    <w:rsid w:val="00DD290A"/>
    <w:rsid w:val="00DD2973"/>
    <w:rsid w:val="00DD31A3"/>
    <w:rsid w:val="00DD3354"/>
    <w:rsid w:val="00DD347C"/>
    <w:rsid w:val="00DD3658"/>
    <w:rsid w:val="00DD3A8B"/>
    <w:rsid w:val="00DD460E"/>
    <w:rsid w:val="00DD4643"/>
    <w:rsid w:val="00DD4695"/>
    <w:rsid w:val="00DD479B"/>
    <w:rsid w:val="00DD4E22"/>
    <w:rsid w:val="00DD59FD"/>
    <w:rsid w:val="00DD5C8D"/>
    <w:rsid w:val="00DD5F6B"/>
    <w:rsid w:val="00DD6117"/>
    <w:rsid w:val="00DD62A6"/>
    <w:rsid w:val="00DD68D0"/>
    <w:rsid w:val="00DD6B3E"/>
    <w:rsid w:val="00DD6DAE"/>
    <w:rsid w:val="00DD6DDA"/>
    <w:rsid w:val="00DD713A"/>
    <w:rsid w:val="00DD73A6"/>
    <w:rsid w:val="00DD7455"/>
    <w:rsid w:val="00DD77AA"/>
    <w:rsid w:val="00DD7D6F"/>
    <w:rsid w:val="00DD7DFA"/>
    <w:rsid w:val="00DE00D3"/>
    <w:rsid w:val="00DE0B32"/>
    <w:rsid w:val="00DE1652"/>
    <w:rsid w:val="00DE198D"/>
    <w:rsid w:val="00DE2209"/>
    <w:rsid w:val="00DE23F5"/>
    <w:rsid w:val="00DE253A"/>
    <w:rsid w:val="00DE2802"/>
    <w:rsid w:val="00DE2FE0"/>
    <w:rsid w:val="00DE3078"/>
    <w:rsid w:val="00DE360D"/>
    <w:rsid w:val="00DE3729"/>
    <w:rsid w:val="00DE38E5"/>
    <w:rsid w:val="00DE395A"/>
    <w:rsid w:val="00DE3A04"/>
    <w:rsid w:val="00DE3DC7"/>
    <w:rsid w:val="00DE4328"/>
    <w:rsid w:val="00DE459F"/>
    <w:rsid w:val="00DE4AF4"/>
    <w:rsid w:val="00DE4B43"/>
    <w:rsid w:val="00DE4B68"/>
    <w:rsid w:val="00DE4DD8"/>
    <w:rsid w:val="00DE57B7"/>
    <w:rsid w:val="00DE5A4B"/>
    <w:rsid w:val="00DE5F14"/>
    <w:rsid w:val="00DE62B0"/>
    <w:rsid w:val="00DE64D5"/>
    <w:rsid w:val="00DE688A"/>
    <w:rsid w:val="00DE68D8"/>
    <w:rsid w:val="00DE6BEC"/>
    <w:rsid w:val="00DE756F"/>
    <w:rsid w:val="00DE778C"/>
    <w:rsid w:val="00DE7A57"/>
    <w:rsid w:val="00DE7AC4"/>
    <w:rsid w:val="00DE7B7E"/>
    <w:rsid w:val="00DE7CF1"/>
    <w:rsid w:val="00DE7D1B"/>
    <w:rsid w:val="00DE7DD9"/>
    <w:rsid w:val="00DF033F"/>
    <w:rsid w:val="00DF0396"/>
    <w:rsid w:val="00DF04EF"/>
    <w:rsid w:val="00DF07B3"/>
    <w:rsid w:val="00DF08F3"/>
    <w:rsid w:val="00DF0BE8"/>
    <w:rsid w:val="00DF0D66"/>
    <w:rsid w:val="00DF0E19"/>
    <w:rsid w:val="00DF0E4B"/>
    <w:rsid w:val="00DF1147"/>
    <w:rsid w:val="00DF1292"/>
    <w:rsid w:val="00DF16B9"/>
    <w:rsid w:val="00DF16BE"/>
    <w:rsid w:val="00DF1901"/>
    <w:rsid w:val="00DF198C"/>
    <w:rsid w:val="00DF1D51"/>
    <w:rsid w:val="00DF1F06"/>
    <w:rsid w:val="00DF2120"/>
    <w:rsid w:val="00DF251F"/>
    <w:rsid w:val="00DF26B2"/>
    <w:rsid w:val="00DF29F9"/>
    <w:rsid w:val="00DF2B2D"/>
    <w:rsid w:val="00DF2BF9"/>
    <w:rsid w:val="00DF2CC6"/>
    <w:rsid w:val="00DF2DFD"/>
    <w:rsid w:val="00DF2FAD"/>
    <w:rsid w:val="00DF32ED"/>
    <w:rsid w:val="00DF357D"/>
    <w:rsid w:val="00DF39C0"/>
    <w:rsid w:val="00DF3A0F"/>
    <w:rsid w:val="00DF3A51"/>
    <w:rsid w:val="00DF3FFB"/>
    <w:rsid w:val="00DF4267"/>
    <w:rsid w:val="00DF4599"/>
    <w:rsid w:val="00DF4635"/>
    <w:rsid w:val="00DF494B"/>
    <w:rsid w:val="00DF4E80"/>
    <w:rsid w:val="00DF4F6D"/>
    <w:rsid w:val="00DF5190"/>
    <w:rsid w:val="00DF5427"/>
    <w:rsid w:val="00DF568F"/>
    <w:rsid w:val="00DF5E3A"/>
    <w:rsid w:val="00DF5E65"/>
    <w:rsid w:val="00DF5F83"/>
    <w:rsid w:val="00DF6192"/>
    <w:rsid w:val="00DF65F3"/>
    <w:rsid w:val="00DF6654"/>
    <w:rsid w:val="00DF6940"/>
    <w:rsid w:val="00DF69CA"/>
    <w:rsid w:val="00DF6E8F"/>
    <w:rsid w:val="00DF70D9"/>
    <w:rsid w:val="00DF70DF"/>
    <w:rsid w:val="00DF728A"/>
    <w:rsid w:val="00DF75CD"/>
    <w:rsid w:val="00DF78D0"/>
    <w:rsid w:val="00DF7D2A"/>
    <w:rsid w:val="00DF7EEE"/>
    <w:rsid w:val="00DF7F16"/>
    <w:rsid w:val="00E0037D"/>
    <w:rsid w:val="00E0065B"/>
    <w:rsid w:val="00E00705"/>
    <w:rsid w:val="00E00DC7"/>
    <w:rsid w:val="00E01881"/>
    <w:rsid w:val="00E01F5E"/>
    <w:rsid w:val="00E02153"/>
    <w:rsid w:val="00E02298"/>
    <w:rsid w:val="00E023E8"/>
    <w:rsid w:val="00E026C7"/>
    <w:rsid w:val="00E026F9"/>
    <w:rsid w:val="00E02786"/>
    <w:rsid w:val="00E02DCB"/>
    <w:rsid w:val="00E03054"/>
    <w:rsid w:val="00E03063"/>
    <w:rsid w:val="00E03715"/>
    <w:rsid w:val="00E03CEA"/>
    <w:rsid w:val="00E03F22"/>
    <w:rsid w:val="00E0404E"/>
    <w:rsid w:val="00E0407B"/>
    <w:rsid w:val="00E040A4"/>
    <w:rsid w:val="00E0427D"/>
    <w:rsid w:val="00E04D96"/>
    <w:rsid w:val="00E04EE8"/>
    <w:rsid w:val="00E05175"/>
    <w:rsid w:val="00E0534A"/>
    <w:rsid w:val="00E055E7"/>
    <w:rsid w:val="00E0566D"/>
    <w:rsid w:val="00E057A6"/>
    <w:rsid w:val="00E05AC6"/>
    <w:rsid w:val="00E05C15"/>
    <w:rsid w:val="00E05EB1"/>
    <w:rsid w:val="00E05F6E"/>
    <w:rsid w:val="00E06316"/>
    <w:rsid w:val="00E068EB"/>
    <w:rsid w:val="00E06ADA"/>
    <w:rsid w:val="00E06E47"/>
    <w:rsid w:val="00E0714C"/>
    <w:rsid w:val="00E07702"/>
    <w:rsid w:val="00E07CA9"/>
    <w:rsid w:val="00E1024C"/>
    <w:rsid w:val="00E104E3"/>
    <w:rsid w:val="00E10609"/>
    <w:rsid w:val="00E1081E"/>
    <w:rsid w:val="00E10882"/>
    <w:rsid w:val="00E11038"/>
    <w:rsid w:val="00E11ABA"/>
    <w:rsid w:val="00E12142"/>
    <w:rsid w:val="00E12156"/>
    <w:rsid w:val="00E12440"/>
    <w:rsid w:val="00E128E0"/>
    <w:rsid w:val="00E12DAF"/>
    <w:rsid w:val="00E12EF6"/>
    <w:rsid w:val="00E12F63"/>
    <w:rsid w:val="00E12F91"/>
    <w:rsid w:val="00E13097"/>
    <w:rsid w:val="00E13612"/>
    <w:rsid w:val="00E13729"/>
    <w:rsid w:val="00E139C6"/>
    <w:rsid w:val="00E13D7A"/>
    <w:rsid w:val="00E1444D"/>
    <w:rsid w:val="00E14720"/>
    <w:rsid w:val="00E14989"/>
    <w:rsid w:val="00E14A52"/>
    <w:rsid w:val="00E16050"/>
    <w:rsid w:val="00E16396"/>
    <w:rsid w:val="00E163E0"/>
    <w:rsid w:val="00E1641F"/>
    <w:rsid w:val="00E1655B"/>
    <w:rsid w:val="00E16FF5"/>
    <w:rsid w:val="00E17411"/>
    <w:rsid w:val="00E17520"/>
    <w:rsid w:val="00E17635"/>
    <w:rsid w:val="00E1764F"/>
    <w:rsid w:val="00E17938"/>
    <w:rsid w:val="00E17CBB"/>
    <w:rsid w:val="00E17D2D"/>
    <w:rsid w:val="00E17EE7"/>
    <w:rsid w:val="00E2070A"/>
    <w:rsid w:val="00E20BE8"/>
    <w:rsid w:val="00E20DCB"/>
    <w:rsid w:val="00E20FAA"/>
    <w:rsid w:val="00E216DF"/>
    <w:rsid w:val="00E21D51"/>
    <w:rsid w:val="00E22A80"/>
    <w:rsid w:val="00E22DB1"/>
    <w:rsid w:val="00E22DCD"/>
    <w:rsid w:val="00E23327"/>
    <w:rsid w:val="00E2332C"/>
    <w:rsid w:val="00E239C0"/>
    <w:rsid w:val="00E23A1B"/>
    <w:rsid w:val="00E23D5A"/>
    <w:rsid w:val="00E23EB5"/>
    <w:rsid w:val="00E23F74"/>
    <w:rsid w:val="00E242A5"/>
    <w:rsid w:val="00E24483"/>
    <w:rsid w:val="00E2481C"/>
    <w:rsid w:val="00E2489A"/>
    <w:rsid w:val="00E24BE2"/>
    <w:rsid w:val="00E24C3B"/>
    <w:rsid w:val="00E251F1"/>
    <w:rsid w:val="00E25258"/>
    <w:rsid w:val="00E252AC"/>
    <w:rsid w:val="00E252B3"/>
    <w:rsid w:val="00E253EF"/>
    <w:rsid w:val="00E254AE"/>
    <w:rsid w:val="00E2552E"/>
    <w:rsid w:val="00E257B7"/>
    <w:rsid w:val="00E26033"/>
    <w:rsid w:val="00E261CC"/>
    <w:rsid w:val="00E2626B"/>
    <w:rsid w:val="00E2644C"/>
    <w:rsid w:val="00E26C6C"/>
    <w:rsid w:val="00E26E97"/>
    <w:rsid w:val="00E272CD"/>
    <w:rsid w:val="00E27C5F"/>
    <w:rsid w:val="00E30122"/>
    <w:rsid w:val="00E30431"/>
    <w:rsid w:val="00E30CB3"/>
    <w:rsid w:val="00E30CBC"/>
    <w:rsid w:val="00E30CDC"/>
    <w:rsid w:val="00E30DE7"/>
    <w:rsid w:val="00E30EE2"/>
    <w:rsid w:val="00E31356"/>
    <w:rsid w:val="00E31AB7"/>
    <w:rsid w:val="00E323C6"/>
    <w:rsid w:val="00E32475"/>
    <w:rsid w:val="00E324B5"/>
    <w:rsid w:val="00E326FA"/>
    <w:rsid w:val="00E3312C"/>
    <w:rsid w:val="00E33621"/>
    <w:rsid w:val="00E33920"/>
    <w:rsid w:val="00E33BA3"/>
    <w:rsid w:val="00E33D67"/>
    <w:rsid w:val="00E3420A"/>
    <w:rsid w:val="00E343AF"/>
    <w:rsid w:val="00E343B2"/>
    <w:rsid w:val="00E34410"/>
    <w:rsid w:val="00E34514"/>
    <w:rsid w:val="00E349BB"/>
    <w:rsid w:val="00E34AD6"/>
    <w:rsid w:val="00E34C28"/>
    <w:rsid w:val="00E34C39"/>
    <w:rsid w:val="00E35079"/>
    <w:rsid w:val="00E352E2"/>
    <w:rsid w:val="00E353FA"/>
    <w:rsid w:val="00E357C5"/>
    <w:rsid w:val="00E35CF3"/>
    <w:rsid w:val="00E362A8"/>
    <w:rsid w:val="00E3630F"/>
    <w:rsid w:val="00E36878"/>
    <w:rsid w:val="00E36AA1"/>
    <w:rsid w:val="00E36CAC"/>
    <w:rsid w:val="00E36FA6"/>
    <w:rsid w:val="00E370DC"/>
    <w:rsid w:val="00E3718F"/>
    <w:rsid w:val="00E37259"/>
    <w:rsid w:val="00E37408"/>
    <w:rsid w:val="00E37827"/>
    <w:rsid w:val="00E40F72"/>
    <w:rsid w:val="00E41347"/>
    <w:rsid w:val="00E413D8"/>
    <w:rsid w:val="00E41670"/>
    <w:rsid w:val="00E41AFF"/>
    <w:rsid w:val="00E41B77"/>
    <w:rsid w:val="00E421AE"/>
    <w:rsid w:val="00E42395"/>
    <w:rsid w:val="00E426FE"/>
    <w:rsid w:val="00E4273B"/>
    <w:rsid w:val="00E42A5F"/>
    <w:rsid w:val="00E42E6E"/>
    <w:rsid w:val="00E43134"/>
    <w:rsid w:val="00E43388"/>
    <w:rsid w:val="00E4348A"/>
    <w:rsid w:val="00E438E2"/>
    <w:rsid w:val="00E43A79"/>
    <w:rsid w:val="00E4465B"/>
    <w:rsid w:val="00E44731"/>
    <w:rsid w:val="00E44A72"/>
    <w:rsid w:val="00E44CF2"/>
    <w:rsid w:val="00E450E3"/>
    <w:rsid w:val="00E4552E"/>
    <w:rsid w:val="00E45539"/>
    <w:rsid w:val="00E45683"/>
    <w:rsid w:val="00E45726"/>
    <w:rsid w:val="00E457A4"/>
    <w:rsid w:val="00E45AC5"/>
    <w:rsid w:val="00E45E4D"/>
    <w:rsid w:val="00E460E4"/>
    <w:rsid w:val="00E4612B"/>
    <w:rsid w:val="00E46256"/>
    <w:rsid w:val="00E463E2"/>
    <w:rsid w:val="00E467C6"/>
    <w:rsid w:val="00E469DC"/>
    <w:rsid w:val="00E46F15"/>
    <w:rsid w:val="00E472EB"/>
    <w:rsid w:val="00E4772E"/>
    <w:rsid w:val="00E479B8"/>
    <w:rsid w:val="00E47E78"/>
    <w:rsid w:val="00E50C0B"/>
    <w:rsid w:val="00E50CD5"/>
    <w:rsid w:val="00E50CFC"/>
    <w:rsid w:val="00E50DB1"/>
    <w:rsid w:val="00E50E46"/>
    <w:rsid w:val="00E50E68"/>
    <w:rsid w:val="00E515AB"/>
    <w:rsid w:val="00E515AE"/>
    <w:rsid w:val="00E51FC9"/>
    <w:rsid w:val="00E52642"/>
    <w:rsid w:val="00E5273D"/>
    <w:rsid w:val="00E52765"/>
    <w:rsid w:val="00E52974"/>
    <w:rsid w:val="00E52A3C"/>
    <w:rsid w:val="00E52BF2"/>
    <w:rsid w:val="00E52FED"/>
    <w:rsid w:val="00E530EC"/>
    <w:rsid w:val="00E53AA8"/>
    <w:rsid w:val="00E53B6B"/>
    <w:rsid w:val="00E53F5B"/>
    <w:rsid w:val="00E540A9"/>
    <w:rsid w:val="00E541C2"/>
    <w:rsid w:val="00E545C7"/>
    <w:rsid w:val="00E54DD9"/>
    <w:rsid w:val="00E55193"/>
    <w:rsid w:val="00E55681"/>
    <w:rsid w:val="00E55717"/>
    <w:rsid w:val="00E55F53"/>
    <w:rsid w:val="00E561E2"/>
    <w:rsid w:val="00E5639D"/>
    <w:rsid w:val="00E564C1"/>
    <w:rsid w:val="00E56C1A"/>
    <w:rsid w:val="00E572CC"/>
    <w:rsid w:val="00E57489"/>
    <w:rsid w:val="00E6000B"/>
    <w:rsid w:val="00E6007E"/>
    <w:rsid w:val="00E60275"/>
    <w:rsid w:val="00E607AC"/>
    <w:rsid w:val="00E60B00"/>
    <w:rsid w:val="00E61B05"/>
    <w:rsid w:val="00E61F3D"/>
    <w:rsid w:val="00E62413"/>
    <w:rsid w:val="00E63017"/>
    <w:rsid w:val="00E6385F"/>
    <w:rsid w:val="00E63B2A"/>
    <w:rsid w:val="00E63F4D"/>
    <w:rsid w:val="00E6417C"/>
    <w:rsid w:val="00E643F0"/>
    <w:rsid w:val="00E64565"/>
    <w:rsid w:val="00E64B73"/>
    <w:rsid w:val="00E65B8F"/>
    <w:rsid w:val="00E65C85"/>
    <w:rsid w:val="00E663B6"/>
    <w:rsid w:val="00E66692"/>
    <w:rsid w:val="00E66B2E"/>
    <w:rsid w:val="00E66B53"/>
    <w:rsid w:val="00E66D6E"/>
    <w:rsid w:val="00E66ECC"/>
    <w:rsid w:val="00E6754F"/>
    <w:rsid w:val="00E6755E"/>
    <w:rsid w:val="00E67790"/>
    <w:rsid w:val="00E677EF"/>
    <w:rsid w:val="00E6783D"/>
    <w:rsid w:val="00E678BE"/>
    <w:rsid w:val="00E67B34"/>
    <w:rsid w:val="00E67D56"/>
    <w:rsid w:val="00E67EF6"/>
    <w:rsid w:val="00E701E6"/>
    <w:rsid w:val="00E702AD"/>
    <w:rsid w:val="00E70343"/>
    <w:rsid w:val="00E70D8F"/>
    <w:rsid w:val="00E70F19"/>
    <w:rsid w:val="00E70F32"/>
    <w:rsid w:val="00E7110B"/>
    <w:rsid w:val="00E712E2"/>
    <w:rsid w:val="00E71463"/>
    <w:rsid w:val="00E7196D"/>
    <w:rsid w:val="00E71B4E"/>
    <w:rsid w:val="00E71DB7"/>
    <w:rsid w:val="00E7206C"/>
    <w:rsid w:val="00E726E0"/>
    <w:rsid w:val="00E7295C"/>
    <w:rsid w:val="00E72D7D"/>
    <w:rsid w:val="00E72E57"/>
    <w:rsid w:val="00E73045"/>
    <w:rsid w:val="00E73501"/>
    <w:rsid w:val="00E737D2"/>
    <w:rsid w:val="00E742BD"/>
    <w:rsid w:val="00E7469D"/>
    <w:rsid w:val="00E74832"/>
    <w:rsid w:val="00E7483D"/>
    <w:rsid w:val="00E74CA6"/>
    <w:rsid w:val="00E75601"/>
    <w:rsid w:val="00E75667"/>
    <w:rsid w:val="00E75733"/>
    <w:rsid w:val="00E75843"/>
    <w:rsid w:val="00E75927"/>
    <w:rsid w:val="00E76777"/>
    <w:rsid w:val="00E76C37"/>
    <w:rsid w:val="00E76F8E"/>
    <w:rsid w:val="00E7709B"/>
    <w:rsid w:val="00E771AD"/>
    <w:rsid w:val="00E772C8"/>
    <w:rsid w:val="00E7733E"/>
    <w:rsid w:val="00E7737C"/>
    <w:rsid w:val="00E77542"/>
    <w:rsid w:val="00E77602"/>
    <w:rsid w:val="00E800E0"/>
    <w:rsid w:val="00E80144"/>
    <w:rsid w:val="00E8018F"/>
    <w:rsid w:val="00E8047F"/>
    <w:rsid w:val="00E807A8"/>
    <w:rsid w:val="00E8091A"/>
    <w:rsid w:val="00E80AF5"/>
    <w:rsid w:val="00E80C13"/>
    <w:rsid w:val="00E80C9F"/>
    <w:rsid w:val="00E8119D"/>
    <w:rsid w:val="00E8135D"/>
    <w:rsid w:val="00E8139B"/>
    <w:rsid w:val="00E81576"/>
    <w:rsid w:val="00E81AD9"/>
    <w:rsid w:val="00E81F8C"/>
    <w:rsid w:val="00E82080"/>
    <w:rsid w:val="00E82723"/>
    <w:rsid w:val="00E82A6E"/>
    <w:rsid w:val="00E82D76"/>
    <w:rsid w:val="00E82EC6"/>
    <w:rsid w:val="00E82EEF"/>
    <w:rsid w:val="00E84056"/>
    <w:rsid w:val="00E84174"/>
    <w:rsid w:val="00E84A1E"/>
    <w:rsid w:val="00E84B03"/>
    <w:rsid w:val="00E8514B"/>
    <w:rsid w:val="00E857B2"/>
    <w:rsid w:val="00E857C0"/>
    <w:rsid w:val="00E85C9C"/>
    <w:rsid w:val="00E8622F"/>
    <w:rsid w:val="00E865C9"/>
    <w:rsid w:val="00E868A8"/>
    <w:rsid w:val="00E869D8"/>
    <w:rsid w:val="00E86AB6"/>
    <w:rsid w:val="00E870DC"/>
    <w:rsid w:val="00E87149"/>
    <w:rsid w:val="00E87210"/>
    <w:rsid w:val="00E87257"/>
    <w:rsid w:val="00E87262"/>
    <w:rsid w:val="00E87841"/>
    <w:rsid w:val="00E87A62"/>
    <w:rsid w:val="00E87BF9"/>
    <w:rsid w:val="00E87C87"/>
    <w:rsid w:val="00E87E17"/>
    <w:rsid w:val="00E90055"/>
    <w:rsid w:val="00E901C2"/>
    <w:rsid w:val="00E90E25"/>
    <w:rsid w:val="00E910DB"/>
    <w:rsid w:val="00E91797"/>
    <w:rsid w:val="00E919B4"/>
    <w:rsid w:val="00E9221B"/>
    <w:rsid w:val="00E92816"/>
    <w:rsid w:val="00E9281C"/>
    <w:rsid w:val="00E92AA7"/>
    <w:rsid w:val="00E936C5"/>
    <w:rsid w:val="00E9373C"/>
    <w:rsid w:val="00E93762"/>
    <w:rsid w:val="00E93BA1"/>
    <w:rsid w:val="00E93C0C"/>
    <w:rsid w:val="00E93E38"/>
    <w:rsid w:val="00E942E9"/>
    <w:rsid w:val="00E94981"/>
    <w:rsid w:val="00E949F0"/>
    <w:rsid w:val="00E94C3E"/>
    <w:rsid w:val="00E95092"/>
    <w:rsid w:val="00E954F0"/>
    <w:rsid w:val="00E959CB"/>
    <w:rsid w:val="00E95A12"/>
    <w:rsid w:val="00E95CD6"/>
    <w:rsid w:val="00E95F83"/>
    <w:rsid w:val="00E965C0"/>
    <w:rsid w:val="00E96630"/>
    <w:rsid w:val="00E96D90"/>
    <w:rsid w:val="00E96EFF"/>
    <w:rsid w:val="00E975EC"/>
    <w:rsid w:val="00E97D76"/>
    <w:rsid w:val="00EA0529"/>
    <w:rsid w:val="00EA054F"/>
    <w:rsid w:val="00EA0A95"/>
    <w:rsid w:val="00EA0ACE"/>
    <w:rsid w:val="00EA112D"/>
    <w:rsid w:val="00EA13CF"/>
    <w:rsid w:val="00EA185C"/>
    <w:rsid w:val="00EA188F"/>
    <w:rsid w:val="00EA18CF"/>
    <w:rsid w:val="00EA1C09"/>
    <w:rsid w:val="00EA2141"/>
    <w:rsid w:val="00EA21DF"/>
    <w:rsid w:val="00EA248E"/>
    <w:rsid w:val="00EA24A3"/>
    <w:rsid w:val="00EA2515"/>
    <w:rsid w:val="00EA2BD9"/>
    <w:rsid w:val="00EA2E9D"/>
    <w:rsid w:val="00EA3062"/>
    <w:rsid w:val="00EA317A"/>
    <w:rsid w:val="00EA32F9"/>
    <w:rsid w:val="00EA3362"/>
    <w:rsid w:val="00EA3470"/>
    <w:rsid w:val="00EA34F0"/>
    <w:rsid w:val="00EA354A"/>
    <w:rsid w:val="00EA398C"/>
    <w:rsid w:val="00EA3B14"/>
    <w:rsid w:val="00EA3F4F"/>
    <w:rsid w:val="00EA4124"/>
    <w:rsid w:val="00EA4592"/>
    <w:rsid w:val="00EA4612"/>
    <w:rsid w:val="00EA4816"/>
    <w:rsid w:val="00EA490B"/>
    <w:rsid w:val="00EA4A90"/>
    <w:rsid w:val="00EA4AAC"/>
    <w:rsid w:val="00EA4BA3"/>
    <w:rsid w:val="00EA50B5"/>
    <w:rsid w:val="00EA50D4"/>
    <w:rsid w:val="00EA5283"/>
    <w:rsid w:val="00EA54DC"/>
    <w:rsid w:val="00EA57D0"/>
    <w:rsid w:val="00EA5869"/>
    <w:rsid w:val="00EA58B4"/>
    <w:rsid w:val="00EA5EFA"/>
    <w:rsid w:val="00EA62F4"/>
    <w:rsid w:val="00EA6437"/>
    <w:rsid w:val="00EA6DA2"/>
    <w:rsid w:val="00EA6E87"/>
    <w:rsid w:val="00EA6F1F"/>
    <w:rsid w:val="00EA7255"/>
    <w:rsid w:val="00EA7366"/>
    <w:rsid w:val="00EA764A"/>
    <w:rsid w:val="00EA79D1"/>
    <w:rsid w:val="00EA7E5C"/>
    <w:rsid w:val="00EB01C3"/>
    <w:rsid w:val="00EB02F0"/>
    <w:rsid w:val="00EB081A"/>
    <w:rsid w:val="00EB0F16"/>
    <w:rsid w:val="00EB1150"/>
    <w:rsid w:val="00EB135B"/>
    <w:rsid w:val="00EB1448"/>
    <w:rsid w:val="00EB199F"/>
    <w:rsid w:val="00EB1F4C"/>
    <w:rsid w:val="00EB263A"/>
    <w:rsid w:val="00EB28B3"/>
    <w:rsid w:val="00EB2FB2"/>
    <w:rsid w:val="00EB3048"/>
    <w:rsid w:val="00EB321C"/>
    <w:rsid w:val="00EB3243"/>
    <w:rsid w:val="00EB32B1"/>
    <w:rsid w:val="00EB3347"/>
    <w:rsid w:val="00EB3444"/>
    <w:rsid w:val="00EB3733"/>
    <w:rsid w:val="00EB3864"/>
    <w:rsid w:val="00EB3892"/>
    <w:rsid w:val="00EB3BF2"/>
    <w:rsid w:val="00EB3D1B"/>
    <w:rsid w:val="00EB40B1"/>
    <w:rsid w:val="00EB4156"/>
    <w:rsid w:val="00EB4583"/>
    <w:rsid w:val="00EB4676"/>
    <w:rsid w:val="00EB4891"/>
    <w:rsid w:val="00EB4928"/>
    <w:rsid w:val="00EB4937"/>
    <w:rsid w:val="00EB5208"/>
    <w:rsid w:val="00EB54A1"/>
    <w:rsid w:val="00EB57CE"/>
    <w:rsid w:val="00EB5862"/>
    <w:rsid w:val="00EB5B79"/>
    <w:rsid w:val="00EB6963"/>
    <w:rsid w:val="00EB6B84"/>
    <w:rsid w:val="00EB6CB8"/>
    <w:rsid w:val="00EB6D91"/>
    <w:rsid w:val="00EB6DBF"/>
    <w:rsid w:val="00EB70F8"/>
    <w:rsid w:val="00EB72B6"/>
    <w:rsid w:val="00EB7471"/>
    <w:rsid w:val="00EB7537"/>
    <w:rsid w:val="00EB77ED"/>
    <w:rsid w:val="00EB7902"/>
    <w:rsid w:val="00EC0AAB"/>
    <w:rsid w:val="00EC0AC2"/>
    <w:rsid w:val="00EC0F29"/>
    <w:rsid w:val="00EC126D"/>
    <w:rsid w:val="00EC160A"/>
    <w:rsid w:val="00EC1B0B"/>
    <w:rsid w:val="00EC20BA"/>
    <w:rsid w:val="00EC20FD"/>
    <w:rsid w:val="00EC2320"/>
    <w:rsid w:val="00EC2526"/>
    <w:rsid w:val="00EC2796"/>
    <w:rsid w:val="00EC2801"/>
    <w:rsid w:val="00EC2843"/>
    <w:rsid w:val="00EC2C34"/>
    <w:rsid w:val="00EC2C7D"/>
    <w:rsid w:val="00EC3594"/>
    <w:rsid w:val="00EC362A"/>
    <w:rsid w:val="00EC3CB6"/>
    <w:rsid w:val="00EC3CDB"/>
    <w:rsid w:val="00EC3E30"/>
    <w:rsid w:val="00EC491B"/>
    <w:rsid w:val="00EC4E3A"/>
    <w:rsid w:val="00EC501A"/>
    <w:rsid w:val="00EC505F"/>
    <w:rsid w:val="00EC50D6"/>
    <w:rsid w:val="00EC53E3"/>
    <w:rsid w:val="00EC5AF9"/>
    <w:rsid w:val="00EC5EA2"/>
    <w:rsid w:val="00EC65E5"/>
    <w:rsid w:val="00EC6AB1"/>
    <w:rsid w:val="00EC6BA9"/>
    <w:rsid w:val="00EC6D11"/>
    <w:rsid w:val="00EC6E8B"/>
    <w:rsid w:val="00EC75D4"/>
    <w:rsid w:val="00EC75E0"/>
    <w:rsid w:val="00EC763A"/>
    <w:rsid w:val="00EC7779"/>
    <w:rsid w:val="00EC77F5"/>
    <w:rsid w:val="00EC7B4A"/>
    <w:rsid w:val="00EC7EA5"/>
    <w:rsid w:val="00ED0215"/>
    <w:rsid w:val="00ED0330"/>
    <w:rsid w:val="00ED0D54"/>
    <w:rsid w:val="00ED0EDE"/>
    <w:rsid w:val="00ED0F62"/>
    <w:rsid w:val="00ED12B5"/>
    <w:rsid w:val="00ED170B"/>
    <w:rsid w:val="00ED1864"/>
    <w:rsid w:val="00ED1A0E"/>
    <w:rsid w:val="00ED1A9B"/>
    <w:rsid w:val="00ED1CC9"/>
    <w:rsid w:val="00ED1CD7"/>
    <w:rsid w:val="00ED1F1A"/>
    <w:rsid w:val="00ED2512"/>
    <w:rsid w:val="00ED2DEB"/>
    <w:rsid w:val="00ED314A"/>
    <w:rsid w:val="00ED31CE"/>
    <w:rsid w:val="00ED3844"/>
    <w:rsid w:val="00ED3940"/>
    <w:rsid w:val="00ED3988"/>
    <w:rsid w:val="00ED3A45"/>
    <w:rsid w:val="00ED3D6D"/>
    <w:rsid w:val="00ED449F"/>
    <w:rsid w:val="00ED4923"/>
    <w:rsid w:val="00ED4D9D"/>
    <w:rsid w:val="00ED4DD0"/>
    <w:rsid w:val="00ED544E"/>
    <w:rsid w:val="00ED5721"/>
    <w:rsid w:val="00ED5A0E"/>
    <w:rsid w:val="00ED5C0C"/>
    <w:rsid w:val="00ED5CF1"/>
    <w:rsid w:val="00ED6195"/>
    <w:rsid w:val="00ED6600"/>
    <w:rsid w:val="00ED6757"/>
    <w:rsid w:val="00ED6A1E"/>
    <w:rsid w:val="00ED6A7B"/>
    <w:rsid w:val="00ED6E4D"/>
    <w:rsid w:val="00ED6F12"/>
    <w:rsid w:val="00ED7146"/>
    <w:rsid w:val="00ED7348"/>
    <w:rsid w:val="00ED73B2"/>
    <w:rsid w:val="00ED7826"/>
    <w:rsid w:val="00ED7CFC"/>
    <w:rsid w:val="00EE0333"/>
    <w:rsid w:val="00EE03F8"/>
    <w:rsid w:val="00EE0428"/>
    <w:rsid w:val="00EE0571"/>
    <w:rsid w:val="00EE0ADD"/>
    <w:rsid w:val="00EE0C60"/>
    <w:rsid w:val="00EE11E3"/>
    <w:rsid w:val="00EE128B"/>
    <w:rsid w:val="00EE12A6"/>
    <w:rsid w:val="00EE1A2F"/>
    <w:rsid w:val="00EE1B46"/>
    <w:rsid w:val="00EE1F1A"/>
    <w:rsid w:val="00EE20CF"/>
    <w:rsid w:val="00EE225E"/>
    <w:rsid w:val="00EE2395"/>
    <w:rsid w:val="00EE254E"/>
    <w:rsid w:val="00EE265D"/>
    <w:rsid w:val="00EE28C3"/>
    <w:rsid w:val="00EE2903"/>
    <w:rsid w:val="00EE2C7E"/>
    <w:rsid w:val="00EE2D04"/>
    <w:rsid w:val="00EE2F0F"/>
    <w:rsid w:val="00EE3740"/>
    <w:rsid w:val="00EE38C2"/>
    <w:rsid w:val="00EE3EE0"/>
    <w:rsid w:val="00EE3EE5"/>
    <w:rsid w:val="00EE42B4"/>
    <w:rsid w:val="00EE4418"/>
    <w:rsid w:val="00EE4522"/>
    <w:rsid w:val="00EE455C"/>
    <w:rsid w:val="00EE4593"/>
    <w:rsid w:val="00EE4679"/>
    <w:rsid w:val="00EE4762"/>
    <w:rsid w:val="00EE4822"/>
    <w:rsid w:val="00EE48B4"/>
    <w:rsid w:val="00EE4911"/>
    <w:rsid w:val="00EE4AEC"/>
    <w:rsid w:val="00EE4F95"/>
    <w:rsid w:val="00EE50F7"/>
    <w:rsid w:val="00EE55B5"/>
    <w:rsid w:val="00EE56B1"/>
    <w:rsid w:val="00EE597C"/>
    <w:rsid w:val="00EE6334"/>
    <w:rsid w:val="00EE6406"/>
    <w:rsid w:val="00EE6606"/>
    <w:rsid w:val="00EE7340"/>
    <w:rsid w:val="00EE75BE"/>
    <w:rsid w:val="00EE75DE"/>
    <w:rsid w:val="00EE79FD"/>
    <w:rsid w:val="00EE7DF2"/>
    <w:rsid w:val="00EE7FDA"/>
    <w:rsid w:val="00EF01D2"/>
    <w:rsid w:val="00EF02BC"/>
    <w:rsid w:val="00EF0D63"/>
    <w:rsid w:val="00EF0D88"/>
    <w:rsid w:val="00EF0F0D"/>
    <w:rsid w:val="00EF105A"/>
    <w:rsid w:val="00EF12C4"/>
    <w:rsid w:val="00EF1618"/>
    <w:rsid w:val="00EF1969"/>
    <w:rsid w:val="00EF19C5"/>
    <w:rsid w:val="00EF1A72"/>
    <w:rsid w:val="00EF1A88"/>
    <w:rsid w:val="00EF1ACC"/>
    <w:rsid w:val="00EF202A"/>
    <w:rsid w:val="00EF20DB"/>
    <w:rsid w:val="00EF26BE"/>
    <w:rsid w:val="00EF29DB"/>
    <w:rsid w:val="00EF33EA"/>
    <w:rsid w:val="00EF3627"/>
    <w:rsid w:val="00EF398E"/>
    <w:rsid w:val="00EF3FC6"/>
    <w:rsid w:val="00EF4192"/>
    <w:rsid w:val="00EF4677"/>
    <w:rsid w:val="00EF4822"/>
    <w:rsid w:val="00EF483E"/>
    <w:rsid w:val="00EF4883"/>
    <w:rsid w:val="00EF4EBA"/>
    <w:rsid w:val="00EF558D"/>
    <w:rsid w:val="00EF5849"/>
    <w:rsid w:val="00EF5B43"/>
    <w:rsid w:val="00EF5CF7"/>
    <w:rsid w:val="00EF638C"/>
    <w:rsid w:val="00EF67F4"/>
    <w:rsid w:val="00EF6BC2"/>
    <w:rsid w:val="00EF6D2D"/>
    <w:rsid w:val="00EF7012"/>
    <w:rsid w:val="00EF74FC"/>
    <w:rsid w:val="00EF79D1"/>
    <w:rsid w:val="00EF7A99"/>
    <w:rsid w:val="00EF7BFE"/>
    <w:rsid w:val="00F00400"/>
    <w:rsid w:val="00F0040F"/>
    <w:rsid w:val="00F008BA"/>
    <w:rsid w:val="00F00D08"/>
    <w:rsid w:val="00F00FA9"/>
    <w:rsid w:val="00F01527"/>
    <w:rsid w:val="00F0156D"/>
    <w:rsid w:val="00F017F9"/>
    <w:rsid w:val="00F01DA2"/>
    <w:rsid w:val="00F0217B"/>
    <w:rsid w:val="00F0227B"/>
    <w:rsid w:val="00F02A3C"/>
    <w:rsid w:val="00F02C93"/>
    <w:rsid w:val="00F02F68"/>
    <w:rsid w:val="00F0301D"/>
    <w:rsid w:val="00F0306A"/>
    <w:rsid w:val="00F03446"/>
    <w:rsid w:val="00F0344B"/>
    <w:rsid w:val="00F035E6"/>
    <w:rsid w:val="00F0361C"/>
    <w:rsid w:val="00F03A9B"/>
    <w:rsid w:val="00F03B14"/>
    <w:rsid w:val="00F03C6E"/>
    <w:rsid w:val="00F03F5E"/>
    <w:rsid w:val="00F0423B"/>
    <w:rsid w:val="00F04409"/>
    <w:rsid w:val="00F0446C"/>
    <w:rsid w:val="00F0479D"/>
    <w:rsid w:val="00F04822"/>
    <w:rsid w:val="00F04B6F"/>
    <w:rsid w:val="00F04D80"/>
    <w:rsid w:val="00F05196"/>
    <w:rsid w:val="00F056D9"/>
    <w:rsid w:val="00F05A2A"/>
    <w:rsid w:val="00F05A6C"/>
    <w:rsid w:val="00F05B8A"/>
    <w:rsid w:val="00F06068"/>
    <w:rsid w:val="00F06308"/>
    <w:rsid w:val="00F065E8"/>
    <w:rsid w:val="00F06613"/>
    <w:rsid w:val="00F06912"/>
    <w:rsid w:val="00F06BFD"/>
    <w:rsid w:val="00F07091"/>
    <w:rsid w:val="00F07122"/>
    <w:rsid w:val="00F074D0"/>
    <w:rsid w:val="00F0753E"/>
    <w:rsid w:val="00F0774E"/>
    <w:rsid w:val="00F07E65"/>
    <w:rsid w:val="00F1009B"/>
    <w:rsid w:val="00F1021A"/>
    <w:rsid w:val="00F102E2"/>
    <w:rsid w:val="00F10657"/>
    <w:rsid w:val="00F10969"/>
    <w:rsid w:val="00F1103F"/>
    <w:rsid w:val="00F11B62"/>
    <w:rsid w:val="00F11D94"/>
    <w:rsid w:val="00F121C1"/>
    <w:rsid w:val="00F12223"/>
    <w:rsid w:val="00F12758"/>
    <w:rsid w:val="00F12A43"/>
    <w:rsid w:val="00F12C4F"/>
    <w:rsid w:val="00F1336D"/>
    <w:rsid w:val="00F13534"/>
    <w:rsid w:val="00F1384F"/>
    <w:rsid w:val="00F139DD"/>
    <w:rsid w:val="00F13BA7"/>
    <w:rsid w:val="00F14117"/>
    <w:rsid w:val="00F14460"/>
    <w:rsid w:val="00F1446A"/>
    <w:rsid w:val="00F14513"/>
    <w:rsid w:val="00F14633"/>
    <w:rsid w:val="00F148F2"/>
    <w:rsid w:val="00F14CF4"/>
    <w:rsid w:val="00F14D7F"/>
    <w:rsid w:val="00F14EC8"/>
    <w:rsid w:val="00F15405"/>
    <w:rsid w:val="00F15621"/>
    <w:rsid w:val="00F156F5"/>
    <w:rsid w:val="00F1599F"/>
    <w:rsid w:val="00F15E6A"/>
    <w:rsid w:val="00F15F29"/>
    <w:rsid w:val="00F1600B"/>
    <w:rsid w:val="00F160BE"/>
    <w:rsid w:val="00F16238"/>
    <w:rsid w:val="00F16361"/>
    <w:rsid w:val="00F16579"/>
    <w:rsid w:val="00F166FE"/>
    <w:rsid w:val="00F16729"/>
    <w:rsid w:val="00F16794"/>
    <w:rsid w:val="00F167FE"/>
    <w:rsid w:val="00F168E4"/>
    <w:rsid w:val="00F16BC3"/>
    <w:rsid w:val="00F16D18"/>
    <w:rsid w:val="00F16F5C"/>
    <w:rsid w:val="00F1715C"/>
    <w:rsid w:val="00F1721A"/>
    <w:rsid w:val="00F1754F"/>
    <w:rsid w:val="00F1776E"/>
    <w:rsid w:val="00F17E99"/>
    <w:rsid w:val="00F17FEA"/>
    <w:rsid w:val="00F20174"/>
    <w:rsid w:val="00F2031F"/>
    <w:rsid w:val="00F20450"/>
    <w:rsid w:val="00F208DB"/>
    <w:rsid w:val="00F209BF"/>
    <w:rsid w:val="00F20AB5"/>
    <w:rsid w:val="00F20E6B"/>
    <w:rsid w:val="00F21113"/>
    <w:rsid w:val="00F21783"/>
    <w:rsid w:val="00F2182B"/>
    <w:rsid w:val="00F2182C"/>
    <w:rsid w:val="00F21A68"/>
    <w:rsid w:val="00F21B8F"/>
    <w:rsid w:val="00F22394"/>
    <w:rsid w:val="00F223A9"/>
    <w:rsid w:val="00F22478"/>
    <w:rsid w:val="00F22789"/>
    <w:rsid w:val="00F2295B"/>
    <w:rsid w:val="00F22967"/>
    <w:rsid w:val="00F22FCC"/>
    <w:rsid w:val="00F2303A"/>
    <w:rsid w:val="00F2314C"/>
    <w:rsid w:val="00F2346A"/>
    <w:rsid w:val="00F236B8"/>
    <w:rsid w:val="00F2385E"/>
    <w:rsid w:val="00F23F5F"/>
    <w:rsid w:val="00F240D5"/>
    <w:rsid w:val="00F243CF"/>
    <w:rsid w:val="00F24458"/>
    <w:rsid w:val="00F24622"/>
    <w:rsid w:val="00F2476A"/>
    <w:rsid w:val="00F24932"/>
    <w:rsid w:val="00F24948"/>
    <w:rsid w:val="00F24ACB"/>
    <w:rsid w:val="00F252C5"/>
    <w:rsid w:val="00F25369"/>
    <w:rsid w:val="00F2547C"/>
    <w:rsid w:val="00F25C1D"/>
    <w:rsid w:val="00F25E98"/>
    <w:rsid w:val="00F260D2"/>
    <w:rsid w:val="00F266A7"/>
    <w:rsid w:val="00F26880"/>
    <w:rsid w:val="00F268DA"/>
    <w:rsid w:val="00F26E19"/>
    <w:rsid w:val="00F26E1B"/>
    <w:rsid w:val="00F26E62"/>
    <w:rsid w:val="00F275F9"/>
    <w:rsid w:val="00F2778D"/>
    <w:rsid w:val="00F27899"/>
    <w:rsid w:val="00F2799B"/>
    <w:rsid w:val="00F27CD6"/>
    <w:rsid w:val="00F30000"/>
    <w:rsid w:val="00F30137"/>
    <w:rsid w:val="00F3077F"/>
    <w:rsid w:val="00F31010"/>
    <w:rsid w:val="00F3104C"/>
    <w:rsid w:val="00F310A4"/>
    <w:rsid w:val="00F31B8E"/>
    <w:rsid w:val="00F32065"/>
    <w:rsid w:val="00F32210"/>
    <w:rsid w:val="00F32577"/>
    <w:rsid w:val="00F325CB"/>
    <w:rsid w:val="00F325DA"/>
    <w:rsid w:val="00F331FC"/>
    <w:rsid w:val="00F332C1"/>
    <w:rsid w:val="00F336BB"/>
    <w:rsid w:val="00F33D73"/>
    <w:rsid w:val="00F33E74"/>
    <w:rsid w:val="00F33FE1"/>
    <w:rsid w:val="00F33FEF"/>
    <w:rsid w:val="00F3403D"/>
    <w:rsid w:val="00F3407F"/>
    <w:rsid w:val="00F340C0"/>
    <w:rsid w:val="00F342CE"/>
    <w:rsid w:val="00F34318"/>
    <w:rsid w:val="00F3490B"/>
    <w:rsid w:val="00F34B2A"/>
    <w:rsid w:val="00F34D26"/>
    <w:rsid w:val="00F3504E"/>
    <w:rsid w:val="00F3517C"/>
    <w:rsid w:val="00F355D8"/>
    <w:rsid w:val="00F35AFE"/>
    <w:rsid w:val="00F362D6"/>
    <w:rsid w:val="00F36304"/>
    <w:rsid w:val="00F365FE"/>
    <w:rsid w:val="00F3666E"/>
    <w:rsid w:val="00F36A53"/>
    <w:rsid w:val="00F374B4"/>
    <w:rsid w:val="00F37694"/>
    <w:rsid w:val="00F37807"/>
    <w:rsid w:val="00F37986"/>
    <w:rsid w:val="00F379AF"/>
    <w:rsid w:val="00F37AAA"/>
    <w:rsid w:val="00F37AB7"/>
    <w:rsid w:val="00F37F4C"/>
    <w:rsid w:val="00F409D3"/>
    <w:rsid w:val="00F40AC3"/>
    <w:rsid w:val="00F40B89"/>
    <w:rsid w:val="00F40D4B"/>
    <w:rsid w:val="00F40F95"/>
    <w:rsid w:val="00F417AC"/>
    <w:rsid w:val="00F41A18"/>
    <w:rsid w:val="00F42009"/>
    <w:rsid w:val="00F42539"/>
    <w:rsid w:val="00F42564"/>
    <w:rsid w:val="00F42883"/>
    <w:rsid w:val="00F4289C"/>
    <w:rsid w:val="00F42A8E"/>
    <w:rsid w:val="00F42ABF"/>
    <w:rsid w:val="00F42DD0"/>
    <w:rsid w:val="00F42DF6"/>
    <w:rsid w:val="00F42F14"/>
    <w:rsid w:val="00F43373"/>
    <w:rsid w:val="00F43878"/>
    <w:rsid w:val="00F43AC2"/>
    <w:rsid w:val="00F43BBF"/>
    <w:rsid w:val="00F43C2D"/>
    <w:rsid w:val="00F43FB5"/>
    <w:rsid w:val="00F44083"/>
    <w:rsid w:val="00F44107"/>
    <w:rsid w:val="00F4411C"/>
    <w:rsid w:val="00F44416"/>
    <w:rsid w:val="00F45024"/>
    <w:rsid w:val="00F4502D"/>
    <w:rsid w:val="00F4503F"/>
    <w:rsid w:val="00F45109"/>
    <w:rsid w:val="00F45259"/>
    <w:rsid w:val="00F45279"/>
    <w:rsid w:val="00F455AA"/>
    <w:rsid w:val="00F45777"/>
    <w:rsid w:val="00F45BC6"/>
    <w:rsid w:val="00F463D4"/>
    <w:rsid w:val="00F4658E"/>
    <w:rsid w:val="00F46BD2"/>
    <w:rsid w:val="00F4722D"/>
    <w:rsid w:val="00F47566"/>
    <w:rsid w:val="00F47A2B"/>
    <w:rsid w:val="00F47B5F"/>
    <w:rsid w:val="00F504E6"/>
    <w:rsid w:val="00F5121F"/>
    <w:rsid w:val="00F519EE"/>
    <w:rsid w:val="00F51F82"/>
    <w:rsid w:val="00F52486"/>
    <w:rsid w:val="00F529BB"/>
    <w:rsid w:val="00F52A9B"/>
    <w:rsid w:val="00F52C0E"/>
    <w:rsid w:val="00F52C9F"/>
    <w:rsid w:val="00F52D2C"/>
    <w:rsid w:val="00F52DDA"/>
    <w:rsid w:val="00F53071"/>
    <w:rsid w:val="00F53434"/>
    <w:rsid w:val="00F53804"/>
    <w:rsid w:val="00F53FE3"/>
    <w:rsid w:val="00F54238"/>
    <w:rsid w:val="00F549AB"/>
    <w:rsid w:val="00F54AA2"/>
    <w:rsid w:val="00F55283"/>
    <w:rsid w:val="00F5537D"/>
    <w:rsid w:val="00F55457"/>
    <w:rsid w:val="00F556DC"/>
    <w:rsid w:val="00F558DA"/>
    <w:rsid w:val="00F55A11"/>
    <w:rsid w:val="00F55B93"/>
    <w:rsid w:val="00F55CF6"/>
    <w:rsid w:val="00F563B0"/>
    <w:rsid w:val="00F56539"/>
    <w:rsid w:val="00F56724"/>
    <w:rsid w:val="00F56A91"/>
    <w:rsid w:val="00F56B2A"/>
    <w:rsid w:val="00F56BF5"/>
    <w:rsid w:val="00F572EE"/>
    <w:rsid w:val="00F573F2"/>
    <w:rsid w:val="00F574F5"/>
    <w:rsid w:val="00F57DA2"/>
    <w:rsid w:val="00F60271"/>
    <w:rsid w:val="00F604A3"/>
    <w:rsid w:val="00F6059C"/>
    <w:rsid w:val="00F608EB"/>
    <w:rsid w:val="00F60BA7"/>
    <w:rsid w:val="00F60EC1"/>
    <w:rsid w:val="00F6115D"/>
    <w:rsid w:val="00F61367"/>
    <w:rsid w:val="00F61980"/>
    <w:rsid w:val="00F619F8"/>
    <w:rsid w:val="00F61F6B"/>
    <w:rsid w:val="00F622A3"/>
    <w:rsid w:val="00F62541"/>
    <w:rsid w:val="00F626C3"/>
    <w:rsid w:val="00F627B3"/>
    <w:rsid w:val="00F62AFE"/>
    <w:rsid w:val="00F62D97"/>
    <w:rsid w:val="00F63327"/>
    <w:rsid w:val="00F63556"/>
    <w:rsid w:val="00F636B5"/>
    <w:rsid w:val="00F63D53"/>
    <w:rsid w:val="00F63FEA"/>
    <w:rsid w:val="00F6415B"/>
    <w:rsid w:val="00F64CBB"/>
    <w:rsid w:val="00F64D83"/>
    <w:rsid w:val="00F652D3"/>
    <w:rsid w:val="00F65612"/>
    <w:rsid w:val="00F65EB0"/>
    <w:rsid w:val="00F65FDC"/>
    <w:rsid w:val="00F66083"/>
    <w:rsid w:val="00F66937"/>
    <w:rsid w:val="00F6693A"/>
    <w:rsid w:val="00F66BD6"/>
    <w:rsid w:val="00F66DE9"/>
    <w:rsid w:val="00F670A6"/>
    <w:rsid w:val="00F67327"/>
    <w:rsid w:val="00F6745A"/>
    <w:rsid w:val="00F6761E"/>
    <w:rsid w:val="00F67738"/>
    <w:rsid w:val="00F6798D"/>
    <w:rsid w:val="00F67B79"/>
    <w:rsid w:val="00F67BE7"/>
    <w:rsid w:val="00F704AD"/>
    <w:rsid w:val="00F70934"/>
    <w:rsid w:val="00F70A82"/>
    <w:rsid w:val="00F70E16"/>
    <w:rsid w:val="00F70EE1"/>
    <w:rsid w:val="00F71089"/>
    <w:rsid w:val="00F711B0"/>
    <w:rsid w:val="00F7203D"/>
    <w:rsid w:val="00F72474"/>
    <w:rsid w:val="00F727F8"/>
    <w:rsid w:val="00F72C90"/>
    <w:rsid w:val="00F73277"/>
    <w:rsid w:val="00F7331F"/>
    <w:rsid w:val="00F733FC"/>
    <w:rsid w:val="00F738BE"/>
    <w:rsid w:val="00F739D0"/>
    <w:rsid w:val="00F73E68"/>
    <w:rsid w:val="00F7408F"/>
    <w:rsid w:val="00F745D4"/>
    <w:rsid w:val="00F749B2"/>
    <w:rsid w:val="00F74D31"/>
    <w:rsid w:val="00F74FCE"/>
    <w:rsid w:val="00F75033"/>
    <w:rsid w:val="00F750A3"/>
    <w:rsid w:val="00F750E6"/>
    <w:rsid w:val="00F750FF"/>
    <w:rsid w:val="00F7514F"/>
    <w:rsid w:val="00F758E4"/>
    <w:rsid w:val="00F75A16"/>
    <w:rsid w:val="00F75A4E"/>
    <w:rsid w:val="00F75B82"/>
    <w:rsid w:val="00F75F43"/>
    <w:rsid w:val="00F76339"/>
    <w:rsid w:val="00F76889"/>
    <w:rsid w:val="00F76C58"/>
    <w:rsid w:val="00F76DF6"/>
    <w:rsid w:val="00F76ED6"/>
    <w:rsid w:val="00F776C2"/>
    <w:rsid w:val="00F777AE"/>
    <w:rsid w:val="00F778B7"/>
    <w:rsid w:val="00F77C38"/>
    <w:rsid w:val="00F77CF1"/>
    <w:rsid w:val="00F77F56"/>
    <w:rsid w:val="00F809C3"/>
    <w:rsid w:val="00F80D62"/>
    <w:rsid w:val="00F80E70"/>
    <w:rsid w:val="00F81067"/>
    <w:rsid w:val="00F815F0"/>
    <w:rsid w:val="00F815F1"/>
    <w:rsid w:val="00F8190B"/>
    <w:rsid w:val="00F81A8F"/>
    <w:rsid w:val="00F81D5D"/>
    <w:rsid w:val="00F81DFB"/>
    <w:rsid w:val="00F81F4A"/>
    <w:rsid w:val="00F820DA"/>
    <w:rsid w:val="00F8227C"/>
    <w:rsid w:val="00F82986"/>
    <w:rsid w:val="00F82C57"/>
    <w:rsid w:val="00F82CF0"/>
    <w:rsid w:val="00F833C2"/>
    <w:rsid w:val="00F83715"/>
    <w:rsid w:val="00F8374A"/>
    <w:rsid w:val="00F837E2"/>
    <w:rsid w:val="00F83F03"/>
    <w:rsid w:val="00F846D2"/>
    <w:rsid w:val="00F851A7"/>
    <w:rsid w:val="00F85220"/>
    <w:rsid w:val="00F85228"/>
    <w:rsid w:val="00F85409"/>
    <w:rsid w:val="00F85574"/>
    <w:rsid w:val="00F85580"/>
    <w:rsid w:val="00F855DB"/>
    <w:rsid w:val="00F85660"/>
    <w:rsid w:val="00F856DB"/>
    <w:rsid w:val="00F858ED"/>
    <w:rsid w:val="00F86137"/>
    <w:rsid w:val="00F861F4"/>
    <w:rsid w:val="00F863B8"/>
    <w:rsid w:val="00F8660A"/>
    <w:rsid w:val="00F86A81"/>
    <w:rsid w:val="00F86C3C"/>
    <w:rsid w:val="00F86C5D"/>
    <w:rsid w:val="00F86D53"/>
    <w:rsid w:val="00F86F93"/>
    <w:rsid w:val="00F87292"/>
    <w:rsid w:val="00F87418"/>
    <w:rsid w:val="00F8763B"/>
    <w:rsid w:val="00F87665"/>
    <w:rsid w:val="00F87849"/>
    <w:rsid w:val="00F87A03"/>
    <w:rsid w:val="00F87A43"/>
    <w:rsid w:val="00F87AF9"/>
    <w:rsid w:val="00F87B3D"/>
    <w:rsid w:val="00F87F5B"/>
    <w:rsid w:val="00F9021E"/>
    <w:rsid w:val="00F903AD"/>
    <w:rsid w:val="00F903B0"/>
    <w:rsid w:val="00F904E1"/>
    <w:rsid w:val="00F906CB"/>
    <w:rsid w:val="00F90959"/>
    <w:rsid w:val="00F90BBA"/>
    <w:rsid w:val="00F90BCB"/>
    <w:rsid w:val="00F91558"/>
    <w:rsid w:val="00F91598"/>
    <w:rsid w:val="00F9167C"/>
    <w:rsid w:val="00F9183F"/>
    <w:rsid w:val="00F921B0"/>
    <w:rsid w:val="00F92345"/>
    <w:rsid w:val="00F926C8"/>
    <w:rsid w:val="00F92E57"/>
    <w:rsid w:val="00F92E78"/>
    <w:rsid w:val="00F93073"/>
    <w:rsid w:val="00F9329A"/>
    <w:rsid w:val="00F9346A"/>
    <w:rsid w:val="00F93A33"/>
    <w:rsid w:val="00F93B37"/>
    <w:rsid w:val="00F94284"/>
    <w:rsid w:val="00F94681"/>
    <w:rsid w:val="00F950DC"/>
    <w:rsid w:val="00F95636"/>
    <w:rsid w:val="00F95698"/>
    <w:rsid w:val="00F9595F"/>
    <w:rsid w:val="00F959FC"/>
    <w:rsid w:val="00F9626D"/>
    <w:rsid w:val="00F96274"/>
    <w:rsid w:val="00F962D0"/>
    <w:rsid w:val="00F96352"/>
    <w:rsid w:val="00F963D3"/>
    <w:rsid w:val="00F9652F"/>
    <w:rsid w:val="00F966F7"/>
    <w:rsid w:val="00F96761"/>
    <w:rsid w:val="00F96823"/>
    <w:rsid w:val="00F96901"/>
    <w:rsid w:val="00F96AA2"/>
    <w:rsid w:val="00F96E48"/>
    <w:rsid w:val="00F9725E"/>
    <w:rsid w:val="00F97328"/>
    <w:rsid w:val="00F975EA"/>
    <w:rsid w:val="00F97627"/>
    <w:rsid w:val="00F97789"/>
    <w:rsid w:val="00F97E22"/>
    <w:rsid w:val="00FA002A"/>
    <w:rsid w:val="00FA0097"/>
    <w:rsid w:val="00FA0366"/>
    <w:rsid w:val="00FA04EA"/>
    <w:rsid w:val="00FA0DBC"/>
    <w:rsid w:val="00FA0E13"/>
    <w:rsid w:val="00FA12C9"/>
    <w:rsid w:val="00FA1A87"/>
    <w:rsid w:val="00FA1BBB"/>
    <w:rsid w:val="00FA2227"/>
    <w:rsid w:val="00FA23D5"/>
    <w:rsid w:val="00FA24BE"/>
    <w:rsid w:val="00FA2612"/>
    <w:rsid w:val="00FA2E40"/>
    <w:rsid w:val="00FA2F37"/>
    <w:rsid w:val="00FA3251"/>
    <w:rsid w:val="00FA3286"/>
    <w:rsid w:val="00FA3827"/>
    <w:rsid w:val="00FA3854"/>
    <w:rsid w:val="00FA396F"/>
    <w:rsid w:val="00FA3D12"/>
    <w:rsid w:val="00FA3E42"/>
    <w:rsid w:val="00FA3EFF"/>
    <w:rsid w:val="00FA4361"/>
    <w:rsid w:val="00FA5829"/>
    <w:rsid w:val="00FA5B0F"/>
    <w:rsid w:val="00FA62D7"/>
    <w:rsid w:val="00FA63D9"/>
    <w:rsid w:val="00FA6571"/>
    <w:rsid w:val="00FA6992"/>
    <w:rsid w:val="00FA6A9F"/>
    <w:rsid w:val="00FA6B09"/>
    <w:rsid w:val="00FA6C9D"/>
    <w:rsid w:val="00FA72AF"/>
    <w:rsid w:val="00FA7321"/>
    <w:rsid w:val="00FA76E5"/>
    <w:rsid w:val="00FA770A"/>
    <w:rsid w:val="00FA78BC"/>
    <w:rsid w:val="00FA7A00"/>
    <w:rsid w:val="00FA7B4D"/>
    <w:rsid w:val="00FA7B7F"/>
    <w:rsid w:val="00FA7D6F"/>
    <w:rsid w:val="00FA7FA6"/>
    <w:rsid w:val="00FB0024"/>
    <w:rsid w:val="00FB0706"/>
    <w:rsid w:val="00FB083F"/>
    <w:rsid w:val="00FB1257"/>
    <w:rsid w:val="00FB1305"/>
    <w:rsid w:val="00FB13E6"/>
    <w:rsid w:val="00FB15A6"/>
    <w:rsid w:val="00FB1798"/>
    <w:rsid w:val="00FB1E49"/>
    <w:rsid w:val="00FB22EB"/>
    <w:rsid w:val="00FB2A7C"/>
    <w:rsid w:val="00FB2AED"/>
    <w:rsid w:val="00FB2C67"/>
    <w:rsid w:val="00FB2D9B"/>
    <w:rsid w:val="00FB2FEE"/>
    <w:rsid w:val="00FB3463"/>
    <w:rsid w:val="00FB358C"/>
    <w:rsid w:val="00FB3795"/>
    <w:rsid w:val="00FB3A91"/>
    <w:rsid w:val="00FB3A99"/>
    <w:rsid w:val="00FB3E5F"/>
    <w:rsid w:val="00FB465A"/>
    <w:rsid w:val="00FB4790"/>
    <w:rsid w:val="00FB4EF2"/>
    <w:rsid w:val="00FB561C"/>
    <w:rsid w:val="00FB562C"/>
    <w:rsid w:val="00FB5E46"/>
    <w:rsid w:val="00FB653D"/>
    <w:rsid w:val="00FB656D"/>
    <w:rsid w:val="00FB6B05"/>
    <w:rsid w:val="00FB6C57"/>
    <w:rsid w:val="00FB6CCB"/>
    <w:rsid w:val="00FB6D4C"/>
    <w:rsid w:val="00FB6DA9"/>
    <w:rsid w:val="00FB705F"/>
    <w:rsid w:val="00FB7374"/>
    <w:rsid w:val="00FB7646"/>
    <w:rsid w:val="00FB76A8"/>
    <w:rsid w:val="00FB79ED"/>
    <w:rsid w:val="00FB7D01"/>
    <w:rsid w:val="00FB7DA6"/>
    <w:rsid w:val="00FB7F3A"/>
    <w:rsid w:val="00FC01FF"/>
    <w:rsid w:val="00FC023D"/>
    <w:rsid w:val="00FC0315"/>
    <w:rsid w:val="00FC0447"/>
    <w:rsid w:val="00FC0BCB"/>
    <w:rsid w:val="00FC0D95"/>
    <w:rsid w:val="00FC17B8"/>
    <w:rsid w:val="00FC23EF"/>
    <w:rsid w:val="00FC2AEB"/>
    <w:rsid w:val="00FC2DDA"/>
    <w:rsid w:val="00FC324A"/>
    <w:rsid w:val="00FC35DA"/>
    <w:rsid w:val="00FC385A"/>
    <w:rsid w:val="00FC3A7C"/>
    <w:rsid w:val="00FC3B44"/>
    <w:rsid w:val="00FC4102"/>
    <w:rsid w:val="00FC41F1"/>
    <w:rsid w:val="00FC4268"/>
    <w:rsid w:val="00FC4518"/>
    <w:rsid w:val="00FC490D"/>
    <w:rsid w:val="00FC49B1"/>
    <w:rsid w:val="00FC4B39"/>
    <w:rsid w:val="00FC5281"/>
    <w:rsid w:val="00FC537E"/>
    <w:rsid w:val="00FC549C"/>
    <w:rsid w:val="00FC5A5D"/>
    <w:rsid w:val="00FC5CD2"/>
    <w:rsid w:val="00FC5FEE"/>
    <w:rsid w:val="00FC607B"/>
    <w:rsid w:val="00FC6119"/>
    <w:rsid w:val="00FC65AE"/>
    <w:rsid w:val="00FC7345"/>
    <w:rsid w:val="00FC75B3"/>
    <w:rsid w:val="00FC75D9"/>
    <w:rsid w:val="00FC77C1"/>
    <w:rsid w:val="00FC7D97"/>
    <w:rsid w:val="00FC7EA9"/>
    <w:rsid w:val="00FD00AF"/>
    <w:rsid w:val="00FD00ED"/>
    <w:rsid w:val="00FD04A0"/>
    <w:rsid w:val="00FD0732"/>
    <w:rsid w:val="00FD0D2C"/>
    <w:rsid w:val="00FD0EAA"/>
    <w:rsid w:val="00FD174A"/>
    <w:rsid w:val="00FD1869"/>
    <w:rsid w:val="00FD19A7"/>
    <w:rsid w:val="00FD1B52"/>
    <w:rsid w:val="00FD1CAD"/>
    <w:rsid w:val="00FD1F50"/>
    <w:rsid w:val="00FD2066"/>
    <w:rsid w:val="00FD2407"/>
    <w:rsid w:val="00FD2436"/>
    <w:rsid w:val="00FD2A59"/>
    <w:rsid w:val="00FD2AEA"/>
    <w:rsid w:val="00FD2BDF"/>
    <w:rsid w:val="00FD2C06"/>
    <w:rsid w:val="00FD3054"/>
    <w:rsid w:val="00FD3321"/>
    <w:rsid w:val="00FD3780"/>
    <w:rsid w:val="00FD3863"/>
    <w:rsid w:val="00FD38BE"/>
    <w:rsid w:val="00FD3A16"/>
    <w:rsid w:val="00FD3B5C"/>
    <w:rsid w:val="00FD3D3C"/>
    <w:rsid w:val="00FD3E8C"/>
    <w:rsid w:val="00FD41ED"/>
    <w:rsid w:val="00FD42CD"/>
    <w:rsid w:val="00FD4740"/>
    <w:rsid w:val="00FD4763"/>
    <w:rsid w:val="00FD48E4"/>
    <w:rsid w:val="00FD4A29"/>
    <w:rsid w:val="00FD4A37"/>
    <w:rsid w:val="00FD4C38"/>
    <w:rsid w:val="00FD4EAD"/>
    <w:rsid w:val="00FD4EE0"/>
    <w:rsid w:val="00FD5601"/>
    <w:rsid w:val="00FD5640"/>
    <w:rsid w:val="00FD5924"/>
    <w:rsid w:val="00FD5C8A"/>
    <w:rsid w:val="00FD5CA6"/>
    <w:rsid w:val="00FD5D80"/>
    <w:rsid w:val="00FD6557"/>
    <w:rsid w:val="00FD69FC"/>
    <w:rsid w:val="00FD6AFB"/>
    <w:rsid w:val="00FD6E1F"/>
    <w:rsid w:val="00FD6EFC"/>
    <w:rsid w:val="00FD7119"/>
    <w:rsid w:val="00FD7225"/>
    <w:rsid w:val="00FD780A"/>
    <w:rsid w:val="00FD7B71"/>
    <w:rsid w:val="00FD7D26"/>
    <w:rsid w:val="00FE039C"/>
    <w:rsid w:val="00FE07E4"/>
    <w:rsid w:val="00FE0854"/>
    <w:rsid w:val="00FE08D7"/>
    <w:rsid w:val="00FE092C"/>
    <w:rsid w:val="00FE0A63"/>
    <w:rsid w:val="00FE1019"/>
    <w:rsid w:val="00FE1111"/>
    <w:rsid w:val="00FE126D"/>
    <w:rsid w:val="00FE157C"/>
    <w:rsid w:val="00FE19B5"/>
    <w:rsid w:val="00FE1A78"/>
    <w:rsid w:val="00FE1B7E"/>
    <w:rsid w:val="00FE2039"/>
    <w:rsid w:val="00FE24D9"/>
    <w:rsid w:val="00FE26C8"/>
    <w:rsid w:val="00FE282C"/>
    <w:rsid w:val="00FE28C0"/>
    <w:rsid w:val="00FE2CEC"/>
    <w:rsid w:val="00FE3383"/>
    <w:rsid w:val="00FE3713"/>
    <w:rsid w:val="00FE37C6"/>
    <w:rsid w:val="00FE3CC4"/>
    <w:rsid w:val="00FE3F45"/>
    <w:rsid w:val="00FE4258"/>
    <w:rsid w:val="00FE4346"/>
    <w:rsid w:val="00FE43CC"/>
    <w:rsid w:val="00FE4700"/>
    <w:rsid w:val="00FE4A7F"/>
    <w:rsid w:val="00FE4AB4"/>
    <w:rsid w:val="00FE4DAC"/>
    <w:rsid w:val="00FE4EE1"/>
    <w:rsid w:val="00FE5171"/>
    <w:rsid w:val="00FE58FB"/>
    <w:rsid w:val="00FE5C69"/>
    <w:rsid w:val="00FE5FDB"/>
    <w:rsid w:val="00FE6DA1"/>
    <w:rsid w:val="00FE7F01"/>
    <w:rsid w:val="00FF0057"/>
    <w:rsid w:val="00FF037D"/>
    <w:rsid w:val="00FF04DF"/>
    <w:rsid w:val="00FF04EA"/>
    <w:rsid w:val="00FF051C"/>
    <w:rsid w:val="00FF0692"/>
    <w:rsid w:val="00FF06E6"/>
    <w:rsid w:val="00FF0724"/>
    <w:rsid w:val="00FF09C7"/>
    <w:rsid w:val="00FF0A9F"/>
    <w:rsid w:val="00FF0C2E"/>
    <w:rsid w:val="00FF0DFA"/>
    <w:rsid w:val="00FF0FE7"/>
    <w:rsid w:val="00FF11AA"/>
    <w:rsid w:val="00FF14D4"/>
    <w:rsid w:val="00FF15B7"/>
    <w:rsid w:val="00FF179F"/>
    <w:rsid w:val="00FF186E"/>
    <w:rsid w:val="00FF18D3"/>
    <w:rsid w:val="00FF1A00"/>
    <w:rsid w:val="00FF1B8A"/>
    <w:rsid w:val="00FF1BDF"/>
    <w:rsid w:val="00FF1E09"/>
    <w:rsid w:val="00FF1F10"/>
    <w:rsid w:val="00FF20DA"/>
    <w:rsid w:val="00FF211F"/>
    <w:rsid w:val="00FF2141"/>
    <w:rsid w:val="00FF232F"/>
    <w:rsid w:val="00FF2437"/>
    <w:rsid w:val="00FF296F"/>
    <w:rsid w:val="00FF2B03"/>
    <w:rsid w:val="00FF3488"/>
    <w:rsid w:val="00FF34F2"/>
    <w:rsid w:val="00FF4051"/>
    <w:rsid w:val="00FF428D"/>
    <w:rsid w:val="00FF4382"/>
    <w:rsid w:val="00FF4509"/>
    <w:rsid w:val="00FF4EEA"/>
    <w:rsid w:val="00FF552E"/>
    <w:rsid w:val="00FF5725"/>
    <w:rsid w:val="00FF5B4F"/>
    <w:rsid w:val="00FF5E73"/>
    <w:rsid w:val="00FF5E85"/>
    <w:rsid w:val="00FF5EB0"/>
    <w:rsid w:val="00FF5F3E"/>
    <w:rsid w:val="00FF60A4"/>
    <w:rsid w:val="00FF6482"/>
    <w:rsid w:val="00FF6763"/>
    <w:rsid w:val="00FF677D"/>
    <w:rsid w:val="00FF716A"/>
    <w:rsid w:val="00FF7228"/>
    <w:rsid w:val="00FF72A3"/>
    <w:rsid w:val="00FF74C6"/>
    <w:rsid w:val="00FF74D3"/>
    <w:rsid w:val="00FF7523"/>
    <w:rsid w:val="00FF7682"/>
    <w:rsid w:val="00FF769B"/>
    <w:rsid w:val="00FF7EB6"/>
    <w:rsid w:val="020A8030"/>
    <w:rsid w:val="02344BEC"/>
    <w:rsid w:val="06ECCE4A"/>
    <w:rsid w:val="0AC35CE2"/>
    <w:rsid w:val="0D200284"/>
    <w:rsid w:val="0D2721A4"/>
    <w:rsid w:val="12A9C78F"/>
    <w:rsid w:val="164AA5EE"/>
    <w:rsid w:val="1A252A1A"/>
    <w:rsid w:val="1A7801E1"/>
    <w:rsid w:val="1CB03062"/>
    <w:rsid w:val="1F7B1B0D"/>
    <w:rsid w:val="219E2EC5"/>
    <w:rsid w:val="2234A74D"/>
    <w:rsid w:val="25036481"/>
    <w:rsid w:val="2554DB82"/>
    <w:rsid w:val="293C190C"/>
    <w:rsid w:val="2CBD4349"/>
    <w:rsid w:val="2F4D3F61"/>
    <w:rsid w:val="3345B147"/>
    <w:rsid w:val="3450167E"/>
    <w:rsid w:val="36312D45"/>
    <w:rsid w:val="39B8BC09"/>
    <w:rsid w:val="39D082A5"/>
    <w:rsid w:val="44385D4D"/>
    <w:rsid w:val="461F1E72"/>
    <w:rsid w:val="477F0DD7"/>
    <w:rsid w:val="4D26C09C"/>
    <w:rsid w:val="52A046EF"/>
    <w:rsid w:val="5B91D16C"/>
    <w:rsid w:val="5D281227"/>
    <w:rsid w:val="5E2F7869"/>
    <w:rsid w:val="5E6AC6FD"/>
    <w:rsid w:val="624BE186"/>
    <w:rsid w:val="63132844"/>
    <w:rsid w:val="67B246D2"/>
    <w:rsid w:val="69C7C55E"/>
    <w:rsid w:val="74F2D65F"/>
    <w:rsid w:val="7B37FFF3"/>
    <w:rsid w:val="7F7A92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3533192"/>
  <w15:chartTrackingRefBased/>
  <w15:docId w15:val="{20E311A1-2744-4444-AC68-9EF18901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0"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61"/>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63"/>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8D"/>
    <w:pPr>
      <w:spacing w:after="240"/>
      <w:jc w:val="both"/>
    </w:pPr>
    <w:rPr>
      <w:rFonts w:ascii="Times New Roman" w:hAnsi="Times New Roman"/>
      <w:szCs w:val="22"/>
    </w:rPr>
  </w:style>
  <w:style w:type="paragraph" w:styleId="Heading1">
    <w:name w:val="heading 1"/>
    <w:next w:val="Normal"/>
    <w:link w:val="Heading1Char"/>
    <w:uiPriority w:val="9"/>
    <w:qFormat/>
    <w:rsid w:val="00EC5EA2"/>
    <w:pPr>
      <w:keepNext/>
      <w:keepLines/>
      <w:spacing w:before="360" w:after="240"/>
      <w:ind w:left="720" w:hanging="720"/>
      <w:jc w:val="both"/>
      <w:outlineLvl w:val="0"/>
    </w:pPr>
    <w:rPr>
      <w:rFonts w:ascii="Times New Roman Bold" w:eastAsia="Times New Roman" w:hAnsi="Times New Roman Bold"/>
      <w:b/>
      <w:bCs/>
      <w:caps/>
      <w:sz w:val="24"/>
      <w:szCs w:val="28"/>
    </w:rPr>
  </w:style>
  <w:style w:type="paragraph" w:styleId="Heading2">
    <w:name w:val="heading 2"/>
    <w:aliases w:val="Append EHeading 2"/>
    <w:basedOn w:val="Heading1"/>
    <w:next w:val="Heading1"/>
    <w:link w:val="Heading2Char"/>
    <w:qFormat/>
    <w:rsid w:val="005A6EC6"/>
    <w:pPr>
      <w:outlineLvl w:val="1"/>
    </w:pPr>
    <w:rPr>
      <w:b w:val="0"/>
      <w:bCs w:val="0"/>
      <w:sz w:val="22"/>
      <w:szCs w:val="26"/>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qFormat/>
    <w:rsid w:val="008030C8"/>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261332"/>
    <w:pPr>
      <w:spacing w:before="240" w:after="60"/>
      <w:outlineLvl w:val="5"/>
    </w:pPr>
    <w:rPr>
      <w:rFonts w:ascii="Calibri" w:eastAsia="Times New Roman" w:hAnsi="Calibri"/>
      <w:b/>
      <w:bCs/>
      <w:sz w:val="22"/>
    </w:rPr>
  </w:style>
  <w:style w:type="paragraph" w:styleId="Heading7">
    <w:name w:val="heading 7"/>
    <w:basedOn w:val="Normal"/>
    <w:next w:val="Normal"/>
    <w:link w:val="Heading7Char"/>
    <w:qFormat/>
    <w:rsid w:val="00091684"/>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qFormat/>
    <w:rsid w:val="00091684"/>
    <w:pPr>
      <w:keepNext/>
      <w:keepLines/>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qFormat/>
    <w:rsid w:val="00091684"/>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C5EA2"/>
    <w:rPr>
      <w:rFonts w:ascii="Times New Roman Bold" w:eastAsia="Times New Roman" w:hAnsi="Times New Roman Bold"/>
      <w:b/>
      <w:bCs/>
      <w:caps/>
      <w:sz w:val="24"/>
      <w:szCs w:val="28"/>
    </w:rPr>
  </w:style>
  <w:style w:type="character" w:customStyle="1" w:styleId="Heading2Char">
    <w:name w:val="Heading 2 Char"/>
    <w:aliases w:val="Append EHeading 2 Char"/>
    <w:link w:val="Heading2"/>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link w:val="HeadingSectionChar"/>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qFormat/>
    <w:rsid w:val="006F1D68"/>
  </w:style>
  <w:style w:type="character" w:customStyle="1" w:styleId="BodyTextChar">
    <w:name w:val="Body Text Char"/>
    <w:link w:val="BodyText"/>
    <w:uiPriority w:val="1"/>
    <w:qFormat/>
    <w:rsid w:val="006F1D68"/>
    <w:rPr>
      <w:rFonts w:ascii="Times New Roman" w:hAnsi="Times New Roman"/>
      <w:sz w:val="20"/>
    </w:rPr>
  </w:style>
  <w:style w:type="paragraph" w:customStyle="1" w:styleId="ColorfulList-Accent11">
    <w:name w:val="Colorful List - Accent 11"/>
    <w:basedOn w:val="Normal"/>
    <w:link w:val="ColorfulList-Accent1Char"/>
    <w:uiPriority w:val="1"/>
    <w:qFormat/>
    <w:rsid w:val="003E6380"/>
    <w:pPr>
      <w:ind w:left="720"/>
      <w:contextualSpacing/>
    </w:pPr>
  </w:style>
  <w:style w:type="table" w:styleId="TableGrid">
    <w:name w:val="Table Grid"/>
    <w:basedOn w:val="TableNormal"/>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customStyle="1" w:styleId="GridTable31">
    <w:name w:val="Grid Table 31"/>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A33B0"/>
    <w:pPr>
      <w:suppressLineNumbers/>
      <w:tabs>
        <w:tab w:val="left" w:pos="1710"/>
        <w:tab w:val="right" w:leader="dot" w:pos="9360"/>
      </w:tabs>
      <w:spacing w:after="0"/>
      <w:ind w:left="2160" w:right="360" w:hanging="1800"/>
      <w:outlineLvl w:val="0"/>
    </w:pPr>
    <w:rPr>
      <w:rFonts w:eastAsia="Times New Roman"/>
      <w:color w:val="000000"/>
      <w:lang w:eastAsia="ja-JP"/>
    </w:rPr>
  </w:style>
  <w:style w:type="paragraph" w:styleId="TOC1">
    <w:name w:val="toc 1"/>
    <w:basedOn w:val="Normal"/>
    <w:next w:val="Normal"/>
    <w:autoRedefine/>
    <w:uiPriority w:val="39"/>
    <w:unhideWhenUsed/>
    <w:qFormat/>
    <w:rsid w:val="00FB1E49"/>
    <w:pPr>
      <w:keepNext/>
      <w:suppressLineNumbers/>
      <w:tabs>
        <w:tab w:val="right" w:leader="dot" w:pos="9360"/>
      </w:tabs>
      <w:spacing w:before="60" w:after="60"/>
      <w:ind w:left="2016" w:right="360" w:hanging="2016"/>
    </w:pPr>
    <w:rPr>
      <w:rFonts w:ascii="Times New Roman Bold" w:eastAsia="Times New Roman" w:hAnsi="Times New Roman Bold"/>
      <w:b/>
      <w:caps/>
      <w:color w:val="000000"/>
      <w:szCs w:val="2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aliases w:val="Hyperlink-toc"/>
    <w:uiPriority w:val="99"/>
    <w:unhideWhenUsed/>
    <w:qFormat/>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link w:val="ItemHeadingChar"/>
    <w:qFormat/>
    <w:rsid w:val="002F4E07"/>
    <w:pPr>
      <w:tabs>
        <w:tab w:val="clear" w:pos="900"/>
        <w:tab w:val="left" w:pos="1584"/>
      </w:tabs>
      <w:spacing w:before="360"/>
      <w:ind w:left="2160" w:hanging="216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qFormat/>
    <w:rsid w:val="002E1244"/>
    <w:pPr>
      <w:spacing w:after="100"/>
      <w:ind w:left="600"/>
    </w:pPr>
  </w:style>
  <w:style w:type="paragraph" w:customStyle="1" w:styleId="ItemHeadingSecondary">
    <w:name w:val="Item Heading Secondary"/>
    <w:basedOn w:val="ItemHeading"/>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semiHidden/>
    <w:unhideWhenUsed/>
    <w:rsid w:val="0038520D"/>
    <w:pPr>
      <w:spacing w:after="0"/>
    </w:pPr>
    <w:rPr>
      <w:szCs w:val="20"/>
    </w:rPr>
  </w:style>
  <w:style w:type="character" w:customStyle="1" w:styleId="EndnoteTextChar">
    <w:name w:val="Endnote Text Char"/>
    <w:link w:val="EndnoteText"/>
    <w:semiHidden/>
    <w:rsid w:val="0038520D"/>
    <w:rPr>
      <w:rFonts w:ascii="Times New Roman" w:hAnsi="Times New Roman"/>
      <w:sz w:val="20"/>
      <w:szCs w:val="20"/>
    </w:rPr>
  </w:style>
  <w:style w:type="character" w:styleId="EndnoteReference">
    <w:name w:val="endnote reference"/>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customStyle="1" w:styleId="ColorfulShading-Accent11">
    <w:name w:val="Colorful Shading - Accent 11"/>
    <w:hidden/>
    <w:uiPriority w:val="99"/>
    <w:semiHidden/>
    <w:rsid w:val="00C76925"/>
    <w:rPr>
      <w:rFonts w:ascii="Times New Roman" w:hAnsi="Times New Roman"/>
      <w:szCs w:val="22"/>
    </w:rPr>
  </w:style>
  <w:style w:type="paragraph" w:styleId="BalloonText">
    <w:name w:val="Balloon Text"/>
    <w:basedOn w:val="Normal"/>
    <w:link w:val="BalloonTextChar"/>
    <w:uiPriority w:val="99"/>
    <w:unhideWhenUsed/>
    <w:rsid w:val="00C76925"/>
    <w:pPr>
      <w:spacing w:after="0"/>
    </w:pPr>
    <w:rPr>
      <w:rFonts w:ascii="Tahoma" w:hAnsi="Tahoma" w:cs="Tahoma"/>
      <w:sz w:val="16"/>
      <w:szCs w:val="16"/>
    </w:rPr>
  </w:style>
  <w:style w:type="character" w:customStyle="1" w:styleId="BalloonTextChar">
    <w:name w:val="Balloon Text Char"/>
    <w:link w:val="BalloonText"/>
    <w:uiPriority w:val="99"/>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ColorfulList-Accent11"/>
    <w:qFormat/>
    <w:rsid w:val="00736916"/>
    <w:pPr>
      <w:numPr>
        <w:numId w:val="2"/>
      </w:numPr>
    </w:pPr>
  </w:style>
  <w:style w:type="paragraph" w:customStyle="1" w:styleId="bulletedlist">
    <w:name w:val="bulleted list"/>
    <w:basedOn w:val="ColorfulList-Accent11"/>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D92735"/>
    <w:pPr>
      <w:ind w:left="360"/>
    </w:pPr>
    <w:rPr>
      <w:b/>
    </w:rPr>
  </w:style>
  <w:style w:type="paragraph" w:customStyle="1" w:styleId="I-LetterAreg">
    <w:name w:val="I - Letter A reg"/>
    <w:basedOn w:val="I-Normal-bold"/>
    <w:qFormat/>
    <w:rsid w:val="00DC1293"/>
    <w:pPr>
      <w:ind w:left="720" w:hanging="360"/>
    </w:pPr>
    <w:rPr>
      <w:b w:val="0"/>
    </w:rPr>
  </w:style>
  <w:style w:type="paragraph" w:customStyle="1" w:styleId="I-LetterAIndent1">
    <w:name w:val="I - Letter A Indent 1"/>
    <w:basedOn w:val="Normal"/>
    <w:qFormat/>
    <w:rsid w:val="00D92735"/>
    <w:pPr>
      <w:ind w:left="1350" w:hanging="360"/>
    </w:pPr>
  </w:style>
  <w:style w:type="paragraph" w:customStyle="1" w:styleId="I-numbers">
    <w:name w:val="I - numbers"/>
    <w:basedOn w:val="Normal"/>
    <w:qFormat/>
    <w:rsid w:val="00DC1293"/>
    <w:pPr>
      <w:spacing w:after="120"/>
    </w:pPr>
  </w:style>
  <w:style w:type="paragraph" w:customStyle="1" w:styleId="I-LetterAbold">
    <w:name w:val="I - Letter A bold"/>
    <w:basedOn w:val="I-LetterAreg"/>
    <w:qFormat/>
    <w:rsid w:val="00DC1293"/>
    <w:rPr>
      <w:b/>
    </w:rPr>
  </w:style>
  <w:style w:type="paragraph" w:customStyle="1" w:styleId="I-Normalreg">
    <w:name w:val="I - Normal reg"/>
    <w:basedOn w:val="I-Normal-bold"/>
    <w:qFormat/>
    <w:rsid w:val="00C4124A"/>
    <w:rPr>
      <w:b w:val="0"/>
    </w:rPr>
  </w:style>
  <w:style w:type="paragraph" w:customStyle="1" w:styleId="I-bulletedlist">
    <w:name w:val="I - bulleted list"/>
    <w:basedOn w:val="bulletedlist"/>
    <w:qFormat/>
    <w:rsid w:val="00B72079"/>
    <w:pPr>
      <w:ind w:left="1080"/>
    </w:pPr>
  </w:style>
  <w:style w:type="paragraph" w:customStyle="1" w:styleId="I-Normal1indent">
    <w:name w:val="I - Normal 1 indent"/>
    <w:basedOn w:val="I-Normalreg"/>
    <w:qFormat/>
    <w:rsid w:val="00172A25"/>
    <w:pPr>
      <w:ind w:left="720"/>
    </w:pPr>
  </w:style>
  <w:style w:type="paragraph" w:customStyle="1" w:styleId="I-Normal2indent">
    <w:name w:val="I - Normal 2 indent"/>
    <w:basedOn w:val="I-Normal1indent"/>
    <w:qFormat/>
    <w:rsid w:val="00632BDC"/>
    <w:pPr>
      <w:ind w:left="1350"/>
    </w:pPr>
  </w:style>
  <w:style w:type="paragraph" w:customStyle="1" w:styleId="I-Normal3indent">
    <w:name w:val="I - Normal 3 indent"/>
    <w:basedOn w:val="I-Normal2indent"/>
    <w:qFormat/>
    <w:rsid w:val="00632BDC"/>
    <w:pPr>
      <w:ind w:left="2340"/>
    </w:pPr>
    <w:rPr>
      <w:b/>
      <w:u w:val="single"/>
    </w:rPr>
  </w:style>
  <w:style w:type="paragraph" w:customStyle="1" w:styleId="I-bulletedlist1indent">
    <w:name w:val="I - bulleted list 1 indent"/>
    <w:basedOn w:val="I-bulletedlist"/>
    <w:qFormat/>
    <w:rsid w:val="00DB2BB3"/>
    <w:pPr>
      <w:ind w:left="1350"/>
    </w:pPr>
  </w:style>
  <w:style w:type="paragraph" w:customStyle="1" w:styleId="IntentionallyBlank">
    <w:name w:val="Intentionally Blank"/>
    <w:basedOn w:val="Normal"/>
    <w:qFormat/>
    <w:rsid w:val="001E0B99"/>
    <w:pPr>
      <w:spacing w:before="3240"/>
      <w:jc w:val="center"/>
    </w:pPr>
    <w:rPr>
      <w:caps/>
    </w:rPr>
  </w:style>
  <w:style w:type="paragraph" w:customStyle="1" w:styleId="namefortoc">
    <w:name w:val="name for toc"/>
    <w:basedOn w:val="Normal"/>
    <w:qFormat/>
    <w:rsid w:val="007B05C6"/>
    <w:pPr>
      <w:spacing w:after="0" w:line="276" w:lineRule="auto"/>
      <w:jc w:val="left"/>
    </w:pPr>
  </w:style>
  <w:style w:type="character" w:styleId="FollowedHyperlink">
    <w:name w:val="FollowedHyperlink"/>
    <w:uiPriority w:val="99"/>
    <w:unhideWhenUsed/>
    <w:rsid w:val="00FF552E"/>
    <w:rPr>
      <w:color w:val="800080"/>
      <w:u w:val="single"/>
    </w:rPr>
  </w:style>
  <w:style w:type="paragraph" w:customStyle="1" w:styleId="EngineFuelTOC2ndLevel">
    <w:name w:val="EngineFuelTOC2ndLevel"/>
    <w:basedOn w:val="Normal"/>
    <w:link w:val="EngineFuelTOC2ndLevelChar"/>
    <w:rsid w:val="00AC0160"/>
    <w:pPr>
      <w:spacing w:after="0"/>
    </w:pPr>
    <w:rPr>
      <w:rFonts w:eastAsia="Times New Roman"/>
      <w:bCs/>
      <w:szCs w:val="24"/>
    </w:rPr>
  </w:style>
  <w:style w:type="character" w:customStyle="1" w:styleId="EngineFuelTOC2ndLevelChar">
    <w:name w:val="EngineFuelTOC2ndLevel Char"/>
    <w:link w:val="EngineFuelTOC2ndLevel"/>
    <w:qFormat/>
    <w:locked/>
    <w:rsid w:val="00AC0160"/>
    <w:rPr>
      <w:rFonts w:ascii="Times New Roman" w:eastAsia="Times New Roman" w:hAnsi="Times New Roman" w:cs="Times New Roman"/>
      <w:bCs/>
      <w:sz w:val="20"/>
      <w:szCs w:val="24"/>
    </w:rPr>
  </w:style>
  <w:style w:type="paragraph" w:customStyle="1" w:styleId="EngineFuelTOC3rdLevel">
    <w:name w:val="EngineFuelTOC3rdLevel"/>
    <w:basedOn w:val="Normal"/>
    <w:link w:val="EngineFuelTOC3rdLevelChar"/>
    <w:rsid w:val="00AC0160"/>
    <w:pPr>
      <w:spacing w:after="0"/>
      <w:ind w:left="360"/>
    </w:pPr>
    <w:rPr>
      <w:rFonts w:eastAsia="Times New Roman"/>
      <w:b/>
      <w:bCs/>
      <w:szCs w:val="24"/>
    </w:rPr>
  </w:style>
  <w:style w:type="character" w:customStyle="1" w:styleId="EngineFuelTOC3rdLevelChar">
    <w:name w:val="EngineFuelTOC3rdLevel Char"/>
    <w:link w:val="EngineFuelTOC3rdLevel"/>
    <w:qFormat/>
    <w:locked/>
    <w:rsid w:val="00AC0160"/>
    <w:rPr>
      <w:rFonts w:ascii="Times New Roman" w:eastAsia="Times New Roman" w:hAnsi="Times New Roman" w:cs="Times New Roman"/>
      <w:b/>
      <w:bCs/>
      <w:sz w:val="20"/>
      <w:szCs w:val="24"/>
    </w:rPr>
  </w:style>
  <w:style w:type="character" w:customStyle="1" w:styleId="Style10ptBoldUnderline">
    <w:name w:val="Style 10 pt Bold Underline"/>
    <w:rsid w:val="00F70E16"/>
    <w:rPr>
      <w:rFonts w:ascii="Times New Roman" w:hAnsi="Times New Roman"/>
      <w:b/>
      <w:bCs/>
      <w:sz w:val="20"/>
      <w:u w:val="single"/>
    </w:rPr>
  </w:style>
  <w:style w:type="paragraph" w:styleId="Title">
    <w:name w:val="Title"/>
    <w:basedOn w:val="Normal"/>
    <w:link w:val="TitleChar"/>
    <w:qFormat/>
    <w:rsid w:val="0038237B"/>
    <w:pPr>
      <w:spacing w:after="0"/>
      <w:jc w:val="center"/>
    </w:pPr>
    <w:rPr>
      <w:rFonts w:eastAsia="Times New Roman"/>
      <w:b/>
      <w:bCs/>
      <w:sz w:val="28"/>
      <w:szCs w:val="24"/>
    </w:rPr>
  </w:style>
  <w:style w:type="character" w:customStyle="1" w:styleId="TitleChar">
    <w:name w:val="Title Char"/>
    <w:link w:val="Title"/>
    <w:rsid w:val="0038237B"/>
    <w:rPr>
      <w:rFonts w:ascii="Times New Roman" w:eastAsia="Times New Roman" w:hAnsi="Times New Roman" w:cs="Times New Roman"/>
      <w:b/>
      <w:bCs/>
      <w:sz w:val="28"/>
      <w:szCs w:val="24"/>
    </w:rPr>
  </w:style>
  <w:style w:type="paragraph" w:customStyle="1" w:styleId="UniformLevel2">
    <w:name w:val="UniformLevel2"/>
    <w:basedOn w:val="Heading7"/>
    <w:link w:val="UniformLevel2Char"/>
    <w:rsid w:val="00091684"/>
    <w:pPr>
      <w:keepLines w:val="0"/>
      <w:spacing w:before="240" w:after="60"/>
    </w:pPr>
    <w:rPr>
      <w:rFonts w:ascii="Times New Roman" w:hAnsi="Times New Roman"/>
      <w:i w:val="0"/>
      <w:iCs w:val="0"/>
      <w:color w:val="auto"/>
      <w:szCs w:val="24"/>
    </w:rPr>
  </w:style>
  <w:style w:type="paragraph" w:customStyle="1" w:styleId="UniformLevel3">
    <w:name w:val="UniformLevel3"/>
    <w:basedOn w:val="Heading8"/>
    <w:link w:val="UniformLevel3Char"/>
    <w:rsid w:val="00091684"/>
    <w:pPr>
      <w:keepNext w:val="0"/>
      <w:keepLines w:val="0"/>
      <w:spacing w:before="240" w:after="60"/>
      <w:ind w:left="360"/>
    </w:pPr>
    <w:rPr>
      <w:rFonts w:ascii="Times New Roman" w:hAnsi="Times New Roman"/>
      <w:bCs/>
      <w:iCs/>
      <w:color w:val="auto"/>
      <w:szCs w:val="24"/>
    </w:rPr>
  </w:style>
  <w:style w:type="paragraph" w:customStyle="1" w:styleId="UniformLevel4">
    <w:name w:val="UniformLevel4"/>
    <w:basedOn w:val="Heading9"/>
    <w:link w:val="UniformLevel4Char"/>
    <w:rsid w:val="00091684"/>
    <w:pPr>
      <w:keepNext w:val="0"/>
      <w:keepLines w:val="0"/>
      <w:spacing w:before="240" w:after="60"/>
      <w:ind w:left="720"/>
    </w:pPr>
    <w:rPr>
      <w:rFonts w:cs="Arial"/>
      <w:i w:val="0"/>
      <w:iCs w:val="0"/>
      <w:szCs w:val="22"/>
    </w:rPr>
  </w:style>
  <w:style w:type="character" w:customStyle="1" w:styleId="UniformLevel3Char">
    <w:name w:val="UniformLevel3 Char"/>
    <w:link w:val="UniformLevel3"/>
    <w:locked/>
    <w:rsid w:val="00091684"/>
    <w:rPr>
      <w:rFonts w:ascii="Times New Roman" w:eastAsia="Times New Roman" w:hAnsi="Times New Roman" w:cs="Times New Roman"/>
      <w:bCs/>
      <w:iCs/>
      <w:sz w:val="20"/>
      <w:szCs w:val="24"/>
    </w:rPr>
  </w:style>
  <w:style w:type="character" w:customStyle="1" w:styleId="UniformLevel2Char">
    <w:name w:val="UniformLevel2 Char"/>
    <w:link w:val="UniformLevel2"/>
    <w:locked/>
    <w:rsid w:val="00091684"/>
    <w:rPr>
      <w:rFonts w:ascii="Times New Roman" w:eastAsia="Times New Roman" w:hAnsi="Times New Roman" w:cs="Times New Roman"/>
      <w:sz w:val="20"/>
      <w:szCs w:val="24"/>
    </w:rPr>
  </w:style>
  <w:style w:type="character" w:customStyle="1" w:styleId="UniformLevel4Char">
    <w:name w:val="UniformLevel4 Char"/>
    <w:link w:val="UniformLevel4"/>
    <w:locked/>
    <w:rsid w:val="00091684"/>
    <w:rPr>
      <w:rFonts w:ascii="Cambria" w:eastAsia="Times New Roman" w:hAnsi="Cambria" w:cs="Arial"/>
      <w:color w:val="404040"/>
      <w:sz w:val="20"/>
    </w:rPr>
  </w:style>
  <w:style w:type="character" w:customStyle="1" w:styleId="Heading7Char">
    <w:name w:val="Heading 7 Char"/>
    <w:link w:val="Heading7"/>
    <w:rsid w:val="00091684"/>
    <w:rPr>
      <w:rFonts w:ascii="Cambria" w:eastAsia="Times New Roman" w:hAnsi="Cambria" w:cs="Times New Roman"/>
      <w:i/>
      <w:iCs/>
      <w:color w:val="404040"/>
      <w:sz w:val="20"/>
    </w:rPr>
  </w:style>
  <w:style w:type="character" w:customStyle="1" w:styleId="Heading8Char">
    <w:name w:val="Heading 8 Char"/>
    <w:link w:val="Heading8"/>
    <w:rsid w:val="00091684"/>
    <w:rPr>
      <w:rFonts w:ascii="Cambria" w:eastAsia="Times New Roman" w:hAnsi="Cambria" w:cs="Times New Roman"/>
      <w:color w:val="404040"/>
      <w:sz w:val="20"/>
      <w:szCs w:val="20"/>
    </w:rPr>
  </w:style>
  <w:style w:type="character" w:customStyle="1" w:styleId="Heading9Char">
    <w:name w:val="Heading 9 Char"/>
    <w:link w:val="Heading9"/>
    <w:rsid w:val="00091684"/>
    <w:rPr>
      <w:rFonts w:ascii="Cambria" w:eastAsia="Times New Roman" w:hAnsi="Cambria" w:cs="Times New Roman"/>
      <w:i/>
      <w:iCs/>
      <w:color w:val="404040"/>
      <w:sz w:val="20"/>
      <w:szCs w:val="20"/>
    </w:rPr>
  </w:style>
  <w:style w:type="paragraph" w:customStyle="1" w:styleId="EngineFuelTOCHeading1">
    <w:name w:val="EngineFuelTOCHeading1"/>
    <w:basedOn w:val="Normal"/>
    <w:link w:val="EngineFuelTOCHeading1Char"/>
    <w:qFormat/>
    <w:rsid w:val="00DB1D18"/>
    <w:pPr>
      <w:keepNext/>
      <w:tabs>
        <w:tab w:val="left" w:pos="360"/>
      </w:tabs>
      <w:spacing w:before="240" w:after="0"/>
      <w:outlineLvl w:val="5"/>
    </w:pPr>
    <w:rPr>
      <w:rFonts w:eastAsia="Times New Roman"/>
      <w:b/>
      <w:bCs/>
      <w:sz w:val="24"/>
      <w:szCs w:val="20"/>
    </w:rPr>
  </w:style>
  <w:style w:type="character" w:customStyle="1" w:styleId="EngineFuelTOCHeading1Char">
    <w:name w:val="EngineFuelTOCHeading1 Char"/>
    <w:link w:val="EngineFuelTOCHeading1"/>
    <w:locked/>
    <w:rsid w:val="00DB1D18"/>
    <w:rPr>
      <w:rFonts w:ascii="Times New Roman" w:eastAsia="Times New Roman" w:hAnsi="Times New Roman" w:cs="Times New Roman"/>
      <w:b/>
      <w:bCs/>
      <w:sz w:val="24"/>
      <w:szCs w:val="20"/>
    </w:rPr>
  </w:style>
  <w:style w:type="character" w:styleId="CommentReference">
    <w:name w:val="annotation reference"/>
    <w:uiPriority w:val="99"/>
    <w:rsid w:val="00103114"/>
    <w:rPr>
      <w:sz w:val="16"/>
      <w:szCs w:val="16"/>
    </w:rPr>
  </w:style>
  <w:style w:type="paragraph" w:styleId="CommentText">
    <w:name w:val="annotation text"/>
    <w:basedOn w:val="Normal"/>
    <w:link w:val="CommentTextChar"/>
    <w:uiPriority w:val="99"/>
    <w:rsid w:val="00103114"/>
    <w:pPr>
      <w:spacing w:after="0"/>
      <w:jc w:val="left"/>
    </w:pPr>
    <w:rPr>
      <w:rFonts w:eastAsia="Times New Roman"/>
      <w:szCs w:val="20"/>
    </w:rPr>
  </w:style>
  <w:style w:type="character" w:customStyle="1" w:styleId="CommentTextChar">
    <w:name w:val="Comment Text Char"/>
    <w:link w:val="CommentText"/>
    <w:uiPriority w:val="99"/>
    <w:rsid w:val="00103114"/>
    <w:rPr>
      <w:rFonts w:ascii="Times New Roman" w:eastAsia="Times New Roman" w:hAnsi="Times New Roman" w:cs="Times New Roman"/>
      <w:sz w:val="20"/>
      <w:szCs w:val="20"/>
    </w:rPr>
  </w:style>
  <w:style w:type="paragraph" w:styleId="Index9">
    <w:name w:val="index 9"/>
    <w:basedOn w:val="Normal"/>
    <w:next w:val="Normal"/>
    <w:autoRedefine/>
    <w:semiHidden/>
    <w:rsid w:val="004749E0"/>
    <w:pPr>
      <w:spacing w:after="0"/>
      <w:ind w:left="2160" w:hanging="240"/>
      <w:jc w:val="left"/>
    </w:pPr>
    <w:rPr>
      <w:rFonts w:ascii="Times" w:eastAsia="Times" w:hAnsi="Times"/>
      <w:szCs w:val="20"/>
    </w:rPr>
  </w:style>
  <w:style w:type="paragraph" w:styleId="BodyTextIndent">
    <w:name w:val="Body Text Indent"/>
    <w:basedOn w:val="Normal"/>
    <w:link w:val="BodyTextIndentChar"/>
    <w:unhideWhenUsed/>
    <w:rsid w:val="007223B0"/>
    <w:pPr>
      <w:spacing w:after="120"/>
      <w:ind w:left="360"/>
    </w:pPr>
  </w:style>
  <w:style w:type="character" w:customStyle="1" w:styleId="BodyTextIndentChar">
    <w:name w:val="Body Text Indent Char"/>
    <w:link w:val="BodyTextIndent"/>
    <w:rsid w:val="007223B0"/>
    <w:rPr>
      <w:rFonts w:ascii="Times New Roman" w:hAnsi="Times New Roman"/>
      <w:szCs w:val="22"/>
    </w:rPr>
  </w:style>
  <w:style w:type="character" w:customStyle="1" w:styleId="Style3Char">
    <w:name w:val="Style3 Char"/>
    <w:link w:val="Style3"/>
    <w:locked/>
    <w:rsid w:val="007223B0"/>
    <w:rPr>
      <w:b/>
      <w:color w:val="000000"/>
    </w:rPr>
  </w:style>
  <w:style w:type="paragraph" w:customStyle="1" w:styleId="Style3">
    <w:name w:val="Style3"/>
    <w:basedOn w:val="Normal"/>
    <w:link w:val="Style3Char"/>
    <w:rsid w:val="007223B0"/>
    <w:pPr>
      <w:keepNext/>
      <w:numPr>
        <w:numId w:val="7"/>
      </w:numPr>
      <w:spacing w:before="120" w:after="120"/>
    </w:pPr>
    <w:rPr>
      <w:rFonts w:ascii="Calibri" w:hAnsi="Calibri"/>
      <w:b/>
      <w:color w:val="000000"/>
      <w:szCs w:val="20"/>
    </w:rPr>
  </w:style>
  <w:style w:type="character" w:customStyle="1" w:styleId="Style4Char">
    <w:name w:val="Style4 Char"/>
    <w:link w:val="Style4"/>
    <w:locked/>
    <w:rsid w:val="007223B0"/>
    <w:rPr>
      <w:b/>
      <w:color w:val="000000"/>
    </w:rPr>
  </w:style>
  <w:style w:type="paragraph" w:customStyle="1" w:styleId="Style4">
    <w:name w:val="Style4"/>
    <w:basedOn w:val="Normal"/>
    <w:link w:val="Style4Char"/>
    <w:qFormat/>
    <w:rsid w:val="007223B0"/>
    <w:pPr>
      <w:keepNext/>
      <w:spacing w:before="60" w:after="80"/>
    </w:pPr>
    <w:rPr>
      <w:rFonts w:ascii="Calibri" w:hAnsi="Calibri"/>
      <w:b/>
      <w:color w:val="000000"/>
      <w:szCs w:val="20"/>
    </w:rPr>
  </w:style>
  <w:style w:type="paragraph" w:customStyle="1" w:styleId="Default">
    <w:name w:val="Default"/>
    <w:rsid w:val="00E865C9"/>
    <w:pPr>
      <w:autoSpaceDE w:val="0"/>
      <w:autoSpaceDN w:val="0"/>
      <w:adjustRightInd w:val="0"/>
    </w:pPr>
    <w:rPr>
      <w:rFonts w:ascii="Arial" w:eastAsia="Times New Roman" w:hAnsi="Arial" w:cs="Arial"/>
      <w:color w:val="000000"/>
      <w:sz w:val="24"/>
      <w:szCs w:val="24"/>
    </w:rPr>
  </w:style>
  <w:style w:type="character" w:customStyle="1" w:styleId="url">
    <w:name w:val="url"/>
    <w:rsid w:val="00E865C9"/>
  </w:style>
  <w:style w:type="character" w:customStyle="1" w:styleId="st">
    <w:name w:val="st"/>
    <w:rsid w:val="002C30A7"/>
  </w:style>
  <w:style w:type="paragraph" w:styleId="CommentSubject">
    <w:name w:val="annotation subject"/>
    <w:basedOn w:val="CommentText"/>
    <w:next w:val="CommentText"/>
    <w:link w:val="CommentSubjectChar"/>
    <w:uiPriority w:val="99"/>
    <w:unhideWhenUsed/>
    <w:rsid w:val="0091570A"/>
    <w:pPr>
      <w:spacing w:after="240"/>
      <w:jc w:val="both"/>
    </w:pPr>
    <w:rPr>
      <w:rFonts w:eastAsia="Calibri"/>
      <w:b/>
      <w:bCs/>
    </w:rPr>
  </w:style>
  <w:style w:type="character" w:customStyle="1" w:styleId="CommentSubjectChar">
    <w:name w:val="Comment Subject Char"/>
    <w:link w:val="CommentSubject"/>
    <w:uiPriority w:val="99"/>
    <w:rsid w:val="0091570A"/>
    <w:rPr>
      <w:rFonts w:ascii="Times New Roman" w:eastAsia="Times New Roman" w:hAnsi="Times New Roman" w:cs="Times New Roman"/>
      <w:b/>
      <w:bCs/>
      <w:sz w:val="20"/>
      <w:szCs w:val="20"/>
    </w:rPr>
  </w:style>
  <w:style w:type="paragraph" w:customStyle="1" w:styleId="PkgLabelLevel2">
    <w:name w:val="PkgLabelLevel2"/>
    <w:basedOn w:val="Normal"/>
    <w:link w:val="PkgLabelLevel2Char"/>
    <w:rsid w:val="00CB2407"/>
    <w:pPr>
      <w:spacing w:after="0"/>
    </w:pPr>
    <w:rPr>
      <w:rFonts w:eastAsia="Times New Roman"/>
      <w:szCs w:val="24"/>
    </w:rPr>
  </w:style>
  <w:style w:type="character" w:customStyle="1" w:styleId="PkgLabelLevel2Char">
    <w:name w:val="PkgLabelLevel2 Char"/>
    <w:link w:val="PkgLabelLevel2"/>
    <w:locked/>
    <w:rsid w:val="00CB2407"/>
    <w:rPr>
      <w:rFonts w:ascii="Times New Roman" w:eastAsia="Times New Roman" w:hAnsi="Times New Roman"/>
      <w:szCs w:val="24"/>
    </w:rPr>
  </w:style>
  <w:style w:type="paragraph" w:customStyle="1" w:styleId="PkgLabelLevel3">
    <w:name w:val="PkgLabelLevel3"/>
    <w:basedOn w:val="Normal"/>
    <w:next w:val="Normal"/>
    <w:link w:val="PkgLabelLevel3Char"/>
    <w:rsid w:val="00CB2407"/>
    <w:pPr>
      <w:spacing w:after="0"/>
      <w:ind w:left="360"/>
    </w:pPr>
    <w:rPr>
      <w:rFonts w:eastAsia="Times New Roman"/>
      <w:szCs w:val="24"/>
    </w:rPr>
  </w:style>
  <w:style w:type="character" w:customStyle="1" w:styleId="PkgLabelLevel3Char">
    <w:name w:val="PkgLabelLevel3 Char"/>
    <w:link w:val="PkgLabelLevel3"/>
    <w:locked/>
    <w:rsid w:val="00CB2407"/>
    <w:rPr>
      <w:rFonts w:ascii="Times New Roman" w:eastAsia="Times New Roman" w:hAnsi="Times New Roman"/>
      <w:szCs w:val="24"/>
    </w:rPr>
  </w:style>
  <w:style w:type="paragraph" w:customStyle="1" w:styleId="StyleHeading8Bold">
    <w:name w:val="Style Heading 8 + Bold"/>
    <w:basedOn w:val="Heading8"/>
    <w:link w:val="StyleHeading8BoldChar"/>
    <w:rsid w:val="00CB2407"/>
    <w:pPr>
      <w:keepNext w:val="0"/>
      <w:keepLines w:val="0"/>
      <w:spacing w:before="240" w:after="60"/>
      <w:ind w:left="360"/>
    </w:pPr>
    <w:rPr>
      <w:rFonts w:ascii="Times New Roman" w:hAnsi="Times New Roman"/>
      <w:b/>
      <w:bCs/>
      <w:color w:val="auto"/>
      <w:szCs w:val="24"/>
    </w:rPr>
  </w:style>
  <w:style w:type="character" w:customStyle="1" w:styleId="StyleHeading8BoldChar">
    <w:name w:val="Style Heading 8 + Bold Char"/>
    <w:link w:val="StyleHeading8Bold"/>
    <w:locked/>
    <w:rsid w:val="00CB2407"/>
    <w:rPr>
      <w:rFonts w:ascii="Times New Roman" w:eastAsia="Times New Roman" w:hAnsi="Times New Roman"/>
      <w:b/>
      <w:bCs/>
      <w:szCs w:val="24"/>
    </w:rPr>
  </w:style>
  <w:style w:type="character" w:customStyle="1" w:styleId="ColorfulList-Accent1Char">
    <w:name w:val="Colorful List - Accent 1 Char"/>
    <w:link w:val="ColorfulList-Accent11"/>
    <w:uiPriority w:val="1"/>
    <w:rsid w:val="00C449B1"/>
    <w:rPr>
      <w:rFonts w:ascii="Times New Roman" w:hAnsi="Times New Roman"/>
      <w:szCs w:val="22"/>
    </w:rPr>
  </w:style>
  <w:style w:type="paragraph" w:styleId="Caption">
    <w:name w:val="caption"/>
    <w:basedOn w:val="Normal"/>
    <w:next w:val="Normal"/>
    <w:qFormat/>
    <w:rsid w:val="00D706F6"/>
    <w:pPr>
      <w:spacing w:before="240" w:after="200"/>
      <w:jc w:val="center"/>
    </w:pPr>
    <w:rPr>
      <w:rFonts w:ascii="Calibri" w:hAnsi="Calibri"/>
      <w:b/>
      <w:bCs/>
      <w:color w:val="4F81BD"/>
      <w:sz w:val="18"/>
      <w:szCs w:val="18"/>
    </w:rPr>
  </w:style>
  <w:style w:type="table" w:styleId="ColorfulList-Accent6">
    <w:name w:val="Colorful List Accent 6"/>
    <w:basedOn w:val="TableNormal"/>
    <w:uiPriority w:val="63"/>
    <w:rsid w:val="00D706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DarkList-Accent3">
    <w:name w:val="Dark List Accent 3"/>
    <w:basedOn w:val="TableNormal"/>
    <w:uiPriority w:val="61"/>
    <w:rsid w:val="00D706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DarkList-Accent5">
    <w:name w:val="Dark List Accent 5"/>
    <w:basedOn w:val="TableNormal"/>
    <w:uiPriority w:val="61"/>
    <w:rsid w:val="00D706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HeadingXX">
    <w:name w:val="Heading X.X."/>
    <w:basedOn w:val="Normal"/>
    <w:link w:val="HeadingXXChar"/>
    <w:qFormat/>
    <w:rsid w:val="00D706F6"/>
    <w:pPr>
      <w:spacing w:after="0"/>
      <w:ind w:left="720" w:hanging="720"/>
      <w:jc w:val="left"/>
    </w:pPr>
    <w:rPr>
      <w:b/>
      <w:sz w:val="24"/>
      <w:szCs w:val="24"/>
    </w:rPr>
  </w:style>
  <w:style w:type="paragraph" w:customStyle="1" w:styleId="HeadingXXX">
    <w:name w:val="Heading X.X.X."/>
    <w:basedOn w:val="Normal"/>
    <w:link w:val="HeadingXXXChar"/>
    <w:qFormat/>
    <w:rsid w:val="00D706F6"/>
    <w:pPr>
      <w:spacing w:after="200"/>
      <w:ind w:left="1080" w:hanging="720"/>
      <w:jc w:val="left"/>
    </w:pPr>
    <w:rPr>
      <w:b/>
      <w:sz w:val="24"/>
      <w:szCs w:val="24"/>
    </w:rPr>
  </w:style>
  <w:style w:type="character" w:customStyle="1" w:styleId="HeadingXXChar">
    <w:name w:val="Heading X.X. Char"/>
    <w:link w:val="HeadingXX"/>
    <w:rsid w:val="00D706F6"/>
    <w:rPr>
      <w:rFonts w:ascii="Times New Roman" w:hAnsi="Times New Roman"/>
      <w:b/>
      <w:sz w:val="24"/>
      <w:szCs w:val="24"/>
    </w:rPr>
  </w:style>
  <w:style w:type="paragraph" w:customStyle="1" w:styleId="BulletsLvl1">
    <w:name w:val="Bullets Lvl 1"/>
    <w:basedOn w:val="ColorfulList-Accent11"/>
    <w:link w:val="BulletsLvl1Char"/>
    <w:qFormat/>
    <w:rsid w:val="00D706F6"/>
    <w:pPr>
      <w:numPr>
        <w:numId w:val="8"/>
      </w:numPr>
      <w:spacing w:after="200"/>
      <w:contextualSpacing w:val="0"/>
    </w:pPr>
    <w:rPr>
      <w:sz w:val="24"/>
      <w:szCs w:val="24"/>
    </w:rPr>
  </w:style>
  <w:style w:type="character" w:customStyle="1" w:styleId="HeadingXXXChar">
    <w:name w:val="Heading X.X.X. Char"/>
    <w:link w:val="HeadingXXX"/>
    <w:rsid w:val="00D706F6"/>
    <w:rPr>
      <w:rFonts w:ascii="Times New Roman" w:hAnsi="Times New Roman"/>
      <w:b/>
      <w:sz w:val="24"/>
      <w:szCs w:val="24"/>
    </w:rPr>
  </w:style>
  <w:style w:type="paragraph" w:customStyle="1" w:styleId="Firstlvl1">
    <w:name w:val="First lvl 1."/>
    <w:basedOn w:val="Normal"/>
    <w:link w:val="Firstlvl1Char"/>
    <w:qFormat/>
    <w:rsid w:val="00D706F6"/>
    <w:pPr>
      <w:tabs>
        <w:tab w:val="left" w:pos="720"/>
        <w:tab w:val="left" w:pos="1080"/>
      </w:tabs>
      <w:spacing w:before="240" w:after="200"/>
      <w:ind w:left="720"/>
    </w:pPr>
    <w:rPr>
      <w:sz w:val="24"/>
      <w:szCs w:val="24"/>
    </w:rPr>
  </w:style>
  <w:style w:type="character" w:customStyle="1" w:styleId="BulletsLvl1Char">
    <w:name w:val="Bullets Lvl 1 Char"/>
    <w:link w:val="BulletsLvl1"/>
    <w:rsid w:val="00D706F6"/>
    <w:rPr>
      <w:rFonts w:ascii="Times New Roman" w:hAnsi="Times New Roman"/>
      <w:sz w:val="24"/>
      <w:szCs w:val="24"/>
    </w:rPr>
  </w:style>
  <w:style w:type="paragraph" w:customStyle="1" w:styleId="Style1">
    <w:name w:val="Style1"/>
    <w:basedOn w:val="ColorfulList-Accent11"/>
    <w:link w:val="Style1Char"/>
    <w:qFormat/>
    <w:rsid w:val="00D706F6"/>
    <w:pPr>
      <w:tabs>
        <w:tab w:val="left" w:pos="720"/>
        <w:tab w:val="left" w:pos="1890"/>
      </w:tabs>
      <w:spacing w:after="200"/>
      <w:ind w:left="0"/>
      <w:contextualSpacing w:val="0"/>
    </w:pPr>
    <w:rPr>
      <w:sz w:val="24"/>
      <w:szCs w:val="24"/>
    </w:rPr>
  </w:style>
  <w:style w:type="character" w:customStyle="1" w:styleId="Firstlvl1Char">
    <w:name w:val="First lvl 1. Char"/>
    <w:link w:val="Firstlvl1"/>
    <w:rsid w:val="00D706F6"/>
    <w:rPr>
      <w:rFonts w:ascii="Times New Roman" w:hAnsi="Times New Roman"/>
      <w:sz w:val="24"/>
      <w:szCs w:val="24"/>
    </w:rPr>
  </w:style>
  <w:style w:type="character" w:customStyle="1" w:styleId="Style1Char">
    <w:name w:val="Style1 Char"/>
    <w:link w:val="Style1"/>
    <w:rsid w:val="00D706F6"/>
    <w:rPr>
      <w:rFonts w:ascii="Times New Roman" w:hAnsi="Times New Roman"/>
      <w:sz w:val="24"/>
      <w:szCs w:val="24"/>
    </w:rPr>
  </w:style>
  <w:style w:type="character" w:styleId="PageNumber">
    <w:name w:val="page number"/>
    <w:rsid w:val="009D1F24"/>
  </w:style>
  <w:style w:type="paragraph" w:customStyle="1" w:styleId="MediumGrid21">
    <w:name w:val="Medium Grid 21"/>
    <w:uiPriority w:val="1"/>
    <w:qFormat/>
    <w:rsid w:val="00724837"/>
    <w:pPr>
      <w:jc w:val="both"/>
    </w:pPr>
    <w:rPr>
      <w:sz w:val="22"/>
      <w:szCs w:val="22"/>
    </w:rPr>
  </w:style>
  <w:style w:type="table" w:customStyle="1" w:styleId="TableGrid1">
    <w:name w:val="Table Grid1"/>
    <w:basedOn w:val="TableNormal"/>
    <w:next w:val="TableGrid"/>
    <w:uiPriority w:val="59"/>
    <w:rsid w:val="00352049"/>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54E5"/>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gineFuelTOC4thLevelChar">
    <w:name w:val="EngineFuelTOC4thLevel Char"/>
    <w:link w:val="EngineFuelTOC4thLevel"/>
    <w:locked/>
    <w:rsid w:val="00646AD8"/>
    <w:rPr>
      <w:rFonts w:ascii="Times New Roman" w:eastAsia="Times New Roman" w:hAnsi="Times New Roman"/>
      <w:b/>
      <w:bCs/>
      <w:szCs w:val="24"/>
    </w:rPr>
  </w:style>
  <w:style w:type="paragraph" w:customStyle="1" w:styleId="EngineFuelTOC4thLevel">
    <w:name w:val="EngineFuelTOC4thLevel"/>
    <w:basedOn w:val="Normal"/>
    <w:next w:val="Normal"/>
    <w:link w:val="EngineFuelTOC4thLevelChar"/>
    <w:rsid w:val="00646AD8"/>
    <w:pPr>
      <w:spacing w:after="0"/>
      <w:ind w:left="360"/>
    </w:pPr>
    <w:rPr>
      <w:rFonts w:eastAsia="Times New Roman"/>
      <w:b/>
      <w:bCs/>
      <w:szCs w:val="24"/>
    </w:rPr>
  </w:style>
  <w:style w:type="table" w:customStyle="1" w:styleId="TableGrid3">
    <w:name w:val="Table Grid3"/>
    <w:basedOn w:val="TableNormal"/>
    <w:next w:val="TableGrid"/>
    <w:uiPriority w:val="59"/>
    <w:rsid w:val="009E78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6027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
    <w:name w:val="Exhibit"/>
    <w:basedOn w:val="Normal"/>
    <w:link w:val="ExhibitChar"/>
    <w:qFormat/>
    <w:rsid w:val="00E60275"/>
    <w:pPr>
      <w:keepNext/>
      <w:ind w:left="660"/>
    </w:pPr>
    <w:rPr>
      <w:b/>
      <w:bCs/>
      <w:color w:val="365F91"/>
      <w:sz w:val="18"/>
      <w:szCs w:val="18"/>
    </w:rPr>
  </w:style>
  <w:style w:type="character" w:customStyle="1" w:styleId="ExhibitChar">
    <w:name w:val="Exhibit Char"/>
    <w:link w:val="Exhibit"/>
    <w:rsid w:val="00E60275"/>
    <w:rPr>
      <w:rFonts w:ascii="Times New Roman" w:hAnsi="Times New Roman"/>
      <w:b/>
      <w:bCs/>
      <w:color w:val="365F91"/>
      <w:sz w:val="18"/>
      <w:szCs w:val="18"/>
    </w:rPr>
  </w:style>
  <w:style w:type="character" w:customStyle="1" w:styleId="formulacss1">
    <w:name w:val="formulacss1"/>
    <w:rsid w:val="00562B61"/>
    <w:rPr>
      <w:rFonts w:ascii="Georgia" w:hAnsi="Georgia" w:hint="default"/>
      <w:sz w:val="18"/>
      <w:szCs w:val="18"/>
    </w:rPr>
  </w:style>
  <w:style w:type="paragraph" w:styleId="NormalWeb">
    <w:name w:val="Normal (Web)"/>
    <w:basedOn w:val="Normal"/>
    <w:uiPriority w:val="99"/>
    <w:unhideWhenUsed/>
    <w:rsid w:val="00562B61"/>
    <w:pPr>
      <w:spacing w:before="100" w:beforeAutospacing="1" w:after="100" w:afterAutospacing="1"/>
      <w:jc w:val="left"/>
    </w:pPr>
    <w:rPr>
      <w:rFonts w:eastAsia="Times New Roman"/>
      <w:sz w:val="24"/>
      <w:szCs w:val="24"/>
    </w:rPr>
  </w:style>
  <w:style w:type="character" w:customStyle="1" w:styleId="GridTable1Light1">
    <w:name w:val="Grid Table 1 Light1"/>
    <w:uiPriority w:val="33"/>
    <w:qFormat/>
    <w:rsid w:val="00562B61"/>
    <w:rPr>
      <w:b/>
      <w:bCs/>
      <w:smallCaps/>
      <w:spacing w:val="5"/>
    </w:rPr>
  </w:style>
  <w:style w:type="paragraph" w:customStyle="1" w:styleId="StyleHeading3Bold">
    <w:name w:val="Style Heading 3 + Bold"/>
    <w:basedOn w:val="Heading3"/>
    <w:link w:val="StyleHeading3BoldChar"/>
    <w:rsid w:val="00562B61"/>
    <w:pPr>
      <w:keepLines w:val="0"/>
      <w:tabs>
        <w:tab w:val="left" w:pos="720"/>
      </w:tabs>
      <w:spacing w:before="60" w:after="60"/>
    </w:pPr>
    <w:rPr>
      <w:b w:val="0"/>
      <w:bCs w:val="0"/>
      <w:color w:val="000000"/>
      <w:sz w:val="20"/>
      <w:szCs w:val="20"/>
      <w:lang w:val="x-none" w:eastAsia="x-none"/>
    </w:rPr>
  </w:style>
  <w:style w:type="paragraph" w:customStyle="1" w:styleId="HB133H2a0">
    <w:name w:val="HB133 H2 a."/>
    <w:basedOn w:val="Normal"/>
    <w:link w:val="HB133H2aChar"/>
    <w:qFormat/>
    <w:rsid w:val="00562B61"/>
    <w:pPr>
      <w:keepNext/>
      <w:numPr>
        <w:numId w:val="9"/>
      </w:numPr>
      <w:tabs>
        <w:tab w:val="left" w:pos="0"/>
        <w:tab w:val="left" w:pos="360"/>
        <w:tab w:val="left" w:pos="720"/>
        <w:tab w:val="left" w:pos="1260"/>
      </w:tabs>
      <w:spacing w:before="240"/>
      <w:outlineLvl w:val="1"/>
    </w:pPr>
    <w:rPr>
      <w:rFonts w:eastAsia="Times New Roman"/>
      <w:b/>
      <w:color w:val="000000"/>
      <w:sz w:val="22"/>
      <w:szCs w:val="20"/>
    </w:rPr>
  </w:style>
  <w:style w:type="character" w:customStyle="1" w:styleId="HB133H2aChar">
    <w:name w:val="HB133 H2 a. Char"/>
    <w:link w:val="HB133H2a0"/>
    <w:rsid w:val="00562B61"/>
    <w:rPr>
      <w:rFonts w:ascii="Times New Roman" w:eastAsia="Times New Roman" w:hAnsi="Times New Roman"/>
      <w:b/>
      <w:color w:val="000000"/>
      <w:sz w:val="22"/>
    </w:rPr>
  </w:style>
  <w:style w:type="paragraph" w:styleId="ListBullet">
    <w:name w:val="List Bullet"/>
    <w:basedOn w:val="Normal"/>
    <w:unhideWhenUsed/>
    <w:rsid w:val="00562B61"/>
    <w:pPr>
      <w:numPr>
        <w:numId w:val="10"/>
      </w:numPr>
      <w:contextualSpacing/>
      <w:jc w:val="left"/>
    </w:pPr>
    <w:rPr>
      <w:rFonts w:ascii="Calibri" w:hAnsi="Calibri"/>
      <w:sz w:val="22"/>
    </w:rPr>
  </w:style>
  <w:style w:type="table" w:customStyle="1" w:styleId="TableGrid5">
    <w:name w:val="Table Grid5"/>
    <w:basedOn w:val="TableNormal"/>
    <w:next w:val="TableGrid"/>
    <w:uiPriority w:val="59"/>
    <w:rsid w:val="0083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A59AD"/>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61">
    <w:name w:val="Medium Shading 1 - Accent 61"/>
    <w:basedOn w:val="TableNormal"/>
    <w:next w:val="ColorfulList-Accent6"/>
    <w:uiPriority w:val="63"/>
    <w:rsid w:val="001A59AD"/>
    <w:pPr>
      <w:jc w:val="center"/>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31">
    <w:name w:val="Light List - Accent 31"/>
    <w:basedOn w:val="TableNormal"/>
    <w:next w:val="DarkList-Accent3"/>
    <w:uiPriority w:val="61"/>
    <w:rsid w:val="001A59AD"/>
    <w:pPr>
      <w:jc w:val="center"/>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51">
    <w:name w:val="Light List - Accent 51"/>
    <w:basedOn w:val="TableNormal"/>
    <w:next w:val="DarkList-Accent5"/>
    <w:uiPriority w:val="61"/>
    <w:rsid w:val="001A59AD"/>
    <w:pPr>
      <w:jc w:val="center"/>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tyleBefore3ptAfter12ptChar">
    <w:name w:val="Style Before:  3 pt After:  12 pt Char"/>
    <w:link w:val="StyleBefore3ptAfter12pt"/>
    <w:locked/>
    <w:rsid w:val="00261332"/>
  </w:style>
  <w:style w:type="paragraph" w:customStyle="1" w:styleId="StyleBefore3ptAfter12pt">
    <w:name w:val="Style Before:  3 pt After:  12 pt"/>
    <w:basedOn w:val="Normal"/>
    <w:link w:val="StyleBefore3ptAfter12ptChar"/>
    <w:rsid w:val="00261332"/>
    <w:pPr>
      <w:spacing w:before="60" w:after="0"/>
    </w:pPr>
    <w:rPr>
      <w:rFonts w:ascii="Calibri" w:hAnsi="Calibri"/>
      <w:szCs w:val="20"/>
    </w:rPr>
  </w:style>
  <w:style w:type="paragraph" w:customStyle="1" w:styleId="Left050">
    <w:name w:val="Left: 0.50"/>
    <w:aliases w:val="Before 3 pt&quot;"/>
    <w:basedOn w:val="StyleBefore3ptAfter12pt"/>
    <w:rsid w:val="00261332"/>
    <w:pPr>
      <w:ind w:firstLine="720"/>
    </w:pPr>
  </w:style>
  <w:style w:type="character" w:customStyle="1" w:styleId="PkgLabelLevel1Char">
    <w:name w:val="PkgLabelLevel1 Char"/>
    <w:link w:val="PkgLabelLevel1"/>
    <w:locked/>
    <w:rsid w:val="00261332"/>
    <w:rPr>
      <w:b/>
      <w:bCs/>
      <w:sz w:val="24"/>
      <w:szCs w:val="22"/>
    </w:rPr>
  </w:style>
  <w:style w:type="paragraph" w:customStyle="1" w:styleId="PkgLabelLevel1">
    <w:name w:val="PkgLabelLevel1"/>
    <w:basedOn w:val="Heading6"/>
    <w:link w:val="PkgLabelLevel1Char"/>
    <w:rsid w:val="00261332"/>
    <w:pPr>
      <w:keepNext/>
      <w:tabs>
        <w:tab w:val="left" w:pos="360"/>
      </w:tabs>
    </w:pPr>
    <w:rPr>
      <w:rFonts w:eastAsia="Calibri"/>
      <w:sz w:val="24"/>
    </w:rPr>
  </w:style>
  <w:style w:type="character" w:customStyle="1" w:styleId="Heading6Char">
    <w:name w:val="Heading 6 Char"/>
    <w:link w:val="Heading6"/>
    <w:rsid w:val="00261332"/>
    <w:rPr>
      <w:rFonts w:ascii="Calibri" w:eastAsia="Times New Roman" w:hAnsi="Calibri" w:cs="Times New Roman"/>
      <w:b/>
      <w:bCs/>
      <w:sz w:val="22"/>
      <w:szCs w:val="22"/>
    </w:rPr>
  </w:style>
  <w:style w:type="paragraph" w:customStyle="1" w:styleId="a">
    <w:name w:val="(a)"/>
    <w:basedOn w:val="Normal"/>
    <w:link w:val="aChar"/>
    <w:qFormat/>
    <w:rsid w:val="0059759B"/>
    <w:pPr>
      <w:numPr>
        <w:numId w:val="20"/>
      </w:numPr>
      <w:tabs>
        <w:tab w:val="left" w:pos="720"/>
        <w:tab w:val="left" w:pos="9720"/>
      </w:tabs>
      <w:spacing w:after="0"/>
    </w:pPr>
    <w:rPr>
      <w:rFonts w:eastAsia="Times New Roman"/>
      <w:bCs/>
      <w:szCs w:val="24"/>
    </w:rPr>
  </w:style>
  <w:style w:type="character" w:styleId="Strong">
    <w:name w:val="Strong"/>
    <w:qFormat/>
    <w:rsid w:val="0007743B"/>
    <w:rPr>
      <w:rFonts w:ascii="Times New Roman" w:hAnsi="Times New Roman" w:cs="Times New Roman" w:hint="default"/>
      <w:b/>
      <w:bCs/>
    </w:rPr>
  </w:style>
  <w:style w:type="table" w:customStyle="1" w:styleId="TableGrid8">
    <w:name w:val="Table Grid8"/>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82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B133H2">
    <w:name w:val="HB133 H2"/>
    <w:basedOn w:val="Normal"/>
    <w:link w:val="HB133H2Char"/>
    <w:autoRedefine/>
    <w:qFormat/>
    <w:rsid w:val="00955437"/>
    <w:pPr>
      <w:keepNext/>
      <w:tabs>
        <w:tab w:val="left" w:pos="0"/>
        <w:tab w:val="left" w:pos="360"/>
        <w:tab w:val="left" w:pos="720"/>
        <w:tab w:val="left" w:pos="1440"/>
      </w:tabs>
      <w:spacing w:before="240"/>
      <w:ind w:left="720"/>
      <w:outlineLvl w:val="1"/>
    </w:pPr>
    <w:rPr>
      <w:rFonts w:eastAsia="Times New Roman"/>
      <w:b/>
      <w:color w:val="000000"/>
      <w:szCs w:val="20"/>
    </w:rPr>
  </w:style>
  <w:style w:type="character" w:customStyle="1" w:styleId="HB133H2Char">
    <w:name w:val="HB133 H2 Char"/>
    <w:link w:val="HB133H2"/>
    <w:rsid w:val="00955437"/>
    <w:rPr>
      <w:rFonts w:ascii="Times New Roman" w:eastAsia="Times New Roman" w:hAnsi="Times New Roman"/>
      <w:b/>
      <w:color w:val="000000"/>
    </w:rPr>
  </w:style>
  <w:style w:type="paragraph" w:styleId="BodyTextIndent3">
    <w:name w:val="Body Text Indent 3"/>
    <w:basedOn w:val="Normal"/>
    <w:link w:val="BodyTextIndent3Char"/>
    <w:unhideWhenUsed/>
    <w:rsid w:val="005A536A"/>
    <w:pPr>
      <w:spacing w:after="120"/>
      <w:ind w:left="360"/>
    </w:pPr>
    <w:rPr>
      <w:sz w:val="16"/>
      <w:szCs w:val="16"/>
    </w:rPr>
  </w:style>
  <w:style w:type="character" w:customStyle="1" w:styleId="BodyTextIndent3Char">
    <w:name w:val="Body Text Indent 3 Char"/>
    <w:link w:val="BodyTextIndent3"/>
    <w:rsid w:val="005A536A"/>
    <w:rPr>
      <w:rFonts w:ascii="Times New Roman" w:hAnsi="Times New Roman"/>
      <w:sz w:val="16"/>
      <w:szCs w:val="16"/>
    </w:rPr>
  </w:style>
  <w:style w:type="paragraph" w:customStyle="1" w:styleId="HB133H1">
    <w:name w:val="HB133 H1"/>
    <w:basedOn w:val="Normal"/>
    <w:link w:val="HB133H1Char"/>
    <w:qFormat/>
    <w:rsid w:val="005A536A"/>
    <w:pPr>
      <w:keepNext/>
      <w:spacing w:before="240"/>
      <w:ind w:left="720" w:hanging="720"/>
      <w:outlineLvl w:val="0"/>
    </w:pPr>
    <w:rPr>
      <w:rFonts w:eastAsia="Times New Roman"/>
      <w:b/>
      <w:color w:val="000000"/>
      <w:sz w:val="24"/>
      <w:szCs w:val="20"/>
    </w:rPr>
  </w:style>
  <w:style w:type="character" w:customStyle="1" w:styleId="HB133H1Char">
    <w:name w:val="HB133 H1 Char"/>
    <w:link w:val="HB133H1"/>
    <w:rsid w:val="005A536A"/>
    <w:rPr>
      <w:rFonts w:ascii="Times New Roman" w:eastAsia="Times New Roman" w:hAnsi="Times New Roman"/>
      <w:b/>
      <w:color w:val="000000"/>
      <w:sz w:val="24"/>
    </w:rPr>
  </w:style>
  <w:style w:type="paragraph" w:customStyle="1" w:styleId="UniformLevel1">
    <w:name w:val="UniformLevel1"/>
    <w:basedOn w:val="Heading6"/>
    <w:link w:val="UniformLevel1Char"/>
    <w:rsid w:val="00244160"/>
    <w:pPr>
      <w:keepNext/>
      <w:tabs>
        <w:tab w:val="left" w:pos="360"/>
      </w:tabs>
    </w:pPr>
    <w:rPr>
      <w:rFonts w:ascii="Times New Roman" w:hAnsi="Times New Roman"/>
      <w:sz w:val="24"/>
    </w:rPr>
  </w:style>
  <w:style w:type="character" w:customStyle="1" w:styleId="UniformLevel1Char">
    <w:name w:val="UniformLevel1 Char"/>
    <w:link w:val="UniformLevel1"/>
    <w:locked/>
    <w:rsid w:val="00244160"/>
    <w:rPr>
      <w:rFonts w:ascii="Times New Roman" w:eastAsia="Times New Roman" w:hAnsi="Times New Roman"/>
      <w:b/>
      <w:bCs/>
      <w:sz w:val="24"/>
      <w:szCs w:val="22"/>
    </w:rPr>
  </w:style>
  <w:style w:type="character" w:customStyle="1" w:styleId="Mention1">
    <w:name w:val="Mention1"/>
    <w:uiPriority w:val="99"/>
    <w:semiHidden/>
    <w:unhideWhenUsed/>
    <w:rsid w:val="008E7A4F"/>
    <w:rPr>
      <w:color w:val="2B579A"/>
      <w:shd w:val="clear" w:color="auto" w:fill="E6E6E6"/>
    </w:rPr>
  </w:style>
  <w:style w:type="character" w:customStyle="1" w:styleId="StyleHeading3BoldChar">
    <w:name w:val="Style Heading 3 + Bold Char"/>
    <w:link w:val="StyleHeading3Bold"/>
    <w:rsid w:val="00A267C1"/>
    <w:rPr>
      <w:rFonts w:ascii="Times New Roman" w:eastAsia="Times New Roman" w:hAnsi="Times New Roman"/>
      <w:color w:val="000000"/>
      <w:lang w:val="x-none" w:eastAsia="x-none"/>
    </w:rPr>
  </w:style>
  <w:style w:type="paragraph" w:styleId="Revision">
    <w:name w:val="Revision"/>
    <w:hidden/>
    <w:uiPriority w:val="99"/>
    <w:semiHidden/>
    <w:rsid w:val="001070BE"/>
    <w:rPr>
      <w:rFonts w:ascii="Times New Roman" w:hAnsi="Times New Roman"/>
      <w:szCs w:val="22"/>
    </w:rPr>
  </w:style>
  <w:style w:type="paragraph" w:customStyle="1" w:styleId="HB133H2a">
    <w:name w:val="HB133 H2a"/>
    <w:basedOn w:val="ListParagraph"/>
    <w:link w:val="HB133H2aChar0"/>
    <w:qFormat/>
    <w:rsid w:val="00D93BC5"/>
    <w:pPr>
      <w:numPr>
        <w:numId w:val="23"/>
      </w:numPr>
      <w:spacing w:before="240"/>
      <w:contextualSpacing/>
      <w:outlineLvl w:val="1"/>
    </w:pPr>
    <w:rPr>
      <w:rFonts w:eastAsia="Times New Roman"/>
      <w:b/>
      <w:color w:val="000000"/>
      <w:sz w:val="22"/>
      <w:szCs w:val="20"/>
    </w:rPr>
  </w:style>
  <w:style w:type="paragraph" w:styleId="ListParagraph">
    <w:name w:val="List Paragraph"/>
    <w:aliases w:val="Numbered List"/>
    <w:basedOn w:val="Normal"/>
    <w:link w:val="ListParagraphChar"/>
    <w:uiPriority w:val="34"/>
    <w:qFormat/>
    <w:rsid w:val="00D93BC5"/>
    <w:pPr>
      <w:ind w:left="720"/>
    </w:pPr>
  </w:style>
  <w:style w:type="character" w:customStyle="1" w:styleId="Heading5Char">
    <w:name w:val="Heading 5 Char"/>
    <w:link w:val="Heading5"/>
    <w:rsid w:val="008030C8"/>
    <w:rPr>
      <w:rFonts w:ascii="Times New Roman" w:eastAsia="Times New Roman" w:hAnsi="Times New Roman"/>
      <w:b/>
      <w:bCs/>
      <w:i/>
      <w:iCs/>
      <w:sz w:val="26"/>
      <w:szCs w:val="26"/>
    </w:rPr>
  </w:style>
  <w:style w:type="paragraph" w:customStyle="1" w:styleId="SectionHeader">
    <w:name w:val="Section Header"/>
    <w:basedOn w:val="TOC1"/>
    <w:rsid w:val="008030C8"/>
    <w:pPr>
      <w:keepNext w:val="0"/>
      <w:tabs>
        <w:tab w:val="left" w:pos="864"/>
        <w:tab w:val="center" w:pos="965"/>
        <w:tab w:val="left" w:pos="1267"/>
        <w:tab w:val="right" w:leader="dot" w:pos="9720"/>
      </w:tabs>
      <w:spacing w:before="240" w:after="200"/>
      <w:ind w:left="720" w:hanging="720"/>
    </w:pPr>
    <w:rPr>
      <w:rFonts w:ascii="Times New Roman" w:hAnsi="Times New Roman"/>
      <w:caps w:val="0"/>
      <w:noProof/>
      <w:color w:val="auto"/>
      <w:lang w:eastAsia="en-US"/>
    </w:rPr>
  </w:style>
  <w:style w:type="paragraph" w:customStyle="1" w:styleId="MainTOC1">
    <w:name w:val="Main TOC1"/>
    <w:basedOn w:val="Normal"/>
    <w:rsid w:val="008030C8"/>
    <w:pPr>
      <w:spacing w:after="0"/>
    </w:pPr>
    <w:rPr>
      <w:rFonts w:eastAsia="Times New Roman"/>
      <w:b/>
      <w:bCs/>
      <w:sz w:val="28"/>
      <w:szCs w:val="28"/>
    </w:rPr>
  </w:style>
  <w:style w:type="character" w:customStyle="1" w:styleId="CharChar">
    <w:name w:val="Char Char"/>
    <w:rsid w:val="008030C8"/>
    <w:rPr>
      <w:rFonts w:cs="Times New Roman"/>
      <w:b/>
      <w:bCs/>
      <w:sz w:val="22"/>
      <w:szCs w:val="22"/>
      <w:lang w:val="en-US" w:eastAsia="en-US" w:bidi="ar-SA"/>
    </w:rPr>
  </w:style>
  <w:style w:type="paragraph" w:customStyle="1" w:styleId="Style14ptBoldCenteredBefore12ptAfter6pt">
    <w:name w:val="Style 14 pt Bold Centered Before:  12 pt After:  6 pt"/>
    <w:basedOn w:val="Normal"/>
    <w:link w:val="Style14ptBoldCenteredBefore12ptAfter6ptChar1"/>
    <w:rsid w:val="008030C8"/>
    <w:pPr>
      <w:spacing w:before="120" w:after="0"/>
      <w:jc w:val="center"/>
    </w:pPr>
    <w:rPr>
      <w:rFonts w:eastAsia="Times New Roman"/>
      <w:b/>
      <w:bCs/>
      <w:sz w:val="28"/>
      <w:szCs w:val="20"/>
    </w:rPr>
  </w:style>
  <w:style w:type="paragraph" w:styleId="BlockText">
    <w:name w:val="Block Text"/>
    <w:basedOn w:val="Normal"/>
    <w:link w:val="BlockTextChar"/>
    <w:rsid w:val="008030C8"/>
    <w:pPr>
      <w:framePr w:w="432" w:h="1872" w:wrap="auto" w:vAnchor="text" w:hAnchor="margin" w:xAlign="right" w:yAlign="top"/>
      <w:spacing w:after="0"/>
      <w:ind w:left="113" w:right="113"/>
      <w:jc w:val="center"/>
    </w:pPr>
    <w:rPr>
      <w:rFonts w:eastAsia="Times New Roman"/>
      <w:szCs w:val="20"/>
    </w:rPr>
  </w:style>
  <w:style w:type="paragraph" w:customStyle="1" w:styleId="TOC20">
    <w:name w:val="TOC2"/>
    <w:basedOn w:val="Normal"/>
    <w:rsid w:val="008030C8"/>
    <w:pPr>
      <w:spacing w:after="0"/>
      <w:jc w:val="center"/>
    </w:pPr>
    <w:rPr>
      <w:rFonts w:eastAsia="Times New Roman"/>
      <w:b/>
      <w:sz w:val="28"/>
      <w:szCs w:val="24"/>
    </w:rPr>
  </w:style>
  <w:style w:type="paragraph" w:customStyle="1" w:styleId="MainTOC">
    <w:name w:val="Main TOC"/>
    <w:basedOn w:val="Normal"/>
    <w:rsid w:val="008030C8"/>
    <w:pPr>
      <w:spacing w:after="0"/>
      <w:jc w:val="center"/>
    </w:pPr>
    <w:rPr>
      <w:rFonts w:eastAsia="Times New Roman"/>
      <w:b/>
      <w:sz w:val="28"/>
      <w:szCs w:val="24"/>
    </w:rPr>
  </w:style>
  <w:style w:type="paragraph" w:customStyle="1" w:styleId="MainTOC2">
    <w:name w:val="Main TOC2"/>
    <w:basedOn w:val="Normal"/>
    <w:rsid w:val="008030C8"/>
    <w:pPr>
      <w:spacing w:after="0"/>
      <w:jc w:val="center"/>
    </w:pPr>
    <w:rPr>
      <w:rFonts w:eastAsia="Times New Roman"/>
      <w:b/>
      <w:sz w:val="28"/>
      <w:szCs w:val="24"/>
    </w:rPr>
  </w:style>
  <w:style w:type="paragraph" w:customStyle="1" w:styleId="StyleMainTOC1Centered">
    <w:name w:val="Style Main TOC1 + Centered"/>
    <w:basedOn w:val="MainTOC1"/>
    <w:next w:val="MainTOC2"/>
    <w:rsid w:val="008030C8"/>
    <w:pPr>
      <w:jc w:val="center"/>
    </w:pPr>
    <w:rPr>
      <w:szCs w:val="20"/>
    </w:rPr>
  </w:style>
  <w:style w:type="paragraph" w:customStyle="1" w:styleId="StyleLeft05Hanging025Right008">
    <w:name w:val="Style Left:  0.5&quot; Hanging:  0.25&quot; Right:  0.08&quot;"/>
    <w:basedOn w:val="Normal"/>
    <w:rsid w:val="008030C8"/>
    <w:pPr>
      <w:tabs>
        <w:tab w:val="left" w:pos="1080"/>
      </w:tabs>
      <w:spacing w:after="0"/>
      <w:ind w:left="1080" w:right="113" w:hanging="360"/>
    </w:pPr>
    <w:rPr>
      <w:rFonts w:eastAsia="Times New Roman"/>
      <w:szCs w:val="20"/>
    </w:rPr>
  </w:style>
  <w:style w:type="paragraph" w:customStyle="1" w:styleId="a0">
    <w:name w:val="_"/>
    <w:rsid w:val="008030C8"/>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rFonts w:ascii="Times New Roman" w:eastAsia="Times New Roman" w:hAnsi="Times New Roman"/>
      <w:szCs w:val="24"/>
    </w:rPr>
  </w:style>
  <w:style w:type="paragraph" w:customStyle="1" w:styleId="StyleJustified">
    <w:name w:val="Style _ + Justified"/>
    <w:basedOn w:val="a0"/>
    <w:rsid w:val="008030C8"/>
    <w:pPr>
      <w:jc w:val="both"/>
    </w:pPr>
    <w:rPr>
      <w:szCs w:val="20"/>
    </w:rPr>
  </w:style>
  <w:style w:type="paragraph" w:customStyle="1" w:styleId="StyleHeading6NotBold">
    <w:name w:val="Style Heading 6 + Not Bold"/>
    <w:basedOn w:val="Heading6"/>
    <w:rsid w:val="008030C8"/>
    <w:pPr>
      <w:keepNext/>
      <w:tabs>
        <w:tab w:val="left" w:pos="360"/>
      </w:tabs>
    </w:pPr>
    <w:rPr>
      <w:rFonts w:ascii="Times New Roman" w:hAnsi="Times New Roman"/>
      <w:b w:val="0"/>
      <w:bCs w:val="0"/>
      <w:sz w:val="24"/>
    </w:rPr>
  </w:style>
  <w:style w:type="character" w:customStyle="1" w:styleId="StyleHeading6NotBoldChar">
    <w:name w:val="Style Heading 6 + Not Bold Char"/>
    <w:rsid w:val="008030C8"/>
    <w:rPr>
      <w:rFonts w:cs="Times New Roman"/>
      <w:b/>
      <w:bCs/>
      <w:sz w:val="22"/>
      <w:szCs w:val="22"/>
      <w:lang w:val="en-US" w:eastAsia="en-US" w:bidi="ar-SA"/>
    </w:rPr>
  </w:style>
  <w:style w:type="paragraph" w:customStyle="1" w:styleId="StyleHeading6After0pt">
    <w:name w:val="Style Heading 6 + After:  0 pt"/>
    <w:basedOn w:val="Heading6"/>
    <w:link w:val="StyleHeading6After0ptChar1"/>
    <w:rsid w:val="008030C8"/>
    <w:pPr>
      <w:keepNext/>
      <w:tabs>
        <w:tab w:val="left" w:pos="360"/>
      </w:tabs>
      <w:spacing w:after="0"/>
    </w:pPr>
    <w:rPr>
      <w:rFonts w:ascii="Times New Roman" w:hAnsi="Times New Roman"/>
      <w:sz w:val="24"/>
      <w:szCs w:val="20"/>
    </w:rPr>
  </w:style>
  <w:style w:type="paragraph" w:customStyle="1" w:styleId="StyleStyleHeading6After0pt10pt">
    <w:name w:val="Style Style Heading 6 + After:  0 pt + 10 pt"/>
    <w:basedOn w:val="StyleHeading6After0pt"/>
    <w:link w:val="StyleStyleHeading6After0pt10ptChar1"/>
    <w:rsid w:val="008030C8"/>
  </w:style>
  <w:style w:type="character" w:customStyle="1" w:styleId="StyleHeading6After0ptChar">
    <w:name w:val="Style Heading 6 + After:  0 pt Char"/>
    <w:rsid w:val="008030C8"/>
    <w:rPr>
      <w:rFonts w:cs="Times New Roman"/>
      <w:b/>
      <w:bCs/>
      <w:sz w:val="22"/>
      <w:szCs w:val="22"/>
      <w:lang w:val="en-US" w:eastAsia="en-US" w:bidi="ar-SA"/>
    </w:rPr>
  </w:style>
  <w:style w:type="character" w:customStyle="1" w:styleId="StyleStyleHeading6After0pt10ptChar">
    <w:name w:val="Style Style Heading 6 + After:  0 pt + 10 pt Char"/>
    <w:rsid w:val="008030C8"/>
    <w:rPr>
      <w:rFonts w:cs="Times New Roman"/>
      <w:b/>
      <w:bCs/>
      <w:sz w:val="22"/>
      <w:szCs w:val="22"/>
      <w:lang w:val="en-US" w:eastAsia="en-US" w:bidi="ar-SA"/>
    </w:rPr>
  </w:style>
  <w:style w:type="character" w:customStyle="1" w:styleId="Style14ptBoldCenteredBefore12ptAfter6ptChar">
    <w:name w:val="Style 14 pt Bold Centered Before:  12 pt After:  6 pt Char"/>
    <w:rsid w:val="008030C8"/>
    <w:rPr>
      <w:rFonts w:cs="Times New Roman"/>
      <w:b/>
      <w:bCs/>
      <w:sz w:val="28"/>
      <w:lang w:val="en-US" w:eastAsia="en-US" w:bidi="ar-SA"/>
    </w:rPr>
  </w:style>
  <w:style w:type="paragraph" w:styleId="BodyTextIndent2">
    <w:name w:val="Body Text Indent 2"/>
    <w:basedOn w:val="Normal"/>
    <w:link w:val="BodyTextIndent2Char"/>
    <w:rsid w:val="008030C8"/>
    <w:pPr>
      <w:spacing w:after="0"/>
      <w:ind w:left="360" w:firstLine="720"/>
    </w:pPr>
    <w:rPr>
      <w:rFonts w:eastAsia="Times New Roman"/>
      <w:szCs w:val="24"/>
    </w:rPr>
  </w:style>
  <w:style w:type="character" w:customStyle="1" w:styleId="BodyTextIndent2Char">
    <w:name w:val="Body Text Indent 2 Char"/>
    <w:link w:val="BodyTextIndent2"/>
    <w:rsid w:val="008030C8"/>
    <w:rPr>
      <w:rFonts w:ascii="Times New Roman" w:eastAsia="Times New Roman" w:hAnsi="Times New Roman"/>
      <w:szCs w:val="24"/>
    </w:rPr>
  </w:style>
  <w:style w:type="paragraph" w:customStyle="1" w:styleId="TOC10">
    <w:name w:val="TOC1"/>
    <w:basedOn w:val="Normal"/>
    <w:next w:val="Normal"/>
    <w:rsid w:val="008030C8"/>
    <w:pPr>
      <w:spacing w:after="0"/>
    </w:pPr>
    <w:rPr>
      <w:rFonts w:eastAsia="Times New Roman"/>
      <w:szCs w:val="24"/>
    </w:rPr>
  </w:style>
  <w:style w:type="paragraph" w:styleId="TOC6">
    <w:name w:val="toc 6"/>
    <w:basedOn w:val="Normal"/>
    <w:next w:val="Normal"/>
    <w:autoRedefine/>
    <w:uiPriority w:val="39"/>
    <w:rsid w:val="008030C8"/>
    <w:pPr>
      <w:tabs>
        <w:tab w:val="left" w:pos="475"/>
        <w:tab w:val="right" w:leader="dot" w:pos="9576"/>
      </w:tabs>
      <w:spacing w:before="200" w:after="0"/>
      <w:jc w:val="left"/>
    </w:pPr>
    <w:rPr>
      <w:rFonts w:eastAsia="Times New Roman"/>
      <w:szCs w:val="24"/>
    </w:rPr>
  </w:style>
  <w:style w:type="paragraph" w:styleId="TOC7">
    <w:name w:val="toc 7"/>
    <w:basedOn w:val="Normal"/>
    <w:next w:val="Normal"/>
    <w:autoRedefine/>
    <w:uiPriority w:val="39"/>
    <w:rsid w:val="008030C8"/>
    <w:pPr>
      <w:tabs>
        <w:tab w:val="left" w:pos="475"/>
        <w:tab w:val="left" w:pos="1080"/>
        <w:tab w:val="right" w:leader="dot" w:pos="9576"/>
      </w:tabs>
      <w:spacing w:after="0"/>
      <w:ind w:left="1440" w:hanging="720"/>
    </w:pPr>
    <w:rPr>
      <w:rFonts w:eastAsia="Times New Roman"/>
      <w:szCs w:val="24"/>
    </w:rPr>
  </w:style>
  <w:style w:type="paragraph" w:styleId="TOC5">
    <w:name w:val="toc 5"/>
    <w:basedOn w:val="Normal"/>
    <w:next w:val="Normal"/>
    <w:autoRedefine/>
    <w:uiPriority w:val="39"/>
    <w:qFormat/>
    <w:rsid w:val="008030C8"/>
    <w:pPr>
      <w:spacing w:after="0"/>
      <w:ind w:left="960"/>
      <w:jc w:val="left"/>
    </w:pPr>
    <w:rPr>
      <w:rFonts w:eastAsia="Times New Roman"/>
      <w:sz w:val="24"/>
      <w:szCs w:val="24"/>
    </w:rPr>
  </w:style>
  <w:style w:type="paragraph" w:styleId="TOC8">
    <w:name w:val="toc 8"/>
    <w:basedOn w:val="Normal"/>
    <w:next w:val="Normal"/>
    <w:autoRedefine/>
    <w:uiPriority w:val="39"/>
    <w:rsid w:val="008030C8"/>
    <w:pPr>
      <w:spacing w:after="0"/>
      <w:ind w:left="1680"/>
      <w:jc w:val="left"/>
    </w:pPr>
    <w:rPr>
      <w:rFonts w:eastAsia="Times New Roman"/>
      <w:sz w:val="24"/>
      <w:szCs w:val="24"/>
    </w:rPr>
  </w:style>
  <w:style w:type="paragraph" w:styleId="TOC9">
    <w:name w:val="toc 9"/>
    <w:basedOn w:val="Normal"/>
    <w:next w:val="Normal"/>
    <w:autoRedefine/>
    <w:uiPriority w:val="39"/>
    <w:rsid w:val="008030C8"/>
    <w:pPr>
      <w:spacing w:after="0"/>
      <w:ind w:left="1920"/>
      <w:jc w:val="left"/>
    </w:pPr>
    <w:rPr>
      <w:rFonts w:eastAsia="Times New Roman"/>
      <w:sz w:val="24"/>
      <w:szCs w:val="24"/>
    </w:rPr>
  </w:style>
  <w:style w:type="paragraph" w:customStyle="1" w:styleId="ExamProcLevel1">
    <w:name w:val="ExamProcLevel1"/>
    <w:basedOn w:val="Heading6"/>
    <w:link w:val="ExamProcLevel1Char"/>
    <w:rsid w:val="008030C8"/>
    <w:pPr>
      <w:keepNext/>
      <w:tabs>
        <w:tab w:val="left" w:pos="360"/>
      </w:tabs>
    </w:pPr>
    <w:rPr>
      <w:rFonts w:ascii="Times New Roman" w:hAnsi="Times New Roman"/>
      <w:sz w:val="24"/>
    </w:rPr>
  </w:style>
  <w:style w:type="paragraph" w:customStyle="1" w:styleId="ExamProcLevel2">
    <w:name w:val="ExamProcLevel2"/>
    <w:basedOn w:val="Normal"/>
    <w:link w:val="ExamProcLevel2Char"/>
    <w:rsid w:val="008030C8"/>
    <w:pPr>
      <w:spacing w:after="0"/>
    </w:pPr>
    <w:rPr>
      <w:rFonts w:eastAsia="Times New Roman"/>
      <w:b/>
      <w:bCs/>
      <w:szCs w:val="24"/>
    </w:rPr>
  </w:style>
  <w:style w:type="paragraph" w:customStyle="1" w:styleId="ExaminProcLevel3">
    <w:name w:val="ExaminProcLevel3"/>
    <w:basedOn w:val="Normal"/>
    <w:link w:val="ExaminProcLevel3Char"/>
    <w:rsid w:val="008030C8"/>
    <w:pPr>
      <w:spacing w:after="0"/>
      <w:ind w:left="360"/>
    </w:pPr>
    <w:rPr>
      <w:rFonts w:eastAsia="Times New Roman"/>
      <w:bCs/>
      <w:szCs w:val="24"/>
    </w:rPr>
  </w:style>
  <w:style w:type="paragraph" w:customStyle="1" w:styleId="InterpretationsGuidelinesTOC">
    <w:name w:val="InterpretationsGuidelinesTOC"/>
    <w:basedOn w:val="Heading6"/>
    <w:link w:val="InterpretationsGuidelinesTOCChar"/>
    <w:rsid w:val="008030C8"/>
    <w:pPr>
      <w:keepNext/>
      <w:tabs>
        <w:tab w:val="left" w:pos="360"/>
      </w:tabs>
    </w:pPr>
    <w:rPr>
      <w:rFonts w:ascii="Times New Roman" w:hAnsi="Times New Roman"/>
      <w:sz w:val="24"/>
    </w:rPr>
  </w:style>
  <w:style w:type="paragraph" w:customStyle="1" w:styleId="WandMLevel1">
    <w:name w:val="WandMLevel1"/>
    <w:basedOn w:val="Heading6"/>
    <w:link w:val="WandMLevel1Char"/>
    <w:rsid w:val="008030C8"/>
    <w:pPr>
      <w:keepNext/>
    </w:pPr>
    <w:rPr>
      <w:rFonts w:ascii="Times New Roman" w:hAnsi="Times New Roman"/>
      <w:sz w:val="24"/>
    </w:rPr>
  </w:style>
  <w:style w:type="paragraph" w:customStyle="1" w:styleId="WandMLevel2">
    <w:name w:val="WandMLevel2"/>
    <w:basedOn w:val="Heading7"/>
    <w:link w:val="WandMLevel2Char"/>
    <w:rsid w:val="008030C8"/>
    <w:pPr>
      <w:keepNext w:val="0"/>
      <w:keepLines w:val="0"/>
      <w:spacing w:before="0"/>
      <w:ind w:left="1440" w:hanging="720"/>
    </w:pPr>
    <w:rPr>
      <w:rFonts w:ascii="Times New Roman" w:hAnsi="Times New Roman"/>
      <w:bCs/>
      <w:i w:val="0"/>
      <w:iCs w:val="0"/>
      <w:color w:val="auto"/>
      <w:szCs w:val="24"/>
    </w:rPr>
  </w:style>
  <w:style w:type="paragraph" w:customStyle="1" w:styleId="WeighmasterLevel1">
    <w:name w:val="WeighmasterLevel1"/>
    <w:basedOn w:val="Heading6"/>
    <w:link w:val="WeighmasterLevel1Char"/>
    <w:rsid w:val="008030C8"/>
    <w:pPr>
      <w:keepNext/>
      <w:tabs>
        <w:tab w:val="left" w:pos="360"/>
      </w:tabs>
    </w:pPr>
    <w:rPr>
      <w:rFonts w:ascii="Times New Roman" w:hAnsi="Times New Roman"/>
      <w:sz w:val="24"/>
    </w:rPr>
  </w:style>
  <w:style w:type="paragraph" w:customStyle="1" w:styleId="WeighmasterLevel2">
    <w:name w:val="WeighmasterLevel2"/>
    <w:basedOn w:val="Heading7"/>
    <w:link w:val="WeighmasterLevel2Char"/>
    <w:rsid w:val="008030C8"/>
    <w:pPr>
      <w:keepNext w:val="0"/>
      <w:keepLines w:val="0"/>
      <w:spacing w:before="240" w:after="60"/>
    </w:pPr>
    <w:rPr>
      <w:rFonts w:ascii="Times New Roman" w:hAnsi="Times New Roman"/>
      <w:i w:val="0"/>
      <w:iCs w:val="0"/>
      <w:color w:val="auto"/>
      <w:szCs w:val="24"/>
    </w:rPr>
  </w:style>
  <w:style w:type="paragraph" w:customStyle="1" w:styleId="UniformEngFuelLevel1">
    <w:name w:val="UniformEngFuelLevel1"/>
    <w:basedOn w:val="Heading6"/>
    <w:rsid w:val="008030C8"/>
    <w:pPr>
      <w:keepNext/>
      <w:tabs>
        <w:tab w:val="left" w:pos="360"/>
      </w:tabs>
    </w:pPr>
    <w:rPr>
      <w:rFonts w:ascii="Times New Roman" w:hAnsi="Times New Roman"/>
      <w:sz w:val="24"/>
    </w:rPr>
  </w:style>
  <w:style w:type="paragraph" w:customStyle="1" w:styleId="UniformEngFuelLevel2">
    <w:name w:val="UniformEngFuelLevel2"/>
    <w:basedOn w:val="Heading7"/>
    <w:link w:val="UniformEngFuelLevel2Char"/>
    <w:rsid w:val="008030C8"/>
    <w:pPr>
      <w:keepNext w:val="0"/>
      <w:keepLines w:val="0"/>
      <w:spacing w:before="240" w:after="60"/>
    </w:pPr>
    <w:rPr>
      <w:rFonts w:ascii="Times New Roman" w:hAnsi="Times New Roman"/>
      <w:bCs/>
      <w:i w:val="0"/>
      <w:iCs w:val="0"/>
      <w:color w:val="auto"/>
      <w:szCs w:val="24"/>
    </w:rPr>
  </w:style>
  <w:style w:type="paragraph" w:customStyle="1" w:styleId="DateL">
    <w:name w:val="Date L"/>
    <w:basedOn w:val="Normal"/>
    <w:rsid w:val="008030C8"/>
    <w:pPr>
      <w:spacing w:before="60"/>
    </w:pPr>
    <w:rPr>
      <w:rFonts w:eastAsia="Times New Roman"/>
      <w:szCs w:val="24"/>
    </w:rPr>
  </w:style>
  <w:style w:type="paragraph" w:customStyle="1" w:styleId="DateLeft">
    <w:name w:val="Date Left"/>
    <w:basedOn w:val="Normal"/>
    <w:rsid w:val="008030C8"/>
    <w:pPr>
      <w:spacing w:before="60"/>
    </w:pPr>
    <w:rPr>
      <w:rFonts w:eastAsia="Times New Roman"/>
      <w:szCs w:val="24"/>
    </w:rPr>
  </w:style>
  <w:style w:type="paragraph" w:customStyle="1" w:styleId="Style2L-Date">
    <w:name w:val="Style2 L-Date"/>
    <w:basedOn w:val="Normal"/>
    <w:rsid w:val="008030C8"/>
    <w:pPr>
      <w:spacing w:before="60"/>
    </w:pPr>
    <w:rPr>
      <w:rFonts w:eastAsia="Times New Roman"/>
      <w:szCs w:val="24"/>
    </w:rPr>
  </w:style>
  <w:style w:type="character" w:customStyle="1" w:styleId="Heading6Char1">
    <w:name w:val="Heading 6 Char1"/>
    <w:locked/>
    <w:rsid w:val="008030C8"/>
    <w:rPr>
      <w:rFonts w:ascii="Times New Roman" w:eastAsia="Times New Roman" w:hAnsi="Times New Roman" w:cs="Times New Roman"/>
      <w:b/>
      <w:bCs/>
      <w:sz w:val="24"/>
    </w:rPr>
  </w:style>
  <w:style w:type="character" w:customStyle="1" w:styleId="WandMLevel1Char">
    <w:name w:val="WandMLevel1 Char"/>
    <w:link w:val="WandMLevel1"/>
    <w:locked/>
    <w:rsid w:val="008030C8"/>
    <w:rPr>
      <w:rFonts w:ascii="Times New Roman" w:eastAsia="Times New Roman" w:hAnsi="Times New Roman" w:cs="Times New Roman"/>
      <w:b/>
      <w:bCs/>
      <w:sz w:val="24"/>
      <w:szCs w:val="22"/>
    </w:rPr>
  </w:style>
  <w:style w:type="character" w:customStyle="1" w:styleId="Heading8Char1">
    <w:name w:val="Heading 8 Char1"/>
    <w:locked/>
    <w:rsid w:val="008030C8"/>
    <w:rPr>
      <w:rFonts w:ascii="Times New Roman" w:eastAsia="Times New Roman" w:hAnsi="Times New Roman" w:cs="Times New Roman"/>
      <w:iCs/>
      <w:sz w:val="20"/>
      <w:szCs w:val="24"/>
    </w:rPr>
  </w:style>
  <w:style w:type="paragraph" w:customStyle="1" w:styleId="Index11">
    <w:name w:val="Index 11"/>
    <w:basedOn w:val="Normal"/>
    <w:next w:val="Normal"/>
    <w:autoRedefine/>
    <w:uiPriority w:val="99"/>
    <w:semiHidden/>
    <w:rsid w:val="008030C8"/>
    <w:pPr>
      <w:spacing w:after="0"/>
      <w:ind w:left="200" w:hanging="200"/>
      <w:jc w:val="left"/>
    </w:pPr>
    <w:rPr>
      <w:rFonts w:ascii="Calibri" w:eastAsia="Times New Roman" w:hAnsi="Calibri"/>
      <w:b/>
      <w:sz w:val="18"/>
      <w:szCs w:val="18"/>
    </w:rPr>
  </w:style>
  <w:style w:type="paragraph" w:customStyle="1" w:styleId="Index21">
    <w:name w:val="Index 21"/>
    <w:basedOn w:val="Normal"/>
    <w:next w:val="Normal"/>
    <w:autoRedefine/>
    <w:uiPriority w:val="99"/>
    <w:semiHidden/>
    <w:rsid w:val="008030C8"/>
    <w:pPr>
      <w:spacing w:after="0"/>
      <w:ind w:left="400" w:hanging="200"/>
      <w:jc w:val="left"/>
    </w:pPr>
    <w:rPr>
      <w:rFonts w:ascii="Calibri" w:eastAsia="Times New Roman" w:hAnsi="Calibri"/>
      <w:sz w:val="18"/>
      <w:szCs w:val="18"/>
    </w:rPr>
  </w:style>
  <w:style w:type="paragraph" w:customStyle="1" w:styleId="Index41">
    <w:name w:val="Index 41"/>
    <w:basedOn w:val="Normal"/>
    <w:next w:val="Normal"/>
    <w:autoRedefine/>
    <w:uiPriority w:val="99"/>
    <w:semiHidden/>
    <w:rsid w:val="008030C8"/>
    <w:pPr>
      <w:spacing w:after="0"/>
      <w:ind w:left="800" w:hanging="200"/>
      <w:jc w:val="left"/>
    </w:pPr>
    <w:rPr>
      <w:rFonts w:ascii="Calibri" w:eastAsia="Times New Roman" w:hAnsi="Calibri"/>
      <w:sz w:val="18"/>
      <w:szCs w:val="18"/>
    </w:rPr>
  </w:style>
  <w:style w:type="paragraph" w:customStyle="1" w:styleId="Index31">
    <w:name w:val="Index 31"/>
    <w:basedOn w:val="Normal"/>
    <w:next w:val="Normal"/>
    <w:autoRedefine/>
    <w:uiPriority w:val="99"/>
    <w:semiHidden/>
    <w:rsid w:val="008030C8"/>
    <w:pPr>
      <w:spacing w:after="0"/>
      <w:ind w:left="600" w:hanging="200"/>
      <w:jc w:val="left"/>
    </w:pPr>
    <w:rPr>
      <w:rFonts w:ascii="Calibri" w:eastAsia="Times New Roman" w:hAnsi="Calibri"/>
      <w:sz w:val="18"/>
      <w:szCs w:val="18"/>
    </w:rPr>
  </w:style>
  <w:style w:type="paragraph" w:customStyle="1" w:styleId="Index51">
    <w:name w:val="Index 51"/>
    <w:basedOn w:val="Normal"/>
    <w:next w:val="Normal"/>
    <w:autoRedefine/>
    <w:semiHidden/>
    <w:rsid w:val="008030C8"/>
    <w:pPr>
      <w:spacing w:after="0"/>
      <w:ind w:left="1000" w:hanging="200"/>
      <w:jc w:val="left"/>
    </w:pPr>
    <w:rPr>
      <w:rFonts w:ascii="Calibri" w:eastAsia="Times New Roman" w:hAnsi="Calibri"/>
      <w:sz w:val="18"/>
      <w:szCs w:val="18"/>
    </w:rPr>
  </w:style>
  <w:style w:type="paragraph" w:customStyle="1" w:styleId="Index61">
    <w:name w:val="Index 61"/>
    <w:basedOn w:val="Normal"/>
    <w:next w:val="Normal"/>
    <w:autoRedefine/>
    <w:semiHidden/>
    <w:rsid w:val="008030C8"/>
    <w:pPr>
      <w:spacing w:after="0"/>
      <w:ind w:left="1200" w:hanging="200"/>
      <w:jc w:val="left"/>
    </w:pPr>
    <w:rPr>
      <w:rFonts w:ascii="Calibri" w:eastAsia="Times New Roman" w:hAnsi="Calibri"/>
      <w:sz w:val="18"/>
      <w:szCs w:val="18"/>
    </w:rPr>
  </w:style>
  <w:style w:type="paragraph" w:customStyle="1" w:styleId="Index71">
    <w:name w:val="Index 71"/>
    <w:basedOn w:val="Normal"/>
    <w:next w:val="Normal"/>
    <w:autoRedefine/>
    <w:semiHidden/>
    <w:rsid w:val="008030C8"/>
    <w:pPr>
      <w:spacing w:after="0"/>
      <w:ind w:left="1400" w:hanging="200"/>
      <w:jc w:val="left"/>
    </w:pPr>
    <w:rPr>
      <w:rFonts w:ascii="Calibri" w:eastAsia="Times New Roman" w:hAnsi="Calibri"/>
      <w:sz w:val="18"/>
      <w:szCs w:val="18"/>
    </w:rPr>
  </w:style>
  <w:style w:type="paragraph" w:customStyle="1" w:styleId="Index81">
    <w:name w:val="Index 81"/>
    <w:basedOn w:val="Normal"/>
    <w:next w:val="Normal"/>
    <w:autoRedefine/>
    <w:semiHidden/>
    <w:rsid w:val="008030C8"/>
    <w:pPr>
      <w:spacing w:after="0"/>
      <w:ind w:left="1600" w:hanging="200"/>
      <w:jc w:val="left"/>
    </w:pPr>
    <w:rPr>
      <w:rFonts w:ascii="Calibri" w:eastAsia="Times New Roman" w:hAnsi="Calibri"/>
      <w:sz w:val="18"/>
      <w:szCs w:val="18"/>
    </w:rPr>
  </w:style>
  <w:style w:type="paragraph" w:customStyle="1" w:styleId="Index91">
    <w:name w:val="Index 91"/>
    <w:basedOn w:val="Normal"/>
    <w:next w:val="Normal"/>
    <w:autoRedefine/>
    <w:semiHidden/>
    <w:rsid w:val="008030C8"/>
    <w:pPr>
      <w:spacing w:after="0"/>
      <w:ind w:left="1800" w:hanging="200"/>
      <w:jc w:val="left"/>
    </w:pPr>
    <w:rPr>
      <w:rFonts w:ascii="Calibri" w:eastAsia="Times New Roman" w:hAnsi="Calibri"/>
      <w:sz w:val="18"/>
      <w:szCs w:val="18"/>
    </w:rPr>
  </w:style>
  <w:style w:type="paragraph" w:customStyle="1" w:styleId="IndexHeading1">
    <w:name w:val="Index Heading1"/>
    <w:basedOn w:val="Normal"/>
    <w:next w:val="Index1"/>
    <w:uiPriority w:val="99"/>
    <w:semiHidden/>
    <w:rsid w:val="008030C8"/>
    <w:pPr>
      <w:spacing w:before="240" w:after="120"/>
      <w:ind w:left="140"/>
      <w:jc w:val="left"/>
    </w:pPr>
    <w:rPr>
      <w:rFonts w:ascii="Cambria" w:eastAsia="Times New Roman" w:hAnsi="Cambria"/>
      <w:b/>
      <w:bCs/>
      <w:sz w:val="28"/>
      <w:szCs w:val="28"/>
    </w:rPr>
  </w:style>
  <w:style w:type="paragraph" w:customStyle="1" w:styleId="ExaminProcLevel4">
    <w:name w:val="ExaminProcLevel4"/>
    <w:basedOn w:val="Heading9"/>
    <w:rsid w:val="008030C8"/>
    <w:pPr>
      <w:keepNext w:val="0"/>
      <w:keepLines w:val="0"/>
      <w:spacing w:before="240" w:after="60"/>
      <w:ind w:left="720"/>
    </w:pPr>
    <w:rPr>
      <w:rFonts w:ascii="Times New Roman" w:hAnsi="Times New Roman" w:cs="Arial"/>
      <w:b/>
      <w:bCs/>
      <w:i w:val="0"/>
      <w:iCs w:val="0"/>
      <w:color w:val="auto"/>
      <w:szCs w:val="22"/>
    </w:rPr>
  </w:style>
  <w:style w:type="character" w:customStyle="1" w:styleId="StyleHeading6After0ptChar1">
    <w:name w:val="Style Heading 6 + After:  0 pt Char1"/>
    <w:link w:val="StyleHeading6After0pt"/>
    <w:locked/>
    <w:rsid w:val="008030C8"/>
    <w:rPr>
      <w:rFonts w:ascii="Times New Roman" w:eastAsia="Times New Roman" w:hAnsi="Times New Roman" w:cs="Times New Roman"/>
      <w:b/>
      <w:bCs/>
      <w:sz w:val="24"/>
    </w:rPr>
  </w:style>
  <w:style w:type="character" w:customStyle="1" w:styleId="StyleStyleHeading6After0pt10ptChar1">
    <w:name w:val="Style Style Heading 6 + After:  0 pt + 10 pt Char1"/>
    <w:link w:val="StyleStyleHeading6After0pt10pt"/>
    <w:locked/>
    <w:rsid w:val="008030C8"/>
    <w:rPr>
      <w:rFonts w:ascii="Times New Roman" w:eastAsia="Times New Roman" w:hAnsi="Times New Roman" w:cs="Times New Roman"/>
      <w:b/>
      <w:bCs/>
      <w:sz w:val="24"/>
    </w:rPr>
  </w:style>
  <w:style w:type="paragraph" w:customStyle="1" w:styleId="UniformLevel3nonnormal">
    <w:name w:val="Uniform Level 3 non normal"/>
    <w:basedOn w:val="UniformLevel3"/>
    <w:rsid w:val="008030C8"/>
    <w:rPr>
      <w:bCs w:val="0"/>
      <w:iCs w:val="0"/>
    </w:rPr>
  </w:style>
  <w:style w:type="paragraph" w:customStyle="1" w:styleId="StyleUniformLevel3Condensedby05pt">
    <w:name w:val="Style UniformLevel3 + Condensed by  0.5 pt"/>
    <w:basedOn w:val="UniformLevel3"/>
    <w:link w:val="StyleUniformLevel3Condensedby05ptChar"/>
    <w:rsid w:val="008030C8"/>
    <w:rPr>
      <w:bCs w:val="0"/>
      <w:iCs w:val="0"/>
      <w:spacing w:val="-10"/>
    </w:rPr>
  </w:style>
  <w:style w:type="character" w:customStyle="1" w:styleId="StyleUniformLevel3Condensedby05ptChar">
    <w:name w:val="Style UniformLevel3 + Condensed by  0.5 pt Char"/>
    <w:link w:val="StyleUniformLevel3Condensedby05pt"/>
    <w:locked/>
    <w:rsid w:val="008030C8"/>
    <w:rPr>
      <w:rFonts w:ascii="Times New Roman" w:eastAsia="Times New Roman" w:hAnsi="Times New Roman" w:cs="Times New Roman"/>
      <w:bCs w:val="0"/>
      <w:iCs w:val="0"/>
      <w:spacing w:val="-10"/>
      <w:sz w:val="20"/>
      <w:szCs w:val="24"/>
    </w:rPr>
  </w:style>
  <w:style w:type="character" w:customStyle="1" w:styleId="boldlarge">
    <w:name w:val="bold large"/>
    <w:rsid w:val="008030C8"/>
  </w:style>
  <w:style w:type="character" w:customStyle="1" w:styleId="Heading7Char1">
    <w:name w:val="Heading 7 Char1"/>
    <w:locked/>
    <w:rsid w:val="008030C8"/>
    <w:rPr>
      <w:rFonts w:ascii="Times New Roman" w:eastAsia="Times New Roman" w:hAnsi="Times New Roman" w:cs="Times New Roman"/>
      <w:sz w:val="20"/>
      <w:szCs w:val="24"/>
    </w:rPr>
  </w:style>
  <w:style w:type="character" w:customStyle="1" w:styleId="WandMLevel2Char">
    <w:name w:val="WandMLevel2 Char"/>
    <w:link w:val="WandMLevel2"/>
    <w:locked/>
    <w:rsid w:val="008030C8"/>
    <w:rPr>
      <w:rFonts w:ascii="Times New Roman" w:eastAsia="Times New Roman" w:hAnsi="Times New Roman" w:cs="Times New Roman"/>
      <w:bCs/>
      <w:sz w:val="20"/>
      <w:szCs w:val="24"/>
    </w:rPr>
  </w:style>
  <w:style w:type="character" w:customStyle="1" w:styleId="WeighmasterLevel2Char">
    <w:name w:val="WeighmasterLevel2 Char"/>
    <w:link w:val="WeighmasterLevel2"/>
    <w:locked/>
    <w:rsid w:val="008030C8"/>
    <w:rPr>
      <w:rFonts w:ascii="Times New Roman" w:eastAsia="Times New Roman" w:hAnsi="Times New Roman" w:cs="Times New Roman"/>
      <w:sz w:val="20"/>
      <w:szCs w:val="24"/>
    </w:rPr>
  </w:style>
  <w:style w:type="character" w:customStyle="1" w:styleId="WeighmasterLevel1Char">
    <w:name w:val="WeighmasterLevel1 Char"/>
    <w:link w:val="WeighmasterLevel1"/>
    <w:locked/>
    <w:rsid w:val="008030C8"/>
    <w:rPr>
      <w:rFonts w:ascii="Times New Roman" w:eastAsia="Times New Roman" w:hAnsi="Times New Roman" w:cs="Times New Roman"/>
      <w:b/>
      <w:bCs/>
      <w:sz w:val="24"/>
      <w:szCs w:val="22"/>
    </w:rPr>
  </w:style>
  <w:style w:type="character" w:customStyle="1" w:styleId="UniformEngFuelLevel2Char">
    <w:name w:val="UniformEngFuelLevel2 Char"/>
    <w:link w:val="UniformEngFuelLevel2"/>
    <w:locked/>
    <w:rsid w:val="008030C8"/>
    <w:rPr>
      <w:rFonts w:ascii="Times New Roman" w:eastAsia="Times New Roman" w:hAnsi="Times New Roman" w:cs="Times New Roman"/>
      <w:bCs/>
      <w:sz w:val="20"/>
      <w:szCs w:val="24"/>
    </w:rPr>
  </w:style>
  <w:style w:type="paragraph" w:customStyle="1" w:styleId="UnitPriceLevel1">
    <w:name w:val="UnitPriceLevel1"/>
    <w:basedOn w:val="StyleHeading6After0pt"/>
    <w:link w:val="UnitPriceLevel1Char"/>
    <w:rsid w:val="008030C8"/>
  </w:style>
  <w:style w:type="character" w:customStyle="1" w:styleId="UnitPriceLevel1Char">
    <w:name w:val="UnitPriceLevel1 Char"/>
    <w:link w:val="UnitPriceLevel1"/>
    <w:locked/>
    <w:rsid w:val="008030C8"/>
    <w:rPr>
      <w:rFonts w:ascii="Times New Roman" w:eastAsia="Times New Roman" w:hAnsi="Times New Roman" w:cs="Times New Roman"/>
      <w:b/>
      <w:bCs/>
      <w:sz w:val="24"/>
    </w:rPr>
  </w:style>
  <w:style w:type="paragraph" w:customStyle="1" w:styleId="VolRegLevel1">
    <w:name w:val="VolRegLevel1"/>
    <w:basedOn w:val="StyleHeading6After0pt"/>
    <w:next w:val="Normal"/>
    <w:link w:val="VolRegLevel1Char"/>
    <w:rsid w:val="008030C8"/>
  </w:style>
  <w:style w:type="paragraph" w:customStyle="1" w:styleId="VolRegLevel2">
    <w:name w:val="VolRegLevel2"/>
    <w:basedOn w:val="Heading7"/>
    <w:next w:val="Normal"/>
    <w:link w:val="VolRegLevel2Char"/>
    <w:rsid w:val="008030C8"/>
    <w:pPr>
      <w:keepNext w:val="0"/>
      <w:keepLines w:val="0"/>
      <w:spacing w:before="240" w:after="60"/>
    </w:pPr>
    <w:rPr>
      <w:rFonts w:ascii="Times New Roman" w:hAnsi="Times New Roman"/>
      <w:b/>
      <w:bCs/>
      <w:i w:val="0"/>
      <w:iCs w:val="0"/>
      <w:color w:val="auto"/>
      <w:szCs w:val="24"/>
    </w:rPr>
  </w:style>
  <w:style w:type="character" w:customStyle="1" w:styleId="VolRegLevel2Char">
    <w:name w:val="VolRegLevel2 Char"/>
    <w:link w:val="VolRegLevel2"/>
    <w:locked/>
    <w:rsid w:val="008030C8"/>
    <w:rPr>
      <w:rFonts w:ascii="Times New Roman" w:eastAsia="Times New Roman" w:hAnsi="Times New Roman" w:cs="Times New Roman"/>
      <w:b/>
      <w:bCs/>
      <w:sz w:val="20"/>
      <w:szCs w:val="24"/>
    </w:rPr>
  </w:style>
  <w:style w:type="character" w:customStyle="1" w:styleId="VolRegLevel1Char">
    <w:name w:val="VolRegLevel1 Char"/>
    <w:link w:val="VolRegLevel1"/>
    <w:locked/>
    <w:rsid w:val="008030C8"/>
    <w:rPr>
      <w:rFonts w:ascii="Times New Roman" w:eastAsia="Times New Roman" w:hAnsi="Times New Roman" w:cs="Times New Roman"/>
      <w:b/>
      <w:bCs/>
      <w:sz w:val="24"/>
    </w:rPr>
  </w:style>
  <w:style w:type="paragraph" w:customStyle="1" w:styleId="OpenDateLevel1">
    <w:name w:val="OpenDateLevel1"/>
    <w:basedOn w:val="Heading6"/>
    <w:next w:val="Normal"/>
    <w:link w:val="OpenDateLevel1Char"/>
    <w:rsid w:val="008030C8"/>
    <w:pPr>
      <w:keepNext/>
      <w:tabs>
        <w:tab w:val="left" w:pos="360"/>
      </w:tabs>
    </w:pPr>
    <w:rPr>
      <w:rFonts w:ascii="Times New Roman" w:hAnsi="Times New Roman"/>
      <w:sz w:val="24"/>
    </w:rPr>
  </w:style>
  <w:style w:type="paragraph" w:customStyle="1" w:styleId="OpenDateLevel2">
    <w:name w:val="OpenDateLevel2"/>
    <w:basedOn w:val="Heading7"/>
    <w:next w:val="Normal"/>
    <w:link w:val="OpenDateLevel2Char"/>
    <w:rsid w:val="008030C8"/>
    <w:pPr>
      <w:keepNext w:val="0"/>
      <w:keepLines w:val="0"/>
      <w:spacing w:before="240" w:after="60"/>
    </w:pPr>
    <w:rPr>
      <w:rFonts w:ascii="Times New Roman" w:hAnsi="Times New Roman"/>
      <w:b/>
      <w:bCs/>
      <w:i w:val="0"/>
      <w:iCs w:val="0"/>
      <w:color w:val="auto"/>
      <w:szCs w:val="24"/>
    </w:rPr>
  </w:style>
  <w:style w:type="paragraph" w:customStyle="1" w:styleId="OpenDateLevel3">
    <w:name w:val="OpenDateLevel3"/>
    <w:basedOn w:val="Heading8"/>
    <w:next w:val="Normal"/>
    <w:link w:val="OpenDateLevel3Char"/>
    <w:rsid w:val="008030C8"/>
    <w:pPr>
      <w:keepNext w:val="0"/>
      <w:keepLines w:val="0"/>
      <w:spacing w:before="240" w:after="60"/>
      <w:ind w:left="360"/>
    </w:pPr>
    <w:rPr>
      <w:rFonts w:ascii="Times New Roman" w:hAnsi="Times New Roman"/>
      <w:b/>
      <w:bCs/>
      <w:iCs/>
      <w:color w:val="auto"/>
      <w:szCs w:val="24"/>
    </w:rPr>
  </w:style>
  <w:style w:type="character" w:customStyle="1" w:styleId="OpenDateLevel2Char">
    <w:name w:val="OpenDateLevel2 Char"/>
    <w:link w:val="OpenDateLevel2"/>
    <w:locked/>
    <w:rsid w:val="008030C8"/>
    <w:rPr>
      <w:rFonts w:ascii="Times New Roman" w:eastAsia="Times New Roman" w:hAnsi="Times New Roman" w:cs="Times New Roman"/>
      <w:b/>
      <w:bCs/>
      <w:sz w:val="20"/>
      <w:szCs w:val="24"/>
    </w:rPr>
  </w:style>
  <w:style w:type="character" w:customStyle="1" w:styleId="OpenDateLevel3Char">
    <w:name w:val="OpenDateLevel3 Char"/>
    <w:link w:val="OpenDateLevel3"/>
    <w:locked/>
    <w:rsid w:val="008030C8"/>
    <w:rPr>
      <w:rFonts w:ascii="Times New Roman" w:eastAsia="Times New Roman" w:hAnsi="Times New Roman" w:cs="Times New Roman"/>
      <w:b/>
      <w:bCs/>
      <w:iCs/>
      <w:sz w:val="20"/>
      <w:szCs w:val="24"/>
    </w:rPr>
  </w:style>
  <w:style w:type="character" w:customStyle="1" w:styleId="OpenDateLevel1Char">
    <w:name w:val="OpenDateLevel1 Char"/>
    <w:link w:val="OpenDateLevel1"/>
    <w:locked/>
    <w:rsid w:val="008030C8"/>
    <w:rPr>
      <w:rFonts w:ascii="Times New Roman" w:eastAsia="Times New Roman" w:hAnsi="Times New Roman" w:cs="Times New Roman"/>
      <w:b/>
      <w:bCs/>
      <w:sz w:val="24"/>
      <w:szCs w:val="22"/>
    </w:rPr>
  </w:style>
  <w:style w:type="paragraph" w:customStyle="1" w:styleId="NatlTypeLevel1">
    <w:name w:val="NatlTypeLevel1"/>
    <w:basedOn w:val="StyleHeading6After0pt"/>
    <w:next w:val="Normal"/>
    <w:rsid w:val="008030C8"/>
  </w:style>
  <w:style w:type="paragraph" w:customStyle="1" w:styleId="NatlTypeLevel2">
    <w:name w:val="NatlTypeLevel2"/>
    <w:basedOn w:val="Heading7"/>
    <w:next w:val="Normal"/>
    <w:link w:val="NatlTypeLevel2Char"/>
    <w:rsid w:val="008030C8"/>
    <w:pPr>
      <w:keepNext w:val="0"/>
      <w:keepLines w:val="0"/>
      <w:spacing w:before="240" w:after="60"/>
    </w:pPr>
    <w:rPr>
      <w:rFonts w:ascii="Times New Roman" w:hAnsi="Times New Roman"/>
      <w:b/>
      <w:bCs/>
      <w:i w:val="0"/>
      <w:iCs w:val="0"/>
      <w:color w:val="auto"/>
      <w:szCs w:val="24"/>
    </w:rPr>
  </w:style>
  <w:style w:type="character" w:customStyle="1" w:styleId="NatlTypeLevel2Char">
    <w:name w:val="NatlTypeLevel2 Char"/>
    <w:link w:val="NatlTypeLevel2"/>
    <w:locked/>
    <w:rsid w:val="008030C8"/>
    <w:rPr>
      <w:rFonts w:ascii="Times New Roman" w:eastAsia="Times New Roman" w:hAnsi="Times New Roman" w:cs="Times New Roman"/>
      <w:b/>
      <w:bCs/>
      <w:sz w:val="20"/>
      <w:szCs w:val="24"/>
    </w:rPr>
  </w:style>
  <w:style w:type="character" w:customStyle="1" w:styleId="ExamProcLevel2Char">
    <w:name w:val="ExamProcLevel2 Char"/>
    <w:link w:val="ExamProcLevel2"/>
    <w:locked/>
    <w:rsid w:val="008030C8"/>
    <w:rPr>
      <w:rFonts w:ascii="Times New Roman" w:eastAsia="Times New Roman" w:hAnsi="Times New Roman"/>
      <w:b/>
      <w:bCs/>
      <w:szCs w:val="24"/>
    </w:rPr>
  </w:style>
  <w:style w:type="character" w:customStyle="1" w:styleId="ExaminProcLevel3Char">
    <w:name w:val="ExaminProcLevel3 Char"/>
    <w:link w:val="ExaminProcLevel3"/>
    <w:locked/>
    <w:rsid w:val="008030C8"/>
    <w:rPr>
      <w:rFonts w:ascii="Times New Roman" w:eastAsia="Times New Roman" w:hAnsi="Times New Roman"/>
      <w:bCs/>
      <w:szCs w:val="24"/>
    </w:rPr>
  </w:style>
  <w:style w:type="character" w:customStyle="1" w:styleId="ExamProcLevel1Char">
    <w:name w:val="ExamProcLevel1 Char"/>
    <w:link w:val="ExamProcLevel1"/>
    <w:locked/>
    <w:rsid w:val="008030C8"/>
    <w:rPr>
      <w:rFonts w:ascii="Times New Roman" w:eastAsia="Times New Roman" w:hAnsi="Times New Roman" w:cs="Times New Roman"/>
      <w:b/>
      <w:bCs/>
      <w:sz w:val="24"/>
      <w:szCs w:val="22"/>
    </w:rPr>
  </w:style>
  <w:style w:type="character" w:customStyle="1" w:styleId="InterpretationsGuidelinesTOCChar">
    <w:name w:val="InterpretationsGuidelinesTOC Char"/>
    <w:link w:val="InterpretationsGuidelinesTOC"/>
    <w:locked/>
    <w:rsid w:val="008030C8"/>
    <w:rPr>
      <w:rFonts w:ascii="Times New Roman" w:eastAsia="Times New Roman" w:hAnsi="Times New Roman" w:cs="Times New Roman"/>
      <w:b/>
      <w:bCs/>
      <w:sz w:val="24"/>
      <w:szCs w:val="22"/>
    </w:rPr>
  </w:style>
  <w:style w:type="character" w:customStyle="1" w:styleId="Style14ptBoldCenteredBefore12ptAfter6ptChar1">
    <w:name w:val="Style 14 pt Bold Centered Before:  12 pt After:  6 pt Char1"/>
    <w:link w:val="Style14ptBoldCenteredBefore12ptAfter6pt"/>
    <w:locked/>
    <w:rsid w:val="008030C8"/>
    <w:rPr>
      <w:rFonts w:ascii="Times New Roman" w:eastAsia="Times New Roman" w:hAnsi="Times New Roman"/>
      <w:b/>
      <w:bCs/>
      <w:sz w:val="28"/>
    </w:rPr>
  </w:style>
  <w:style w:type="paragraph" w:customStyle="1" w:styleId="StyleBodyTextIndentLeft05Hanging025">
    <w:name w:val="Style Body Text Indent + Left:  0.5&quot; Hanging:  0.25&quot;"/>
    <w:basedOn w:val="BodyTextIndent"/>
    <w:autoRedefine/>
    <w:rsid w:val="008030C8"/>
    <w:pPr>
      <w:numPr>
        <w:numId w:val="11"/>
      </w:numPr>
      <w:tabs>
        <w:tab w:val="left" w:pos="630"/>
      </w:tabs>
      <w:spacing w:after="0"/>
    </w:pPr>
    <w:rPr>
      <w:rFonts w:eastAsia="Times New Roman"/>
      <w:szCs w:val="20"/>
    </w:rPr>
  </w:style>
  <w:style w:type="paragraph" w:styleId="NoSpacing">
    <w:name w:val="No Spacing"/>
    <w:link w:val="NoSpacingChar"/>
    <w:uiPriority w:val="1"/>
    <w:qFormat/>
    <w:rsid w:val="008030C8"/>
    <w:rPr>
      <w:rFonts w:eastAsia="Times New Roman"/>
      <w:sz w:val="22"/>
      <w:szCs w:val="22"/>
    </w:rPr>
  </w:style>
  <w:style w:type="character" w:styleId="LineNumber">
    <w:name w:val="line number"/>
    <w:rsid w:val="008030C8"/>
    <w:rPr>
      <w:rFonts w:cs="Times New Roman"/>
    </w:rPr>
  </w:style>
  <w:style w:type="paragraph" w:customStyle="1" w:styleId="StyleUniformEngFuelLevel2Bold">
    <w:name w:val="Style UniformEngFuelLevel2 + Bold"/>
    <w:basedOn w:val="UniformEngFuelLevel2"/>
    <w:rsid w:val="008030C8"/>
    <w:pPr>
      <w:tabs>
        <w:tab w:val="left" w:pos="446"/>
      </w:tabs>
    </w:pPr>
    <w:rPr>
      <w:b/>
    </w:rPr>
  </w:style>
  <w:style w:type="paragraph" w:customStyle="1" w:styleId="StyleWandMLevel2Bold">
    <w:name w:val="Style WandMLevel2 + Bold"/>
    <w:basedOn w:val="WandMLevel2"/>
    <w:rsid w:val="008030C8"/>
    <w:pPr>
      <w:tabs>
        <w:tab w:val="left" w:pos="547"/>
      </w:tabs>
    </w:pPr>
    <w:rPr>
      <w:b/>
    </w:rPr>
  </w:style>
  <w:style w:type="character" w:customStyle="1" w:styleId="aChar">
    <w:name w:val="(a) Char"/>
    <w:link w:val="a"/>
    <w:rsid w:val="008030C8"/>
    <w:rPr>
      <w:rFonts w:ascii="Times New Roman" w:eastAsia="Times New Roman" w:hAnsi="Times New Roman"/>
      <w:bCs/>
      <w:szCs w:val="24"/>
    </w:rPr>
  </w:style>
  <w:style w:type="paragraph" w:customStyle="1" w:styleId="StyleUniformLevel4Before0ptAfter0pt">
    <w:name w:val="Style UniformLevel4 + Before:  0 pt After:  0 pt"/>
    <w:basedOn w:val="UniformLevel4"/>
    <w:rsid w:val="008030C8"/>
    <w:pPr>
      <w:spacing w:before="0" w:after="0"/>
    </w:pPr>
    <w:rPr>
      <w:rFonts w:ascii="Times New Roman" w:hAnsi="Times New Roman" w:cs="Times New Roman"/>
      <w:color w:val="auto"/>
      <w:szCs w:val="20"/>
    </w:rPr>
  </w:style>
  <w:style w:type="paragraph" w:customStyle="1" w:styleId="TableHeader1">
    <w:name w:val="Table Header 1"/>
    <w:basedOn w:val="Normal"/>
    <w:link w:val="TableHeader1Char"/>
    <w:qFormat/>
    <w:rsid w:val="008030C8"/>
    <w:pPr>
      <w:spacing w:after="0"/>
      <w:jc w:val="center"/>
    </w:pPr>
    <w:rPr>
      <w:rFonts w:eastAsia="Times New Roman"/>
      <w:b/>
      <w:szCs w:val="24"/>
    </w:rPr>
  </w:style>
  <w:style w:type="paragraph" w:customStyle="1" w:styleId="TableHeader2">
    <w:name w:val="Table Header 2"/>
    <w:basedOn w:val="Normal"/>
    <w:link w:val="TableHeader2Char"/>
    <w:qFormat/>
    <w:rsid w:val="008030C8"/>
    <w:pPr>
      <w:spacing w:after="0"/>
    </w:pPr>
    <w:rPr>
      <w:rFonts w:eastAsia="Times New Roman"/>
      <w:b/>
      <w:szCs w:val="24"/>
    </w:rPr>
  </w:style>
  <w:style w:type="character" w:customStyle="1" w:styleId="TableHeader1Char">
    <w:name w:val="Table Header 1 Char"/>
    <w:link w:val="TableHeader1"/>
    <w:rsid w:val="008030C8"/>
    <w:rPr>
      <w:rFonts w:ascii="Times New Roman" w:eastAsia="Times New Roman" w:hAnsi="Times New Roman"/>
      <w:b/>
      <w:szCs w:val="24"/>
    </w:rPr>
  </w:style>
  <w:style w:type="character" w:customStyle="1" w:styleId="TableHeader2Char">
    <w:name w:val="Table Header 2 Char"/>
    <w:link w:val="TableHeader2"/>
    <w:rsid w:val="008030C8"/>
    <w:rPr>
      <w:rFonts w:ascii="Times New Roman" w:eastAsia="Times New Roman" w:hAnsi="Times New Roman"/>
      <w:b/>
      <w:szCs w:val="24"/>
    </w:rPr>
  </w:style>
  <w:style w:type="paragraph" w:styleId="Bibliography">
    <w:name w:val="Bibliography"/>
    <w:basedOn w:val="Normal"/>
    <w:next w:val="Normal"/>
    <w:uiPriority w:val="37"/>
    <w:semiHidden/>
    <w:unhideWhenUsed/>
    <w:rsid w:val="008030C8"/>
    <w:pPr>
      <w:spacing w:after="0"/>
    </w:pPr>
    <w:rPr>
      <w:rFonts w:eastAsia="Times New Roman"/>
      <w:szCs w:val="24"/>
    </w:rPr>
  </w:style>
  <w:style w:type="paragraph" w:styleId="BodyText2">
    <w:name w:val="Body Text 2"/>
    <w:basedOn w:val="Normal"/>
    <w:link w:val="BodyText2Char"/>
    <w:rsid w:val="008030C8"/>
    <w:pPr>
      <w:spacing w:after="120" w:line="480" w:lineRule="auto"/>
    </w:pPr>
    <w:rPr>
      <w:rFonts w:eastAsia="Times New Roman"/>
      <w:szCs w:val="24"/>
    </w:rPr>
  </w:style>
  <w:style w:type="character" w:customStyle="1" w:styleId="BodyText2Char">
    <w:name w:val="Body Text 2 Char"/>
    <w:link w:val="BodyText2"/>
    <w:rsid w:val="008030C8"/>
    <w:rPr>
      <w:rFonts w:ascii="Times New Roman" w:eastAsia="Times New Roman" w:hAnsi="Times New Roman"/>
      <w:szCs w:val="24"/>
    </w:rPr>
  </w:style>
  <w:style w:type="paragraph" w:styleId="BodyText3">
    <w:name w:val="Body Text 3"/>
    <w:basedOn w:val="Normal"/>
    <w:link w:val="BodyText3Char"/>
    <w:rsid w:val="008030C8"/>
    <w:pPr>
      <w:spacing w:after="120"/>
    </w:pPr>
    <w:rPr>
      <w:rFonts w:eastAsia="Times New Roman"/>
      <w:sz w:val="16"/>
      <w:szCs w:val="16"/>
    </w:rPr>
  </w:style>
  <w:style w:type="character" w:customStyle="1" w:styleId="BodyText3Char">
    <w:name w:val="Body Text 3 Char"/>
    <w:link w:val="BodyText3"/>
    <w:rsid w:val="008030C8"/>
    <w:rPr>
      <w:rFonts w:ascii="Times New Roman" w:eastAsia="Times New Roman" w:hAnsi="Times New Roman"/>
      <w:sz w:val="16"/>
      <w:szCs w:val="16"/>
    </w:rPr>
  </w:style>
  <w:style w:type="paragraph" w:styleId="BodyTextFirstIndent">
    <w:name w:val="Body Text First Indent"/>
    <w:basedOn w:val="BodyText"/>
    <w:link w:val="BodyTextFirstIndentChar"/>
    <w:rsid w:val="008030C8"/>
    <w:pPr>
      <w:spacing w:after="0"/>
      <w:ind w:firstLine="360"/>
    </w:pPr>
    <w:rPr>
      <w:rFonts w:eastAsia="Times New Roman"/>
      <w:szCs w:val="24"/>
    </w:rPr>
  </w:style>
  <w:style w:type="character" w:customStyle="1" w:styleId="BodyTextFirstIndentChar">
    <w:name w:val="Body Text First Indent Char"/>
    <w:link w:val="BodyTextFirstIndent"/>
    <w:rsid w:val="008030C8"/>
    <w:rPr>
      <w:rFonts w:ascii="Times New Roman" w:eastAsia="Times New Roman" w:hAnsi="Times New Roman"/>
      <w:sz w:val="20"/>
      <w:szCs w:val="24"/>
    </w:rPr>
  </w:style>
  <w:style w:type="paragraph" w:styleId="BodyTextFirstIndent2">
    <w:name w:val="Body Text First Indent 2"/>
    <w:basedOn w:val="BodyTextIndent"/>
    <w:link w:val="BodyTextFirstIndent2Char"/>
    <w:rsid w:val="008030C8"/>
    <w:pPr>
      <w:spacing w:after="0"/>
      <w:ind w:firstLine="360"/>
    </w:pPr>
    <w:rPr>
      <w:rFonts w:eastAsia="Times New Roman"/>
      <w:szCs w:val="24"/>
    </w:rPr>
  </w:style>
  <w:style w:type="character" w:customStyle="1" w:styleId="BodyTextFirstIndent2Char">
    <w:name w:val="Body Text First Indent 2 Char"/>
    <w:link w:val="BodyTextFirstIndent2"/>
    <w:rsid w:val="008030C8"/>
    <w:rPr>
      <w:rFonts w:ascii="Times New Roman" w:eastAsia="Times New Roman" w:hAnsi="Times New Roman"/>
      <w:szCs w:val="24"/>
    </w:rPr>
  </w:style>
  <w:style w:type="paragraph" w:customStyle="1" w:styleId="Caption1">
    <w:name w:val="Caption1"/>
    <w:basedOn w:val="Normal"/>
    <w:next w:val="Normal"/>
    <w:semiHidden/>
    <w:unhideWhenUsed/>
    <w:qFormat/>
    <w:locked/>
    <w:rsid w:val="008030C8"/>
    <w:pPr>
      <w:spacing w:after="200"/>
    </w:pPr>
    <w:rPr>
      <w:rFonts w:eastAsia="Times New Roman"/>
      <w:b/>
      <w:bCs/>
      <w:color w:val="4F81BD"/>
      <w:sz w:val="18"/>
      <w:szCs w:val="18"/>
    </w:rPr>
  </w:style>
  <w:style w:type="paragraph" w:styleId="Closing">
    <w:name w:val="Closing"/>
    <w:basedOn w:val="Normal"/>
    <w:link w:val="ClosingChar"/>
    <w:rsid w:val="008030C8"/>
    <w:pPr>
      <w:spacing w:after="0"/>
      <w:ind w:left="4320"/>
    </w:pPr>
    <w:rPr>
      <w:rFonts w:eastAsia="Times New Roman"/>
      <w:szCs w:val="24"/>
    </w:rPr>
  </w:style>
  <w:style w:type="character" w:customStyle="1" w:styleId="ClosingChar">
    <w:name w:val="Closing Char"/>
    <w:link w:val="Closing"/>
    <w:rsid w:val="008030C8"/>
    <w:rPr>
      <w:rFonts w:ascii="Times New Roman" w:eastAsia="Times New Roman" w:hAnsi="Times New Roman"/>
      <w:szCs w:val="24"/>
    </w:rPr>
  </w:style>
  <w:style w:type="paragraph" w:styleId="Date">
    <w:name w:val="Date"/>
    <w:basedOn w:val="Normal"/>
    <w:next w:val="Normal"/>
    <w:link w:val="DateChar"/>
    <w:rsid w:val="008030C8"/>
    <w:pPr>
      <w:spacing w:after="0"/>
    </w:pPr>
    <w:rPr>
      <w:rFonts w:eastAsia="Times New Roman"/>
      <w:szCs w:val="24"/>
    </w:rPr>
  </w:style>
  <w:style w:type="character" w:customStyle="1" w:styleId="DateChar">
    <w:name w:val="Date Char"/>
    <w:link w:val="Date"/>
    <w:rsid w:val="008030C8"/>
    <w:rPr>
      <w:rFonts w:ascii="Times New Roman" w:eastAsia="Times New Roman" w:hAnsi="Times New Roman"/>
      <w:szCs w:val="24"/>
    </w:rPr>
  </w:style>
  <w:style w:type="paragraph" w:styleId="DocumentMap">
    <w:name w:val="Document Map"/>
    <w:basedOn w:val="Normal"/>
    <w:link w:val="DocumentMapChar"/>
    <w:rsid w:val="008030C8"/>
    <w:pPr>
      <w:spacing w:after="0"/>
    </w:pPr>
    <w:rPr>
      <w:rFonts w:ascii="Tahoma" w:eastAsia="Times New Roman" w:hAnsi="Tahoma" w:cs="Tahoma"/>
      <w:sz w:val="16"/>
      <w:szCs w:val="16"/>
    </w:rPr>
  </w:style>
  <w:style w:type="character" w:customStyle="1" w:styleId="DocumentMapChar">
    <w:name w:val="Document Map Char"/>
    <w:link w:val="DocumentMap"/>
    <w:rsid w:val="008030C8"/>
    <w:rPr>
      <w:rFonts w:ascii="Tahoma" w:eastAsia="Times New Roman" w:hAnsi="Tahoma" w:cs="Tahoma"/>
      <w:sz w:val="16"/>
      <w:szCs w:val="16"/>
    </w:rPr>
  </w:style>
  <w:style w:type="paragraph" w:styleId="E-mailSignature">
    <w:name w:val="E-mail Signature"/>
    <w:basedOn w:val="Normal"/>
    <w:link w:val="E-mailSignatureChar"/>
    <w:rsid w:val="008030C8"/>
    <w:pPr>
      <w:spacing w:after="0"/>
    </w:pPr>
    <w:rPr>
      <w:rFonts w:eastAsia="Times New Roman"/>
      <w:szCs w:val="24"/>
    </w:rPr>
  </w:style>
  <w:style w:type="character" w:customStyle="1" w:styleId="E-mailSignatureChar">
    <w:name w:val="E-mail Signature Char"/>
    <w:link w:val="E-mailSignature"/>
    <w:rsid w:val="008030C8"/>
    <w:rPr>
      <w:rFonts w:ascii="Times New Roman" w:eastAsia="Times New Roman" w:hAnsi="Times New Roman"/>
      <w:szCs w:val="24"/>
    </w:rPr>
  </w:style>
  <w:style w:type="paragraph" w:customStyle="1" w:styleId="EnvelopeAddress1">
    <w:name w:val="Envelope Address1"/>
    <w:basedOn w:val="Normal"/>
    <w:next w:val="EnvelopeAddress"/>
    <w:locked/>
    <w:rsid w:val="008030C8"/>
    <w:pPr>
      <w:framePr w:w="7920" w:h="1980" w:hRule="exact" w:hSpace="180" w:wrap="auto" w:hAnchor="page" w:xAlign="center" w:yAlign="bottom"/>
      <w:spacing w:after="0"/>
      <w:ind w:left="2880"/>
    </w:pPr>
    <w:rPr>
      <w:rFonts w:ascii="Cambria" w:eastAsia="Times New Roman" w:hAnsi="Cambria"/>
      <w:sz w:val="24"/>
      <w:szCs w:val="24"/>
    </w:rPr>
  </w:style>
  <w:style w:type="paragraph" w:customStyle="1" w:styleId="EnvelopeReturn1">
    <w:name w:val="Envelope Return1"/>
    <w:basedOn w:val="Normal"/>
    <w:next w:val="EnvelopeReturn"/>
    <w:locked/>
    <w:rsid w:val="008030C8"/>
    <w:pPr>
      <w:spacing w:after="0"/>
    </w:pPr>
    <w:rPr>
      <w:rFonts w:ascii="Cambria" w:eastAsia="Times New Roman" w:hAnsi="Cambria"/>
      <w:szCs w:val="20"/>
    </w:rPr>
  </w:style>
  <w:style w:type="paragraph" w:styleId="HTMLAddress">
    <w:name w:val="HTML Address"/>
    <w:basedOn w:val="Normal"/>
    <w:link w:val="HTMLAddressChar"/>
    <w:rsid w:val="008030C8"/>
    <w:pPr>
      <w:spacing w:after="0"/>
    </w:pPr>
    <w:rPr>
      <w:rFonts w:eastAsia="Times New Roman"/>
      <w:i/>
      <w:iCs/>
      <w:szCs w:val="24"/>
    </w:rPr>
  </w:style>
  <w:style w:type="character" w:customStyle="1" w:styleId="HTMLAddressChar">
    <w:name w:val="HTML Address Char"/>
    <w:link w:val="HTMLAddress"/>
    <w:rsid w:val="008030C8"/>
    <w:rPr>
      <w:rFonts w:ascii="Times New Roman" w:eastAsia="Times New Roman" w:hAnsi="Times New Roman"/>
      <w:i/>
      <w:iCs/>
      <w:szCs w:val="24"/>
    </w:rPr>
  </w:style>
  <w:style w:type="paragraph" w:styleId="HTMLPreformatted">
    <w:name w:val="HTML Preformatted"/>
    <w:basedOn w:val="Normal"/>
    <w:link w:val="HTMLPreformattedChar"/>
    <w:rsid w:val="008030C8"/>
    <w:pPr>
      <w:spacing w:after="0"/>
    </w:pPr>
    <w:rPr>
      <w:rFonts w:ascii="Consolas" w:eastAsia="Times New Roman" w:hAnsi="Consolas" w:cs="Consolas"/>
      <w:szCs w:val="20"/>
    </w:rPr>
  </w:style>
  <w:style w:type="character" w:customStyle="1" w:styleId="HTMLPreformattedChar">
    <w:name w:val="HTML Preformatted Char"/>
    <w:link w:val="HTMLPreformatted"/>
    <w:rsid w:val="008030C8"/>
    <w:rPr>
      <w:rFonts w:ascii="Consolas" w:eastAsia="Times New Roman" w:hAnsi="Consolas" w:cs="Consolas"/>
    </w:rPr>
  </w:style>
  <w:style w:type="paragraph" w:customStyle="1" w:styleId="IntenseQuote1">
    <w:name w:val="Intense Quote1"/>
    <w:basedOn w:val="Normal"/>
    <w:next w:val="Normal"/>
    <w:uiPriority w:val="30"/>
    <w:qFormat/>
    <w:rsid w:val="008030C8"/>
    <w:pPr>
      <w:pBdr>
        <w:bottom w:val="single" w:sz="4" w:space="4" w:color="4F81BD"/>
      </w:pBdr>
      <w:spacing w:before="200" w:after="280"/>
      <w:ind w:left="936" w:right="936"/>
    </w:pPr>
    <w:rPr>
      <w:rFonts w:eastAsia="Times New Roman"/>
      <w:b/>
      <w:bCs/>
      <w:i/>
      <w:iCs/>
      <w:color w:val="4F81BD"/>
      <w:szCs w:val="24"/>
    </w:rPr>
  </w:style>
  <w:style w:type="character" w:customStyle="1" w:styleId="IntenseQuoteChar">
    <w:name w:val="Intense Quote Char"/>
    <w:link w:val="IntenseQuote"/>
    <w:uiPriority w:val="30"/>
    <w:rsid w:val="008030C8"/>
    <w:rPr>
      <w:b/>
      <w:bCs/>
      <w:i/>
      <w:iCs/>
      <w:color w:val="4F81BD"/>
      <w:szCs w:val="24"/>
    </w:rPr>
  </w:style>
  <w:style w:type="paragraph" w:styleId="List">
    <w:name w:val="List"/>
    <w:basedOn w:val="Normal"/>
    <w:rsid w:val="008030C8"/>
    <w:pPr>
      <w:spacing w:after="0"/>
      <w:ind w:left="360" w:hanging="360"/>
      <w:contextualSpacing/>
    </w:pPr>
    <w:rPr>
      <w:rFonts w:eastAsia="Times New Roman"/>
      <w:szCs w:val="24"/>
    </w:rPr>
  </w:style>
  <w:style w:type="paragraph" w:styleId="List2">
    <w:name w:val="List 2"/>
    <w:basedOn w:val="Normal"/>
    <w:rsid w:val="008030C8"/>
    <w:pPr>
      <w:spacing w:after="0"/>
      <w:ind w:left="720" w:hanging="360"/>
      <w:contextualSpacing/>
    </w:pPr>
    <w:rPr>
      <w:rFonts w:eastAsia="Times New Roman"/>
      <w:szCs w:val="24"/>
    </w:rPr>
  </w:style>
  <w:style w:type="paragraph" w:styleId="List3">
    <w:name w:val="List 3"/>
    <w:basedOn w:val="Normal"/>
    <w:rsid w:val="008030C8"/>
    <w:pPr>
      <w:spacing w:after="0"/>
      <w:ind w:left="1080" w:hanging="360"/>
      <w:contextualSpacing/>
    </w:pPr>
    <w:rPr>
      <w:rFonts w:eastAsia="Times New Roman"/>
      <w:szCs w:val="24"/>
    </w:rPr>
  </w:style>
  <w:style w:type="paragraph" w:styleId="List4">
    <w:name w:val="List 4"/>
    <w:basedOn w:val="Normal"/>
    <w:rsid w:val="008030C8"/>
    <w:pPr>
      <w:spacing w:after="0"/>
      <w:ind w:left="1440" w:hanging="360"/>
      <w:contextualSpacing/>
    </w:pPr>
    <w:rPr>
      <w:rFonts w:eastAsia="Times New Roman"/>
      <w:szCs w:val="24"/>
    </w:rPr>
  </w:style>
  <w:style w:type="paragraph" w:styleId="List5">
    <w:name w:val="List 5"/>
    <w:basedOn w:val="Normal"/>
    <w:rsid w:val="008030C8"/>
    <w:pPr>
      <w:spacing w:after="0"/>
      <w:ind w:left="1800" w:hanging="360"/>
      <w:contextualSpacing/>
    </w:pPr>
    <w:rPr>
      <w:rFonts w:eastAsia="Times New Roman"/>
      <w:szCs w:val="24"/>
    </w:rPr>
  </w:style>
  <w:style w:type="paragraph" w:styleId="ListBullet2">
    <w:name w:val="List Bullet 2"/>
    <w:basedOn w:val="Normal"/>
    <w:rsid w:val="008030C8"/>
    <w:pPr>
      <w:numPr>
        <w:numId w:val="12"/>
      </w:numPr>
      <w:spacing w:after="0"/>
      <w:contextualSpacing/>
    </w:pPr>
    <w:rPr>
      <w:rFonts w:eastAsia="Times New Roman"/>
      <w:szCs w:val="24"/>
    </w:rPr>
  </w:style>
  <w:style w:type="paragraph" w:styleId="ListBullet3">
    <w:name w:val="List Bullet 3"/>
    <w:basedOn w:val="Normal"/>
    <w:rsid w:val="008030C8"/>
    <w:pPr>
      <w:numPr>
        <w:numId w:val="13"/>
      </w:numPr>
      <w:spacing w:after="0"/>
      <w:contextualSpacing/>
    </w:pPr>
    <w:rPr>
      <w:rFonts w:eastAsia="Times New Roman"/>
      <w:szCs w:val="24"/>
    </w:rPr>
  </w:style>
  <w:style w:type="paragraph" w:styleId="ListBullet4">
    <w:name w:val="List Bullet 4"/>
    <w:basedOn w:val="Normal"/>
    <w:rsid w:val="008030C8"/>
    <w:pPr>
      <w:numPr>
        <w:numId w:val="14"/>
      </w:numPr>
      <w:spacing w:after="0"/>
      <w:contextualSpacing/>
    </w:pPr>
    <w:rPr>
      <w:rFonts w:eastAsia="Times New Roman"/>
      <w:szCs w:val="24"/>
    </w:rPr>
  </w:style>
  <w:style w:type="paragraph" w:styleId="ListBullet5">
    <w:name w:val="List Bullet 5"/>
    <w:basedOn w:val="Normal"/>
    <w:rsid w:val="008030C8"/>
    <w:pPr>
      <w:numPr>
        <w:numId w:val="15"/>
      </w:numPr>
      <w:spacing w:after="0"/>
      <w:contextualSpacing/>
    </w:pPr>
    <w:rPr>
      <w:rFonts w:eastAsia="Times New Roman"/>
      <w:szCs w:val="24"/>
    </w:rPr>
  </w:style>
  <w:style w:type="paragraph" w:styleId="ListContinue">
    <w:name w:val="List Continue"/>
    <w:basedOn w:val="Normal"/>
    <w:rsid w:val="008030C8"/>
    <w:pPr>
      <w:spacing w:after="120"/>
      <w:ind w:left="360"/>
      <w:contextualSpacing/>
    </w:pPr>
    <w:rPr>
      <w:rFonts w:eastAsia="Times New Roman"/>
      <w:szCs w:val="24"/>
    </w:rPr>
  </w:style>
  <w:style w:type="paragraph" w:styleId="ListContinue2">
    <w:name w:val="List Continue 2"/>
    <w:basedOn w:val="Normal"/>
    <w:rsid w:val="008030C8"/>
    <w:pPr>
      <w:spacing w:after="120"/>
      <w:ind w:left="720"/>
      <w:contextualSpacing/>
    </w:pPr>
    <w:rPr>
      <w:rFonts w:eastAsia="Times New Roman"/>
      <w:szCs w:val="24"/>
    </w:rPr>
  </w:style>
  <w:style w:type="paragraph" w:styleId="ListContinue3">
    <w:name w:val="List Continue 3"/>
    <w:basedOn w:val="Normal"/>
    <w:rsid w:val="008030C8"/>
    <w:pPr>
      <w:spacing w:after="120"/>
      <w:ind w:left="1080"/>
      <w:contextualSpacing/>
    </w:pPr>
    <w:rPr>
      <w:rFonts w:eastAsia="Times New Roman"/>
      <w:szCs w:val="24"/>
    </w:rPr>
  </w:style>
  <w:style w:type="paragraph" w:styleId="ListContinue4">
    <w:name w:val="List Continue 4"/>
    <w:basedOn w:val="Normal"/>
    <w:rsid w:val="008030C8"/>
    <w:pPr>
      <w:spacing w:after="120"/>
      <w:ind w:left="1440"/>
      <w:contextualSpacing/>
    </w:pPr>
    <w:rPr>
      <w:rFonts w:eastAsia="Times New Roman"/>
      <w:szCs w:val="24"/>
    </w:rPr>
  </w:style>
  <w:style w:type="paragraph" w:styleId="ListContinue5">
    <w:name w:val="List Continue 5"/>
    <w:basedOn w:val="Normal"/>
    <w:rsid w:val="008030C8"/>
    <w:pPr>
      <w:spacing w:after="120"/>
      <w:ind w:left="1800"/>
      <w:contextualSpacing/>
    </w:pPr>
    <w:rPr>
      <w:rFonts w:eastAsia="Times New Roman"/>
      <w:szCs w:val="24"/>
    </w:rPr>
  </w:style>
  <w:style w:type="paragraph" w:styleId="ListNumber2">
    <w:name w:val="List Number 2"/>
    <w:basedOn w:val="Normal"/>
    <w:qFormat/>
    <w:rsid w:val="008030C8"/>
    <w:pPr>
      <w:numPr>
        <w:numId w:val="16"/>
      </w:numPr>
      <w:spacing w:after="0"/>
      <w:contextualSpacing/>
    </w:pPr>
    <w:rPr>
      <w:rFonts w:eastAsia="Times New Roman"/>
      <w:szCs w:val="24"/>
    </w:rPr>
  </w:style>
  <w:style w:type="paragraph" w:styleId="ListNumber3">
    <w:name w:val="List Number 3"/>
    <w:basedOn w:val="Normal"/>
    <w:rsid w:val="008030C8"/>
    <w:pPr>
      <w:numPr>
        <w:numId w:val="17"/>
      </w:numPr>
      <w:spacing w:after="0"/>
      <w:contextualSpacing/>
    </w:pPr>
    <w:rPr>
      <w:rFonts w:eastAsia="Times New Roman"/>
      <w:szCs w:val="24"/>
    </w:rPr>
  </w:style>
  <w:style w:type="paragraph" w:styleId="ListNumber4">
    <w:name w:val="List Number 4"/>
    <w:basedOn w:val="Normal"/>
    <w:rsid w:val="008030C8"/>
    <w:pPr>
      <w:numPr>
        <w:numId w:val="18"/>
      </w:numPr>
      <w:spacing w:after="0"/>
      <w:contextualSpacing/>
    </w:pPr>
    <w:rPr>
      <w:rFonts w:eastAsia="Times New Roman"/>
      <w:szCs w:val="24"/>
    </w:rPr>
  </w:style>
  <w:style w:type="paragraph" w:styleId="ListNumber5">
    <w:name w:val="List Number 5"/>
    <w:basedOn w:val="Normal"/>
    <w:rsid w:val="008030C8"/>
    <w:pPr>
      <w:numPr>
        <w:numId w:val="19"/>
      </w:numPr>
      <w:spacing w:after="0"/>
      <w:contextualSpacing/>
    </w:pPr>
    <w:rPr>
      <w:rFonts w:eastAsia="Times New Roman"/>
      <w:szCs w:val="24"/>
    </w:rPr>
  </w:style>
  <w:style w:type="paragraph" w:styleId="MacroText">
    <w:name w:val="macro"/>
    <w:link w:val="MacroTextChar"/>
    <w:rsid w:val="008030C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imes New Roman" w:hAnsi="Consolas" w:cs="Consolas"/>
    </w:rPr>
  </w:style>
  <w:style w:type="character" w:customStyle="1" w:styleId="MacroTextChar">
    <w:name w:val="Macro Text Char"/>
    <w:link w:val="MacroText"/>
    <w:rsid w:val="008030C8"/>
    <w:rPr>
      <w:rFonts w:ascii="Consolas" w:eastAsia="Times New Roman" w:hAnsi="Consolas" w:cs="Consolas"/>
    </w:rPr>
  </w:style>
  <w:style w:type="paragraph" w:customStyle="1" w:styleId="MessageHeader1">
    <w:name w:val="Message Header1"/>
    <w:basedOn w:val="Normal"/>
    <w:next w:val="MessageHeader"/>
    <w:link w:val="MessageHeaderChar"/>
    <w:locked/>
    <w:rsid w:val="008030C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Cambria" w:eastAsia="Times New Roman" w:hAnsi="Cambria"/>
      <w:sz w:val="24"/>
      <w:szCs w:val="24"/>
    </w:rPr>
  </w:style>
  <w:style w:type="character" w:customStyle="1" w:styleId="MessageHeaderChar">
    <w:name w:val="Message Header Char"/>
    <w:link w:val="MessageHeader1"/>
    <w:rsid w:val="008030C8"/>
    <w:rPr>
      <w:rFonts w:ascii="Cambria" w:eastAsia="Times New Roman" w:hAnsi="Cambria"/>
      <w:sz w:val="24"/>
      <w:szCs w:val="24"/>
      <w:shd w:val="pct20" w:color="auto" w:fill="auto"/>
    </w:rPr>
  </w:style>
  <w:style w:type="paragraph" w:styleId="NormalIndent">
    <w:name w:val="Normal Indent"/>
    <w:basedOn w:val="Normal"/>
    <w:rsid w:val="008030C8"/>
    <w:pPr>
      <w:spacing w:after="0"/>
      <w:ind w:left="720"/>
    </w:pPr>
    <w:rPr>
      <w:rFonts w:eastAsia="Times New Roman"/>
      <w:szCs w:val="24"/>
    </w:rPr>
  </w:style>
  <w:style w:type="paragraph" w:styleId="NoteHeading">
    <w:name w:val="Note Heading"/>
    <w:basedOn w:val="Normal"/>
    <w:next w:val="Normal"/>
    <w:link w:val="NoteHeadingChar"/>
    <w:rsid w:val="008030C8"/>
    <w:pPr>
      <w:spacing w:after="0"/>
    </w:pPr>
    <w:rPr>
      <w:rFonts w:eastAsia="Times New Roman"/>
      <w:szCs w:val="24"/>
    </w:rPr>
  </w:style>
  <w:style w:type="character" w:customStyle="1" w:styleId="NoteHeadingChar">
    <w:name w:val="Note Heading Char"/>
    <w:link w:val="NoteHeading"/>
    <w:rsid w:val="008030C8"/>
    <w:rPr>
      <w:rFonts w:ascii="Times New Roman" w:eastAsia="Times New Roman" w:hAnsi="Times New Roman"/>
      <w:szCs w:val="24"/>
    </w:rPr>
  </w:style>
  <w:style w:type="paragraph" w:styleId="PlainText">
    <w:name w:val="Plain Text"/>
    <w:basedOn w:val="Normal"/>
    <w:link w:val="PlainTextChar"/>
    <w:rsid w:val="008030C8"/>
    <w:pPr>
      <w:spacing w:after="0"/>
    </w:pPr>
    <w:rPr>
      <w:rFonts w:ascii="Consolas" w:eastAsia="Times New Roman" w:hAnsi="Consolas" w:cs="Consolas"/>
      <w:sz w:val="21"/>
      <w:szCs w:val="21"/>
    </w:rPr>
  </w:style>
  <w:style w:type="character" w:customStyle="1" w:styleId="PlainTextChar">
    <w:name w:val="Plain Text Char"/>
    <w:link w:val="PlainText"/>
    <w:rsid w:val="008030C8"/>
    <w:rPr>
      <w:rFonts w:ascii="Consolas" w:eastAsia="Times New Roman" w:hAnsi="Consolas" w:cs="Consolas"/>
      <w:sz w:val="21"/>
      <w:szCs w:val="21"/>
    </w:rPr>
  </w:style>
  <w:style w:type="paragraph" w:customStyle="1" w:styleId="Quote1">
    <w:name w:val="Quote1"/>
    <w:basedOn w:val="Normal"/>
    <w:next w:val="Normal"/>
    <w:uiPriority w:val="29"/>
    <w:qFormat/>
    <w:rsid w:val="008030C8"/>
    <w:pPr>
      <w:spacing w:after="0"/>
    </w:pPr>
    <w:rPr>
      <w:rFonts w:eastAsia="Times New Roman"/>
      <w:i/>
      <w:iCs/>
      <w:color w:val="000000"/>
      <w:szCs w:val="24"/>
    </w:rPr>
  </w:style>
  <w:style w:type="character" w:customStyle="1" w:styleId="QuoteChar">
    <w:name w:val="Quote Char"/>
    <w:link w:val="Quote"/>
    <w:uiPriority w:val="29"/>
    <w:rsid w:val="008030C8"/>
    <w:rPr>
      <w:i/>
      <w:iCs/>
      <w:color w:val="000000"/>
      <w:szCs w:val="24"/>
    </w:rPr>
  </w:style>
  <w:style w:type="paragraph" w:styleId="Salutation">
    <w:name w:val="Salutation"/>
    <w:basedOn w:val="Normal"/>
    <w:next w:val="Normal"/>
    <w:link w:val="SalutationChar"/>
    <w:rsid w:val="008030C8"/>
    <w:pPr>
      <w:spacing w:after="0"/>
    </w:pPr>
    <w:rPr>
      <w:rFonts w:eastAsia="Times New Roman"/>
      <w:szCs w:val="24"/>
    </w:rPr>
  </w:style>
  <w:style w:type="character" w:customStyle="1" w:styleId="SalutationChar">
    <w:name w:val="Salutation Char"/>
    <w:link w:val="Salutation"/>
    <w:rsid w:val="008030C8"/>
    <w:rPr>
      <w:rFonts w:ascii="Times New Roman" w:eastAsia="Times New Roman" w:hAnsi="Times New Roman"/>
      <w:szCs w:val="24"/>
    </w:rPr>
  </w:style>
  <w:style w:type="paragraph" w:styleId="Signature">
    <w:name w:val="Signature"/>
    <w:basedOn w:val="Normal"/>
    <w:link w:val="SignatureChar"/>
    <w:rsid w:val="008030C8"/>
    <w:pPr>
      <w:spacing w:after="0"/>
      <w:ind w:left="4320"/>
    </w:pPr>
    <w:rPr>
      <w:rFonts w:eastAsia="Times New Roman"/>
      <w:szCs w:val="24"/>
    </w:rPr>
  </w:style>
  <w:style w:type="character" w:customStyle="1" w:styleId="SignatureChar">
    <w:name w:val="Signature Char"/>
    <w:link w:val="Signature"/>
    <w:rsid w:val="008030C8"/>
    <w:rPr>
      <w:rFonts w:ascii="Times New Roman" w:eastAsia="Times New Roman" w:hAnsi="Times New Roman"/>
      <w:szCs w:val="24"/>
    </w:rPr>
  </w:style>
  <w:style w:type="paragraph" w:customStyle="1" w:styleId="Subtitle1">
    <w:name w:val="Subtitle1"/>
    <w:basedOn w:val="Normal"/>
    <w:next w:val="Normal"/>
    <w:qFormat/>
    <w:locked/>
    <w:rsid w:val="008030C8"/>
    <w:pPr>
      <w:numPr>
        <w:ilvl w:val="1"/>
      </w:numPr>
      <w:spacing w:after="0"/>
    </w:pPr>
    <w:rPr>
      <w:rFonts w:ascii="Cambria" w:eastAsia="Times New Roman" w:hAnsi="Cambria"/>
      <w:i/>
      <w:iCs/>
      <w:color w:val="4F81BD"/>
      <w:spacing w:val="15"/>
      <w:sz w:val="24"/>
      <w:szCs w:val="24"/>
    </w:rPr>
  </w:style>
  <w:style w:type="character" w:customStyle="1" w:styleId="SubtitleChar">
    <w:name w:val="Subtitle Char"/>
    <w:link w:val="Subtitle"/>
    <w:rsid w:val="008030C8"/>
    <w:rPr>
      <w:rFonts w:ascii="Cambria" w:eastAsia="Times New Roman" w:hAnsi="Cambria"/>
      <w:i/>
      <w:iCs/>
      <w:color w:val="4F81BD"/>
      <w:spacing w:val="15"/>
      <w:sz w:val="24"/>
      <w:szCs w:val="24"/>
    </w:rPr>
  </w:style>
  <w:style w:type="paragraph" w:styleId="TableofAuthorities">
    <w:name w:val="table of authorities"/>
    <w:basedOn w:val="Normal"/>
    <w:next w:val="Normal"/>
    <w:rsid w:val="008030C8"/>
    <w:pPr>
      <w:spacing w:after="0"/>
      <w:ind w:left="200" w:hanging="200"/>
    </w:pPr>
    <w:rPr>
      <w:rFonts w:eastAsia="Times New Roman"/>
      <w:szCs w:val="24"/>
    </w:rPr>
  </w:style>
  <w:style w:type="paragraph" w:styleId="TableofFigures">
    <w:name w:val="table of figures"/>
    <w:basedOn w:val="Normal"/>
    <w:next w:val="Normal"/>
    <w:rsid w:val="008030C8"/>
    <w:pPr>
      <w:spacing w:after="0"/>
    </w:pPr>
    <w:rPr>
      <w:rFonts w:eastAsia="Times New Roman"/>
      <w:szCs w:val="24"/>
    </w:rPr>
  </w:style>
  <w:style w:type="paragraph" w:customStyle="1" w:styleId="Title1">
    <w:name w:val="Title1"/>
    <w:basedOn w:val="Normal"/>
    <w:next w:val="Normal"/>
    <w:qFormat/>
    <w:locked/>
    <w:rsid w:val="008030C8"/>
    <w:pPr>
      <w:pBdr>
        <w:bottom w:val="single" w:sz="8" w:space="4" w:color="4F81BD"/>
      </w:pBdr>
      <w:spacing w:after="300"/>
      <w:contextualSpacing/>
    </w:pPr>
    <w:rPr>
      <w:rFonts w:ascii="Cambria" w:eastAsia="Times New Roman" w:hAnsi="Cambria"/>
      <w:color w:val="17365D"/>
      <w:spacing w:val="5"/>
      <w:kern w:val="28"/>
      <w:sz w:val="52"/>
      <w:szCs w:val="52"/>
    </w:rPr>
  </w:style>
  <w:style w:type="paragraph" w:customStyle="1" w:styleId="TOAHeading1">
    <w:name w:val="TOA Heading1"/>
    <w:basedOn w:val="Normal"/>
    <w:next w:val="Normal"/>
    <w:locked/>
    <w:rsid w:val="008030C8"/>
    <w:pPr>
      <w:spacing w:before="120" w:after="0"/>
    </w:pPr>
    <w:rPr>
      <w:rFonts w:ascii="Cambria" w:eastAsia="Times New Roman" w:hAnsi="Cambria"/>
      <w:b/>
      <w:bCs/>
      <w:sz w:val="24"/>
      <w:szCs w:val="24"/>
    </w:rPr>
  </w:style>
  <w:style w:type="paragraph" w:customStyle="1" w:styleId="TOCHeading1">
    <w:name w:val="TOC Heading1"/>
    <w:basedOn w:val="Heading1"/>
    <w:next w:val="Normal"/>
    <w:uiPriority w:val="39"/>
    <w:semiHidden/>
    <w:unhideWhenUsed/>
    <w:qFormat/>
    <w:rsid w:val="008030C8"/>
    <w:pPr>
      <w:spacing w:before="480" w:after="0"/>
      <w:ind w:left="0" w:firstLine="0"/>
      <w:outlineLvl w:val="9"/>
    </w:pPr>
    <w:rPr>
      <w:rFonts w:ascii="Cambria" w:hAnsi="Cambria"/>
      <w:caps w:val="0"/>
      <w:color w:val="365F91"/>
      <w:sz w:val="28"/>
    </w:rPr>
  </w:style>
  <w:style w:type="paragraph" w:customStyle="1" w:styleId="StyleUniformLevel3">
    <w:name w:val="Style UniformLevel3 +"/>
    <w:basedOn w:val="UniformLevel3"/>
    <w:rsid w:val="008030C8"/>
    <w:rPr>
      <w:bCs w:val="0"/>
      <w:iCs w:val="0"/>
    </w:rPr>
  </w:style>
  <w:style w:type="paragraph" w:styleId="Index1">
    <w:name w:val="index 1"/>
    <w:basedOn w:val="Normal"/>
    <w:next w:val="Normal"/>
    <w:autoRedefine/>
    <w:uiPriority w:val="99"/>
    <w:semiHidden/>
    <w:unhideWhenUsed/>
    <w:rsid w:val="008030C8"/>
    <w:pPr>
      <w:spacing w:after="0"/>
      <w:ind w:left="220" w:hanging="220"/>
      <w:jc w:val="left"/>
    </w:pPr>
    <w:rPr>
      <w:rFonts w:ascii="Calibri" w:hAnsi="Calibri"/>
      <w:sz w:val="22"/>
    </w:rPr>
  </w:style>
  <w:style w:type="paragraph" w:styleId="EnvelopeAddress">
    <w:name w:val="envelope address"/>
    <w:basedOn w:val="Normal"/>
    <w:unhideWhenUsed/>
    <w:rsid w:val="008030C8"/>
    <w:pPr>
      <w:framePr w:w="7920" w:h="1980" w:hRule="exact" w:hSpace="180" w:wrap="auto" w:hAnchor="page" w:xAlign="center" w:yAlign="bottom"/>
      <w:spacing w:after="0"/>
      <w:ind w:left="2880"/>
      <w:jc w:val="left"/>
    </w:pPr>
    <w:rPr>
      <w:rFonts w:ascii="Calibri Light" w:eastAsia="Times New Roman" w:hAnsi="Calibri Light"/>
      <w:sz w:val="24"/>
      <w:szCs w:val="24"/>
    </w:rPr>
  </w:style>
  <w:style w:type="paragraph" w:styleId="EnvelopeReturn">
    <w:name w:val="envelope return"/>
    <w:basedOn w:val="Normal"/>
    <w:unhideWhenUsed/>
    <w:rsid w:val="008030C8"/>
    <w:pPr>
      <w:spacing w:after="0"/>
      <w:jc w:val="left"/>
    </w:pPr>
    <w:rPr>
      <w:rFonts w:ascii="Calibri Light" w:eastAsia="Times New Roman" w:hAnsi="Calibri Light"/>
      <w:szCs w:val="20"/>
    </w:rPr>
  </w:style>
  <w:style w:type="paragraph" w:styleId="IntenseQuote">
    <w:name w:val="Intense Quote"/>
    <w:basedOn w:val="Normal"/>
    <w:next w:val="Normal"/>
    <w:link w:val="IntenseQuoteChar"/>
    <w:uiPriority w:val="30"/>
    <w:qFormat/>
    <w:rsid w:val="008030C8"/>
    <w:pPr>
      <w:pBdr>
        <w:top w:val="single" w:sz="4" w:space="10" w:color="4472C4"/>
        <w:bottom w:val="single" w:sz="4" w:space="10" w:color="4472C4"/>
      </w:pBdr>
      <w:spacing w:before="360" w:after="360" w:line="259" w:lineRule="auto"/>
      <w:ind w:left="864" w:right="864"/>
      <w:jc w:val="center"/>
    </w:pPr>
    <w:rPr>
      <w:rFonts w:ascii="Calibri" w:hAnsi="Calibri"/>
      <w:b/>
      <w:bCs/>
      <w:i/>
      <w:iCs/>
      <w:color w:val="4F81BD"/>
      <w:szCs w:val="24"/>
    </w:rPr>
  </w:style>
  <w:style w:type="character" w:customStyle="1" w:styleId="IntenseQuoteChar1">
    <w:name w:val="Intense Quote Char1"/>
    <w:uiPriority w:val="30"/>
    <w:rsid w:val="008030C8"/>
    <w:rPr>
      <w:rFonts w:ascii="Times New Roman" w:hAnsi="Times New Roman"/>
      <w:i/>
      <w:iCs/>
      <w:color w:val="4472C4"/>
      <w:szCs w:val="22"/>
    </w:rPr>
  </w:style>
  <w:style w:type="paragraph" w:styleId="MessageHeader">
    <w:name w:val="Message Header"/>
    <w:basedOn w:val="Normal"/>
    <w:link w:val="MessageHeaderChar1"/>
    <w:unhideWhenUsed/>
    <w:rsid w:val="008030C8"/>
    <w:pPr>
      <w:pBdr>
        <w:top w:val="single" w:sz="6" w:space="1" w:color="auto"/>
        <w:left w:val="single" w:sz="6" w:space="1" w:color="auto"/>
        <w:bottom w:val="single" w:sz="6" w:space="1" w:color="auto"/>
        <w:right w:val="single" w:sz="6" w:space="1" w:color="auto"/>
      </w:pBdr>
      <w:shd w:val="pct20" w:color="auto" w:fill="auto"/>
      <w:spacing w:after="0"/>
      <w:ind w:left="1080" w:hanging="1080"/>
      <w:jc w:val="left"/>
    </w:pPr>
    <w:rPr>
      <w:rFonts w:ascii="Calibri Light" w:eastAsia="Times New Roman" w:hAnsi="Calibri Light"/>
      <w:sz w:val="24"/>
      <w:szCs w:val="24"/>
    </w:rPr>
  </w:style>
  <w:style w:type="character" w:customStyle="1" w:styleId="MessageHeaderChar1">
    <w:name w:val="Message Header Char1"/>
    <w:link w:val="MessageHeader"/>
    <w:rsid w:val="008030C8"/>
    <w:rPr>
      <w:rFonts w:ascii="Calibri Light" w:eastAsia="Times New Roman" w:hAnsi="Calibri Light" w:cs="Times New Roman"/>
      <w:sz w:val="24"/>
      <w:szCs w:val="24"/>
      <w:shd w:val="pct20" w:color="auto" w:fill="auto"/>
    </w:rPr>
  </w:style>
  <w:style w:type="paragraph" w:styleId="Quote">
    <w:name w:val="Quote"/>
    <w:basedOn w:val="Normal"/>
    <w:next w:val="Normal"/>
    <w:link w:val="QuoteChar"/>
    <w:uiPriority w:val="29"/>
    <w:qFormat/>
    <w:rsid w:val="008030C8"/>
    <w:pPr>
      <w:spacing w:before="200" w:after="160" w:line="259" w:lineRule="auto"/>
      <w:ind w:left="864" w:right="864"/>
      <w:jc w:val="center"/>
    </w:pPr>
    <w:rPr>
      <w:rFonts w:ascii="Calibri" w:hAnsi="Calibri"/>
      <w:i/>
      <w:iCs/>
      <w:color w:val="000000"/>
      <w:szCs w:val="24"/>
    </w:rPr>
  </w:style>
  <w:style w:type="character" w:customStyle="1" w:styleId="QuoteChar1">
    <w:name w:val="Quote Char1"/>
    <w:uiPriority w:val="29"/>
    <w:rsid w:val="008030C8"/>
    <w:rPr>
      <w:rFonts w:ascii="Times New Roman" w:hAnsi="Times New Roman"/>
      <w:i/>
      <w:iCs/>
      <w:color w:val="404040"/>
      <w:szCs w:val="22"/>
    </w:rPr>
  </w:style>
  <w:style w:type="paragraph" w:styleId="Subtitle">
    <w:name w:val="Subtitle"/>
    <w:basedOn w:val="Normal"/>
    <w:next w:val="Normal"/>
    <w:link w:val="SubtitleChar"/>
    <w:qFormat/>
    <w:rsid w:val="008030C8"/>
    <w:pPr>
      <w:numPr>
        <w:ilvl w:val="1"/>
      </w:numPr>
      <w:spacing w:after="160" w:line="259" w:lineRule="auto"/>
      <w:jc w:val="left"/>
    </w:pPr>
    <w:rPr>
      <w:rFonts w:ascii="Cambria" w:eastAsia="Times New Roman" w:hAnsi="Cambria"/>
      <w:i/>
      <w:iCs/>
      <w:color w:val="4F81BD"/>
      <w:spacing w:val="15"/>
      <w:sz w:val="24"/>
      <w:szCs w:val="24"/>
    </w:rPr>
  </w:style>
  <w:style w:type="character" w:customStyle="1" w:styleId="SubtitleChar1">
    <w:name w:val="Subtitle Char1"/>
    <w:uiPriority w:val="11"/>
    <w:rsid w:val="008030C8"/>
    <w:rPr>
      <w:rFonts w:ascii="Calibri" w:eastAsia="Times New Roman" w:hAnsi="Calibri" w:cs="Times New Roman"/>
      <w:color w:val="5A5A5A"/>
      <w:spacing w:val="15"/>
      <w:sz w:val="22"/>
      <w:szCs w:val="22"/>
    </w:rPr>
  </w:style>
  <w:style w:type="character" w:customStyle="1" w:styleId="TitleChar1">
    <w:name w:val="Title Char1"/>
    <w:uiPriority w:val="10"/>
    <w:rsid w:val="008030C8"/>
    <w:rPr>
      <w:rFonts w:ascii="Calibri Light" w:eastAsia="Times New Roman" w:hAnsi="Calibri Light" w:cs="Times New Roman"/>
      <w:spacing w:val="-10"/>
      <w:kern w:val="28"/>
      <w:sz w:val="56"/>
      <w:szCs w:val="56"/>
    </w:rPr>
  </w:style>
  <w:style w:type="character" w:customStyle="1" w:styleId="UnresolvedMention1">
    <w:name w:val="Unresolved Mention1"/>
    <w:uiPriority w:val="99"/>
    <w:semiHidden/>
    <w:unhideWhenUsed/>
    <w:rsid w:val="00614F9F"/>
    <w:rPr>
      <w:color w:val="808080"/>
      <w:shd w:val="clear" w:color="auto" w:fill="E6E6E6"/>
    </w:rPr>
  </w:style>
  <w:style w:type="table" w:customStyle="1" w:styleId="TableGrid17">
    <w:name w:val="Table Grid17"/>
    <w:basedOn w:val="TableNormal"/>
    <w:next w:val="TableGrid"/>
    <w:uiPriority w:val="39"/>
    <w:rsid w:val="00611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A13CC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
    <w:link w:val="ListParagraph"/>
    <w:uiPriority w:val="34"/>
    <w:locked/>
    <w:rsid w:val="00563647"/>
    <w:rPr>
      <w:rFonts w:ascii="Times New Roman" w:hAnsi="Times New Roman"/>
      <w:szCs w:val="22"/>
    </w:rPr>
  </w:style>
  <w:style w:type="character" w:customStyle="1" w:styleId="HB133H2aChar0">
    <w:name w:val="HB133 H2a Char"/>
    <w:link w:val="HB133H2a"/>
    <w:locked/>
    <w:rsid w:val="00563647"/>
    <w:rPr>
      <w:rFonts w:ascii="Times New Roman" w:eastAsia="Times New Roman" w:hAnsi="Times New Roman"/>
      <w:b/>
      <w:color w:val="000000"/>
      <w:sz w:val="22"/>
    </w:rPr>
  </w:style>
  <w:style w:type="paragraph" w:customStyle="1" w:styleId="311H1">
    <w:name w:val="3.11. H1"/>
    <w:basedOn w:val="Normal"/>
    <w:link w:val="311H1Char"/>
    <w:qFormat/>
    <w:rsid w:val="00563647"/>
    <w:pPr>
      <w:keepNext/>
      <w:numPr>
        <w:ilvl w:val="1"/>
        <w:numId w:val="22"/>
      </w:numPr>
      <w:tabs>
        <w:tab w:val="right" w:leader="dot" w:pos="9360"/>
      </w:tabs>
      <w:spacing w:before="240"/>
      <w:jc w:val="left"/>
      <w:outlineLvl w:val="0"/>
    </w:pPr>
    <w:rPr>
      <w:rFonts w:eastAsia="Times New Roman"/>
      <w:b/>
      <w:bCs/>
      <w:noProof/>
      <w:color w:val="000000"/>
      <w:sz w:val="24"/>
      <w:szCs w:val="20"/>
    </w:rPr>
  </w:style>
  <w:style w:type="character" w:customStyle="1" w:styleId="3111H2Char">
    <w:name w:val="3.11.1. H2 Char"/>
    <w:link w:val="3111H2"/>
    <w:locked/>
    <w:rsid w:val="00563647"/>
    <w:rPr>
      <w:rFonts w:ascii="Times New Roman" w:eastAsia="Times New Roman" w:hAnsi="Times New Roman"/>
      <w:b/>
      <w:color w:val="000000"/>
      <w:sz w:val="22"/>
    </w:rPr>
  </w:style>
  <w:style w:type="paragraph" w:customStyle="1" w:styleId="3111H2">
    <w:name w:val="3.11.1. H2"/>
    <w:basedOn w:val="Normal"/>
    <w:link w:val="3111H2Char"/>
    <w:qFormat/>
    <w:rsid w:val="00563647"/>
    <w:pPr>
      <w:keepNext/>
      <w:numPr>
        <w:ilvl w:val="2"/>
        <w:numId w:val="22"/>
      </w:numPr>
      <w:tabs>
        <w:tab w:val="clear" w:pos="360"/>
      </w:tabs>
      <w:spacing w:before="240"/>
      <w:outlineLvl w:val="1"/>
    </w:pPr>
    <w:rPr>
      <w:rFonts w:eastAsia="Times New Roman"/>
      <w:b/>
      <w:color w:val="000000"/>
      <w:sz w:val="22"/>
      <w:szCs w:val="20"/>
    </w:rPr>
  </w:style>
  <w:style w:type="paragraph" w:customStyle="1" w:styleId="4211Hdg3">
    <w:name w:val="4.2.1.1. Hdg3"/>
    <w:basedOn w:val="3111H2"/>
    <w:qFormat/>
    <w:rsid w:val="00563647"/>
    <w:pPr>
      <w:numPr>
        <w:ilvl w:val="3"/>
      </w:numPr>
      <w:tabs>
        <w:tab w:val="left" w:pos="1620"/>
      </w:tabs>
    </w:pPr>
  </w:style>
  <w:style w:type="paragraph" w:customStyle="1" w:styleId="Style11ptBoldJu1JustifiedLeft05Hanging038">
    <w:name w:val="Style 11 pt Bold Ju(1) Justified Left:  0.5&quot; Hanging:  0.38&quot;"/>
    <w:basedOn w:val="Normal"/>
    <w:next w:val="TOC5"/>
    <w:rsid w:val="00097D7B"/>
    <w:pPr>
      <w:keepNext/>
      <w:numPr>
        <w:numId w:val="21"/>
      </w:numPr>
      <w:spacing w:after="0"/>
    </w:pPr>
    <w:rPr>
      <w:rFonts w:eastAsia="Times New Roman"/>
      <w:b/>
      <w:color w:val="000000"/>
      <w:sz w:val="22"/>
    </w:rPr>
  </w:style>
  <w:style w:type="paragraph" w:customStyle="1" w:styleId="HB133H3">
    <w:name w:val="HB133 H3"/>
    <w:basedOn w:val="Normal"/>
    <w:autoRedefine/>
    <w:rsid w:val="002F1B20"/>
    <w:pPr>
      <w:keepNext/>
      <w:tabs>
        <w:tab w:val="left" w:pos="1170"/>
        <w:tab w:val="left" w:pos="1800"/>
        <w:tab w:val="left" w:pos="5220"/>
        <w:tab w:val="right" w:leader="dot" w:pos="9360"/>
      </w:tabs>
      <w:spacing w:before="240"/>
      <w:ind w:left="1008" w:hanging="648"/>
      <w:jc w:val="left"/>
      <w:outlineLvl w:val="2"/>
    </w:pPr>
    <w:rPr>
      <w:rFonts w:eastAsia="Times New Roman"/>
      <w:b/>
      <w:bCs/>
      <w:noProof/>
      <w:sz w:val="22"/>
    </w:rPr>
  </w:style>
  <w:style w:type="paragraph" w:customStyle="1" w:styleId="HB133H4">
    <w:name w:val="HB133 H4"/>
    <w:basedOn w:val="ListParagraph"/>
    <w:qFormat/>
    <w:rsid w:val="002F1B20"/>
    <w:pPr>
      <w:keepNext/>
      <w:tabs>
        <w:tab w:val="num" w:pos="360"/>
        <w:tab w:val="left" w:pos="2520"/>
      </w:tabs>
      <w:spacing w:before="240"/>
      <w:ind w:left="2160" w:hanging="1080"/>
      <w:outlineLvl w:val="3"/>
    </w:pPr>
    <w:rPr>
      <w:rFonts w:ascii="Times New Roman Bold" w:eastAsia="Times New Roman" w:hAnsi="Times New Roman Bold"/>
      <w:b/>
      <w:color w:val="000000"/>
      <w:sz w:val="22"/>
      <w:szCs w:val="20"/>
    </w:rPr>
  </w:style>
  <w:style w:type="character" w:customStyle="1" w:styleId="HB133XXXChar">
    <w:name w:val="HB133 X.X.X. Char"/>
    <w:link w:val="HB133XXX"/>
    <w:locked/>
    <w:rsid w:val="002F1B20"/>
    <w:rPr>
      <w:rFonts w:ascii="Times New Roman" w:eastAsia="Times New Roman" w:hAnsi="Times New Roman"/>
      <w:b/>
      <w:bCs/>
      <w:noProof/>
      <w:color w:val="000000"/>
    </w:rPr>
  </w:style>
  <w:style w:type="paragraph" w:customStyle="1" w:styleId="HB133XXX">
    <w:name w:val="HB133 X.X.X."/>
    <w:basedOn w:val="Normal"/>
    <w:next w:val="Heading2"/>
    <w:link w:val="HB133XXXChar"/>
    <w:qFormat/>
    <w:rsid w:val="002F1B20"/>
    <w:pPr>
      <w:keepNext/>
      <w:tabs>
        <w:tab w:val="right" w:leader="dot" w:pos="9360"/>
      </w:tabs>
      <w:spacing w:before="240"/>
      <w:ind w:left="1267" w:hanging="907"/>
      <w:jc w:val="left"/>
      <w:outlineLvl w:val="1"/>
    </w:pPr>
    <w:rPr>
      <w:rFonts w:eastAsia="Times New Roman"/>
      <w:b/>
      <w:bCs/>
      <w:noProof/>
      <w:color w:val="000000"/>
      <w:szCs w:val="20"/>
    </w:rPr>
  </w:style>
  <w:style w:type="character" w:customStyle="1" w:styleId="HeadingSectionChar">
    <w:name w:val="Heading Section Char"/>
    <w:link w:val="HeadingSection"/>
    <w:rsid w:val="008D124F"/>
    <w:rPr>
      <w:rFonts w:ascii="Times New Roman" w:hAnsi="Times New Roman"/>
      <w:b/>
      <w:sz w:val="28"/>
      <w:szCs w:val="22"/>
    </w:rPr>
  </w:style>
  <w:style w:type="table" w:customStyle="1" w:styleId="TableGrid19">
    <w:name w:val="Table Grid19"/>
    <w:basedOn w:val="TableNormal"/>
    <w:next w:val="TableGrid"/>
    <w:uiPriority w:val="59"/>
    <w:rsid w:val="0071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next w:val="ColorfulList-Accent6"/>
    <w:uiPriority w:val="63"/>
    <w:rsid w:val="0071258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DarkList-Accent31">
    <w:name w:val="Dark List - Accent 31"/>
    <w:basedOn w:val="TableNormal"/>
    <w:next w:val="DarkList-Accent3"/>
    <w:uiPriority w:val="61"/>
    <w:rsid w:val="0071258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DarkList-Accent51">
    <w:name w:val="Dark List - Accent 51"/>
    <w:basedOn w:val="TableNormal"/>
    <w:next w:val="DarkList-Accent5"/>
    <w:uiPriority w:val="61"/>
    <w:rsid w:val="0071258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10">
    <w:name w:val="Table Grid110"/>
    <w:basedOn w:val="TableNormal"/>
    <w:next w:val="TableGrid"/>
    <w:uiPriority w:val="59"/>
    <w:rsid w:val="00712584"/>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2584"/>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1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12584"/>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611">
    <w:name w:val="Medium Shading 1 - Accent 611"/>
    <w:basedOn w:val="TableNormal"/>
    <w:next w:val="ColorfulList-Accent6"/>
    <w:uiPriority w:val="63"/>
    <w:rsid w:val="00712584"/>
    <w:pPr>
      <w:jc w:val="center"/>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311">
    <w:name w:val="Light List - Accent 311"/>
    <w:basedOn w:val="TableNormal"/>
    <w:next w:val="DarkList-Accent3"/>
    <w:uiPriority w:val="61"/>
    <w:rsid w:val="00712584"/>
    <w:pPr>
      <w:jc w:val="center"/>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511">
    <w:name w:val="Light List - Accent 511"/>
    <w:basedOn w:val="TableNormal"/>
    <w:next w:val="DarkList-Accent5"/>
    <w:uiPriority w:val="61"/>
    <w:rsid w:val="00712584"/>
    <w:pPr>
      <w:jc w:val="center"/>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81">
    <w:name w:val="Table Grid8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7125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B133H3aChar">
    <w:name w:val="HB133 H3a Char"/>
    <w:link w:val="HB133H3a"/>
    <w:locked/>
    <w:rsid w:val="00E52BF2"/>
    <w:rPr>
      <w:rFonts w:ascii="Times New Roman" w:eastAsia="Times New Roman" w:hAnsi="Times New Roman"/>
      <w:b/>
      <w:color w:val="000000"/>
    </w:rPr>
  </w:style>
  <w:style w:type="paragraph" w:customStyle="1" w:styleId="HB133H3a">
    <w:name w:val="HB133 H3a"/>
    <w:basedOn w:val="ListParagraph"/>
    <w:next w:val="Heading3"/>
    <w:link w:val="HB133H3aChar"/>
    <w:qFormat/>
    <w:rsid w:val="00E52BF2"/>
    <w:pPr>
      <w:keepNext/>
      <w:spacing w:before="240"/>
      <w:ind w:left="3510" w:hanging="3510"/>
      <w:contextualSpacing/>
      <w:outlineLvl w:val="2"/>
    </w:pPr>
    <w:rPr>
      <w:rFonts w:eastAsia="Times New Roman"/>
      <w:b/>
      <w:color w:val="000000"/>
      <w:szCs w:val="20"/>
    </w:rPr>
  </w:style>
  <w:style w:type="numbering" w:customStyle="1" w:styleId="Chapter">
    <w:name w:val="Chapter"/>
    <w:uiPriority w:val="99"/>
    <w:rsid w:val="00C668E1"/>
    <w:pPr>
      <w:numPr>
        <w:numId w:val="24"/>
      </w:numPr>
    </w:pPr>
  </w:style>
  <w:style w:type="character" w:customStyle="1" w:styleId="311H1Char">
    <w:name w:val="3.11. H1 Char"/>
    <w:basedOn w:val="DefaultParagraphFont"/>
    <w:link w:val="311H1"/>
    <w:locked/>
    <w:rsid w:val="00F837E2"/>
    <w:rPr>
      <w:rFonts w:ascii="Times New Roman" w:eastAsia="Times New Roman" w:hAnsi="Times New Roman"/>
      <w:b/>
      <w:bCs/>
      <w:noProof/>
      <w:color w:val="000000"/>
      <w:sz w:val="24"/>
    </w:rPr>
  </w:style>
  <w:style w:type="character" w:customStyle="1" w:styleId="BlockTextChar">
    <w:name w:val="Block Text Char"/>
    <w:link w:val="BlockText"/>
    <w:locked/>
    <w:rsid w:val="00F837E2"/>
    <w:rPr>
      <w:rFonts w:ascii="Times New Roman" w:eastAsia="Times New Roman" w:hAnsi="Times New Roman"/>
    </w:rPr>
  </w:style>
  <w:style w:type="paragraph" w:customStyle="1" w:styleId="Bullet">
    <w:name w:val="Bullet"/>
    <w:basedOn w:val="Normal"/>
    <w:rsid w:val="00F837E2"/>
    <w:pPr>
      <w:numPr>
        <w:numId w:val="25"/>
      </w:numPr>
      <w:tabs>
        <w:tab w:val="num" w:pos="1872"/>
      </w:tabs>
      <w:spacing w:after="0"/>
    </w:pPr>
    <w:rPr>
      <w:rFonts w:eastAsia="Times New Roman"/>
      <w:color w:val="000000"/>
      <w:sz w:val="22"/>
      <w:szCs w:val="20"/>
    </w:rPr>
  </w:style>
  <w:style w:type="paragraph" w:customStyle="1" w:styleId="TableParagraph">
    <w:name w:val="Table Paragraph"/>
    <w:basedOn w:val="Normal"/>
    <w:uiPriority w:val="1"/>
    <w:qFormat/>
    <w:rsid w:val="00853F7C"/>
    <w:pPr>
      <w:widowControl w:val="0"/>
      <w:autoSpaceDE w:val="0"/>
      <w:autoSpaceDN w:val="0"/>
      <w:spacing w:after="0"/>
      <w:ind w:left="107"/>
      <w:jc w:val="left"/>
    </w:pPr>
    <w:rPr>
      <w:rFonts w:eastAsia="Times New Roman"/>
      <w:sz w:val="22"/>
    </w:rPr>
  </w:style>
  <w:style w:type="character" w:customStyle="1" w:styleId="UnresolvedMention2">
    <w:name w:val="Unresolved Mention2"/>
    <w:basedOn w:val="DefaultParagraphFont"/>
    <w:uiPriority w:val="99"/>
    <w:semiHidden/>
    <w:unhideWhenUsed/>
    <w:rsid w:val="0045456F"/>
    <w:rPr>
      <w:color w:val="605E5C"/>
      <w:shd w:val="clear" w:color="auto" w:fill="E1DFDD"/>
    </w:rPr>
  </w:style>
  <w:style w:type="paragraph" w:customStyle="1" w:styleId="Style2">
    <w:name w:val="Style2"/>
    <w:basedOn w:val="ListParagraph"/>
    <w:link w:val="Style2Char"/>
    <w:qFormat/>
    <w:rsid w:val="00591F36"/>
    <w:pPr>
      <w:numPr>
        <w:numId w:val="28"/>
      </w:numPr>
      <w:tabs>
        <w:tab w:val="num" w:pos="360"/>
      </w:tabs>
    </w:pPr>
    <w:rPr>
      <w:rFonts w:eastAsia="Times New Roman"/>
      <w:szCs w:val="24"/>
    </w:rPr>
  </w:style>
  <w:style w:type="paragraph" w:customStyle="1" w:styleId="m-5709253259860779171msobodytext">
    <w:name w:val="m_-5709253259860779171msobodytext"/>
    <w:basedOn w:val="Normal"/>
    <w:rsid w:val="00816E38"/>
    <w:pPr>
      <w:spacing w:before="100" w:beforeAutospacing="1" w:after="100" w:afterAutospacing="1"/>
      <w:jc w:val="left"/>
    </w:pPr>
    <w:rPr>
      <w:rFonts w:eastAsia="Times New Roman"/>
      <w:sz w:val="24"/>
      <w:szCs w:val="24"/>
    </w:rPr>
  </w:style>
  <w:style w:type="paragraph" w:styleId="Index2">
    <w:name w:val="index 2"/>
    <w:basedOn w:val="Normal"/>
    <w:next w:val="Normal"/>
    <w:autoRedefine/>
    <w:uiPriority w:val="99"/>
    <w:semiHidden/>
    <w:rsid w:val="008C0B73"/>
    <w:pPr>
      <w:tabs>
        <w:tab w:val="right" w:leader="dot" w:pos="4310"/>
      </w:tabs>
      <w:spacing w:after="0"/>
      <w:ind w:left="270" w:hanging="200"/>
      <w:jc w:val="left"/>
    </w:pPr>
    <w:rPr>
      <w:rFonts w:eastAsia="Times New Roman" w:cstheme="minorHAnsi"/>
      <w:noProof/>
      <w:sz w:val="18"/>
      <w:szCs w:val="18"/>
    </w:rPr>
  </w:style>
  <w:style w:type="paragraph" w:styleId="Index4">
    <w:name w:val="index 4"/>
    <w:basedOn w:val="Normal"/>
    <w:next w:val="Normal"/>
    <w:autoRedefine/>
    <w:uiPriority w:val="99"/>
    <w:semiHidden/>
    <w:rsid w:val="008C0B73"/>
    <w:pPr>
      <w:spacing w:after="0"/>
      <w:ind w:left="800" w:hanging="200"/>
      <w:jc w:val="left"/>
    </w:pPr>
    <w:rPr>
      <w:rFonts w:eastAsia="Times New Roman" w:cstheme="minorHAnsi"/>
      <w:sz w:val="18"/>
      <w:szCs w:val="18"/>
    </w:rPr>
  </w:style>
  <w:style w:type="paragraph" w:styleId="Index3">
    <w:name w:val="index 3"/>
    <w:basedOn w:val="Normal"/>
    <w:next w:val="Normal"/>
    <w:autoRedefine/>
    <w:uiPriority w:val="99"/>
    <w:semiHidden/>
    <w:rsid w:val="008C0B73"/>
    <w:pPr>
      <w:spacing w:after="0"/>
      <w:ind w:left="600" w:hanging="200"/>
      <w:jc w:val="left"/>
    </w:pPr>
    <w:rPr>
      <w:rFonts w:eastAsia="Times New Roman" w:cstheme="minorHAnsi"/>
      <w:sz w:val="18"/>
      <w:szCs w:val="18"/>
    </w:rPr>
  </w:style>
  <w:style w:type="paragraph" w:styleId="Index5">
    <w:name w:val="index 5"/>
    <w:basedOn w:val="Normal"/>
    <w:next w:val="Normal"/>
    <w:autoRedefine/>
    <w:semiHidden/>
    <w:rsid w:val="008C0B73"/>
    <w:pPr>
      <w:spacing w:after="0"/>
      <w:ind w:left="1000" w:hanging="200"/>
      <w:jc w:val="left"/>
    </w:pPr>
    <w:rPr>
      <w:rFonts w:asciiTheme="minorHAnsi" w:eastAsia="Times New Roman" w:hAnsiTheme="minorHAnsi" w:cstheme="minorHAnsi"/>
      <w:sz w:val="18"/>
      <w:szCs w:val="18"/>
    </w:rPr>
  </w:style>
  <w:style w:type="paragraph" w:styleId="Index6">
    <w:name w:val="index 6"/>
    <w:basedOn w:val="Normal"/>
    <w:next w:val="Normal"/>
    <w:autoRedefine/>
    <w:semiHidden/>
    <w:rsid w:val="008C0B73"/>
    <w:pPr>
      <w:spacing w:after="0"/>
      <w:ind w:left="1200" w:hanging="200"/>
      <w:jc w:val="left"/>
    </w:pPr>
    <w:rPr>
      <w:rFonts w:asciiTheme="minorHAnsi" w:eastAsia="Times New Roman" w:hAnsiTheme="minorHAnsi" w:cstheme="minorHAnsi"/>
      <w:sz w:val="18"/>
      <w:szCs w:val="18"/>
    </w:rPr>
  </w:style>
  <w:style w:type="paragraph" w:styleId="Index7">
    <w:name w:val="index 7"/>
    <w:basedOn w:val="Normal"/>
    <w:next w:val="Normal"/>
    <w:autoRedefine/>
    <w:semiHidden/>
    <w:rsid w:val="008C0B73"/>
    <w:pPr>
      <w:spacing w:after="0"/>
      <w:ind w:left="1400" w:hanging="200"/>
      <w:jc w:val="left"/>
    </w:pPr>
    <w:rPr>
      <w:rFonts w:asciiTheme="minorHAnsi" w:eastAsia="Times New Roman" w:hAnsiTheme="minorHAnsi" w:cstheme="minorHAnsi"/>
      <w:sz w:val="18"/>
      <w:szCs w:val="18"/>
    </w:rPr>
  </w:style>
  <w:style w:type="paragraph" w:styleId="Index8">
    <w:name w:val="index 8"/>
    <w:basedOn w:val="Normal"/>
    <w:next w:val="Normal"/>
    <w:autoRedefine/>
    <w:semiHidden/>
    <w:rsid w:val="008C0B73"/>
    <w:pPr>
      <w:spacing w:after="0"/>
      <w:ind w:left="1600" w:hanging="200"/>
      <w:jc w:val="left"/>
    </w:pPr>
    <w:rPr>
      <w:rFonts w:asciiTheme="minorHAnsi" w:eastAsia="Times New Roman" w:hAnsiTheme="minorHAnsi" w:cstheme="minorHAnsi"/>
      <w:sz w:val="18"/>
      <w:szCs w:val="18"/>
    </w:rPr>
  </w:style>
  <w:style w:type="paragraph" w:styleId="IndexHeading">
    <w:name w:val="index heading"/>
    <w:basedOn w:val="Normal"/>
    <w:next w:val="Index1"/>
    <w:uiPriority w:val="99"/>
    <w:semiHidden/>
    <w:rsid w:val="008C0B73"/>
    <w:pPr>
      <w:spacing w:before="240" w:after="120"/>
      <w:jc w:val="center"/>
    </w:pPr>
    <w:rPr>
      <w:rFonts w:asciiTheme="minorHAnsi" w:eastAsia="Times New Roman" w:hAnsiTheme="minorHAnsi" w:cstheme="minorHAnsi"/>
      <w:b/>
      <w:bCs/>
      <w:sz w:val="26"/>
      <w:szCs w:val="26"/>
    </w:rPr>
  </w:style>
  <w:style w:type="paragraph" w:styleId="TOCHeading">
    <w:name w:val="TOC Heading"/>
    <w:basedOn w:val="Heading1"/>
    <w:next w:val="Normal"/>
    <w:uiPriority w:val="39"/>
    <w:semiHidden/>
    <w:unhideWhenUsed/>
    <w:qFormat/>
    <w:rsid w:val="008C0B73"/>
    <w:pPr>
      <w:spacing w:before="480" w:after="0"/>
      <w:ind w:left="0" w:firstLine="0"/>
      <w:outlineLvl w:val="9"/>
    </w:pPr>
    <w:rPr>
      <w:rFonts w:asciiTheme="majorHAnsi" w:eastAsiaTheme="majorEastAsia" w:hAnsiTheme="majorHAnsi" w:cstheme="majorBidi"/>
      <w:caps w:val="0"/>
      <w:color w:val="2F5496" w:themeColor="accent1" w:themeShade="BF"/>
      <w:sz w:val="28"/>
    </w:rPr>
  </w:style>
  <w:style w:type="paragraph" w:customStyle="1" w:styleId="StyleWandMLevel2Bold1">
    <w:name w:val="Style WandMLevel2 + Bold1"/>
    <w:basedOn w:val="WandMLevel2"/>
    <w:rsid w:val="008C0B73"/>
    <w:rPr>
      <w:b/>
    </w:rPr>
  </w:style>
  <w:style w:type="paragraph" w:customStyle="1" w:styleId="StyleMainTOC1Centered1">
    <w:name w:val="Style Main TOC1 + Centered1"/>
    <w:basedOn w:val="MainTOC1"/>
    <w:rsid w:val="008C0B73"/>
    <w:pPr>
      <w:spacing w:before="360" w:after="480"/>
      <w:jc w:val="center"/>
    </w:pPr>
    <w:rPr>
      <w:szCs w:val="20"/>
    </w:rPr>
  </w:style>
  <w:style w:type="character" w:customStyle="1" w:styleId="Mention2">
    <w:name w:val="Mention2"/>
    <w:basedOn w:val="DefaultParagraphFont"/>
    <w:uiPriority w:val="99"/>
    <w:semiHidden/>
    <w:unhideWhenUsed/>
    <w:rsid w:val="008C0B73"/>
    <w:rPr>
      <w:color w:val="2B579A"/>
      <w:shd w:val="clear" w:color="auto" w:fill="E6E6E6"/>
    </w:rPr>
  </w:style>
  <w:style w:type="paragraph" w:customStyle="1" w:styleId="StyleInterpretationsGuidelinesTOCAfter0pt">
    <w:name w:val="Style InterpretationsGuidelinesTOC + After:  0 pt"/>
    <w:basedOn w:val="InterpretationsGuidelinesTOC"/>
    <w:rsid w:val="008C0B73"/>
    <w:pPr>
      <w:spacing w:before="360" w:after="0"/>
    </w:pPr>
    <w:rPr>
      <w:rFonts w:ascii="Times New Roman Bold" w:hAnsi="Times New Roman Bold"/>
      <w:sz w:val="20"/>
      <w:szCs w:val="20"/>
    </w:rPr>
  </w:style>
  <w:style w:type="character" w:customStyle="1" w:styleId="Style2Char">
    <w:name w:val="Style2 Char"/>
    <w:basedOn w:val="ListParagraphChar"/>
    <w:link w:val="Style2"/>
    <w:rsid w:val="008C0B73"/>
    <w:rPr>
      <w:rFonts w:ascii="Times New Roman" w:eastAsia="Times New Roman" w:hAnsi="Times New Roman"/>
      <w:szCs w:val="24"/>
    </w:rPr>
  </w:style>
  <w:style w:type="paragraph" w:customStyle="1" w:styleId="StyleWandMLevel1Superscript">
    <w:name w:val="Style WandMLevel1 + Superscript"/>
    <w:basedOn w:val="WandMLevel1"/>
    <w:rsid w:val="008C0B73"/>
    <w:pPr>
      <w:spacing w:before="360" w:after="360"/>
      <w:outlineLvl w:val="9"/>
    </w:pPr>
    <w:rPr>
      <w:b w:val="0"/>
      <w:vertAlign w:val="superscript"/>
    </w:rPr>
  </w:style>
  <w:style w:type="paragraph" w:customStyle="1" w:styleId="Hyperlink1B">
    <w:name w:val="Hyperlink 1 B"/>
    <w:basedOn w:val="Normal"/>
    <w:next w:val="FollowedHyperlinkH130"/>
    <w:link w:val="Hyperlink1BChar"/>
    <w:qFormat/>
    <w:rsid w:val="008C0B73"/>
    <w:pPr>
      <w:autoSpaceDE w:val="0"/>
      <w:spacing w:after="0"/>
    </w:pPr>
    <w:rPr>
      <w:rFonts w:ascii="Times New Roman Bold" w:eastAsia="Times New Roman" w:hAnsi="Times New Roman Bold"/>
      <w:b/>
      <w:color w:val="000000" w:themeColor="text1"/>
      <w:szCs w:val="24"/>
    </w:rPr>
  </w:style>
  <w:style w:type="character" w:customStyle="1" w:styleId="Hyperlink1BChar">
    <w:name w:val="Hyperlink 1 B Char"/>
    <w:basedOn w:val="DefaultParagraphFont"/>
    <w:link w:val="Hyperlink1B"/>
    <w:rsid w:val="008C0B73"/>
    <w:rPr>
      <w:rFonts w:ascii="Times New Roman Bold" w:eastAsia="Times New Roman" w:hAnsi="Times New Roman Bold"/>
      <w:b/>
      <w:color w:val="000000" w:themeColor="text1"/>
      <w:szCs w:val="24"/>
    </w:rPr>
  </w:style>
  <w:style w:type="paragraph" w:customStyle="1" w:styleId="Hyperlink1ItalicsB">
    <w:name w:val="Hyperlink 1 Italics B"/>
    <w:basedOn w:val="Normal"/>
    <w:link w:val="Hyperlink1ItalicsBChar"/>
    <w:qFormat/>
    <w:rsid w:val="008C0B73"/>
    <w:pPr>
      <w:spacing w:after="0"/>
    </w:pPr>
    <w:rPr>
      <w:rFonts w:ascii="Times New Roman Bold" w:eastAsia="Times New Roman" w:hAnsi="Times New Roman Bold"/>
      <w:b/>
      <w:i/>
      <w:szCs w:val="24"/>
    </w:rPr>
  </w:style>
  <w:style w:type="character" w:customStyle="1" w:styleId="Hyperlink1ItalicsBChar">
    <w:name w:val="Hyperlink 1 Italics B Char"/>
    <w:basedOn w:val="DefaultParagraphFont"/>
    <w:link w:val="Hyperlink1ItalicsB"/>
    <w:rsid w:val="008C0B73"/>
    <w:rPr>
      <w:rFonts w:ascii="Times New Roman Bold" w:eastAsia="Times New Roman" w:hAnsi="Times New Roman Bold"/>
      <w:b/>
      <w:i/>
      <w:szCs w:val="24"/>
    </w:rPr>
  </w:style>
  <w:style w:type="paragraph" w:customStyle="1" w:styleId="HyperlinkB-8pt">
    <w:name w:val="Hyperlink B-8 pt"/>
    <w:basedOn w:val="Normal"/>
    <w:link w:val="HyperlinkB-8ptChar"/>
    <w:qFormat/>
    <w:rsid w:val="008C0B73"/>
    <w:pPr>
      <w:spacing w:before="360" w:after="120"/>
      <w:ind w:left="-180" w:right="547"/>
    </w:pPr>
    <w:rPr>
      <w:rFonts w:ascii="Times New Roman Bold" w:eastAsia="Times New Roman" w:hAnsi="Times New Roman Bold"/>
      <w:b/>
      <w:sz w:val="16"/>
      <w:szCs w:val="24"/>
    </w:rPr>
  </w:style>
  <w:style w:type="character" w:customStyle="1" w:styleId="HyperlinkB-8ptChar">
    <w:name w:val="Hyperlink B-8 pt Char"/>
    <w:basedOn w:val="DefaultParagraphFont"/>
    <w:link w:val="HyperlinkB-8pt"/>
    <w:rsid w:val="008C0B73"/>
    <w:rPr>
      <w:rFonts w:ascii="Times New Roman Bold" w:eastAsia="Times New Roman" w:hAnsi="Times New Roman Bold"/>
      <w:b/>
      <w:sz w:val="16"/>
      <w:szCs w:val="24"/>
    </w:rPr>
  </w:style>
  <w:style w:type="character" w:customStyle="1" w:styleId="UnresolvedMention3">
    <w:name w:val="Unresolved Mention3"/>
    <w:basedOn w:val="DefaultParagraphFont"/>
    <w:uiPriority w:val="99"/>
    <w:semiHidden/>
    <w:unhideWhenUsed/>
    <w:rsid w:val="008C0B73"/>
    <w:rPr>
      <w:color w:val="808080"/>
      <w:shd w:val="clear" w:color="auto" w:fill="E6E6E6"/>
    </w:rPr>
  </w:style>
  <w:style w:type="paragraph" w:customStyle="1" w:styleId="TabHdgB-single">
    <w:name w:val="Tab Hdg B-single"/>
    <w:basedOn w:val="TableHeader1"/>
    <w:link w:val="TabHdgB-singleChar"/>
    <w:qFormat/>
    <w:rsid w:val="008C0B73"/>
    <w:pPr>
      <w:keepNext/>
      <w:tabs>
        <w:tab w:val="left" w:pos="360"/>
      </w:tabs>
      <w:outlineLvl w:val="5"/>
    </w:pPr>
    <w:rPr>
      <w:b w:val="0"/>
      <w:bCs/>
    </w:rPr>
  </w:style>
  <w:style w:type="character" w:customStyle="1" w:styleId="TabHdgB-singleChar">
    <w:name w:val="Tab Hdg B-single Char"/>
    <w:basedOn w:val="TableHeader1Char"/>
    <w:link w:val="TabHdgB-single"/>
    <w:rsid w:val="008C0B73"/>
    <w:rPr>
      <w:rFonts w:ascii="Times New Roman" w:eastAsia="Times New Roman" w:hAnsi="Times New Roman"/>
      <w:b w:val="0"/>
      <w:bCs/>
      <w:szCs w:val="24"/>
    </w:rPr>
  </w:style>
  <w:style w:type="paragraph" w:customStyle="1" w:styleId="StyleInterpretationsGuidelinesTOCAfter0pt1">
    <w:name w:val="Style InterpretationsGuidelinesTOC + After:  0 pt1"/>
    <w:basedOn w:val="InterpretationsGuidelinesTOC"/>
    <w:rsid w:val="008C0B73"/>
    <w:pPr>
      <w:spacing w:before="360" w:after="0"/>
      <w:ind w:left="360"/>
      <w:outlineLvl w:val="6"/>
    </w:pPr>
    <w:rPr>
      <w:rFonts w:ascii="Times New Roman Bold" w:hAnsi="Times New Roman Bold"/>
      <w:sz w:val="20"/>
      <w:szCs w:val="20"/>
    </w:rPr>
  </w:style>
  <w:style w:type="paragraph" w:customStyle="1" w:styleId="StyleUniformLevel1">
    <w:name w:val="Style UniformLevel1 +"/>
    <w:basedOn w:val="UniformLevel1"/>
    <w:rsid w:val="008C0B73"/>
    <w:pPr>
      <w:spacing w:before="360" w:after="360"/>
    </w:pPr>
    <w:rPr>
      <w:rFonts w:ascii="Times New Roman Bold" w:hAnsi="Times New Roman Bold"/>
    </w:rPr>
  </w:style>
  <w:style w:type="paragraph" w:customStyle="1" w:styleId="StyleOpenDateLevel1">
    <w:name w:val="Style OpenDateLevel1 +"/>
    <w:basedOn w:val="OpenDateLevel1"/>
    <w:rsid w:val="008C0B73"/>
    <w:pPr>
      <w:spacing w:before="360" w:after="360"/>
    </w:pPr>
  </w:style>
  <w:style w:type="paragraph" w:customStyle="1" w:styleId="StyleUniformLevel11">
    <w:name w:val="Style UniformLevel1 +1"/>
    <w:basedOn w:val="UniformLevel1"/>
    <w:rsid w:val="008C0B73"/>
    <w:pPr>
      <w:spacing w:before="360" w:after="360"/>
    </w:pPr>
    <w:rPr>
      <w:rFonts w:ascii="Times New Roman Bold" w:hAnsi="Times New Roman Bold"/>
    </w:rPr>
  </w:style>
  <w:style w:type="paragraph" w:customStyle="1" w:styleId="StyleOpenDateLevel11">
    <w:name w:val="Style OpenDateLevel1 +1"/>
    <w:basedOn w:val="OpenDateLevel1"/>
    <w:rsid w:val="008C0B73"/>
    <w:pPr>
      <w:spacing w:before="360" w:after="360"/>
    </w:pPr>
  </w:style>
  <w:style w:type="paragraph" w:customStyle="1" w:styleId="Style14ptBoldCenteredBefore18ptAfter24pt">
    <w:name w:val="Style 14 pt Bold Centered Before:  18 pt After:  24 pt"/>
    <w:basedOn w:val="Normal"/>
    <w:rsid w:val="008C0B73"/>
    <w:pPr>
      <w:spacing w:before="360" w:after="480"/>
      <w:jc w:val="center"/>
    </w:pPr>
    <w:rPr>
      <w:rFonts w:eastAsia="Times New Roman"/>
      <w:b/>
      <w:bCs/>
      <w:sz w:val="28"/>
      <w:szCs w:val="20"/>
    </w:rPr>
  </w:style>
  <w:style w:type="paragraph" w:customStyle="1" w:styleId="StyleListParagraph12ptBold">
    <w:name w:val="Style List Paragraph + 12 pt Bold"/>
    <w:basedOn w:val="ListParagraph"/>
    <w:rsid w:val="008C0B73"/>
    <w:pPr>
      <w:spacing w:before="360" w:after="480"/>
    </w:pPr>
    <w:rPr>
      <w:rFonts w:eastAsia="Times New Roman"/>
      <w:b/>
      <w:bCs/>
      <w:sz w:val="24"/>
      <w:szCs w:val="24"/>
    </w:rPr>
  </w:style>
  <w:style w:type="paragraph" w:customStyle="1" w:styleId="StyleListParagraph12ptBoldCentered">
    <w:name w:val="Style List Paragraph + 12 pt Bold Centered"/>
    <w:basedOn w:val="ListParagraph"/>
    <w:rsid w:val="008C0B73"/>
    <w:pPr>
      <w:spacing w:before="360" w:after="480"/>
      <w:jc w:val="center"/>
    </w:pPr>
    <w:rPr>
      <w:rFonts w:eastAsia="Times New Roman"/>
      <w:b/>
      <w:bCs/>
      <w:sz w:val="24"/>
      <w:szCs w:val="20"/>
    </w:rPr>
  </w:style>
  <w:style w:type="paragraph" w:customStyle="1" w:styleId="StylePkgLabelLevel1CenteredAfter24pt">
    <w:name w:val="Style PkgLabelLevel1 + Centered After:  24 pt"/>
    <w:basedOn w:val="PkgLabelLevel1"/>
    <w:link w:val="StylePkgLabelLevel1CenteredAfter24ptChar"/>
    <w:rsid w:val="008C0B73"/>
    <w:pPr>
      <w:spacing w:before="360" w:after="480"/>
      <w:jc w:val="center"/>
    </w:pPr>
    <w:rPr>
      <w:rFonts w:ascii="Times New Roman" w:eastAsia="Times New Roman" w:hAnsi="Times New Roman"/>
    </w:rPr>
  </w:style>
  <w:style w:type="paragraph" w:customStyle="1" w:styleId="StyleStyleHeading6After0ptBefore0pt">
    <w:name w:val="Style Style Heading 6 + After:  0 pt + Before:  0 pt"/>
    <w:basedOn w:val="StyleHeading6After0pt"/>
    <w:rsid w:val="008C0B73"/>
    <w:pPr>
      <w:spacing w:before="360" w:after="360"/>
    </w:pPr>
  </w:style>
  <w:style w:type="paragraph" w:customStyle="1" w:styleId="PkgLabelLevel1CtrB">
    <w:name w:val="PkgLabelLevel1+Ctr B"/>
    <w:basedOn w:val="Heading1"/>
    <w:next w:val="StylePkgLabelLevel1CenteredAfter24pt"/>
    <w:rsid w:val="008C0B73"/>
    <w:pPr>
      <w:keepLines w:val="0"/>
      <w:spacing w:before="240" w:after="60"/>
      <w:ind w:left="0" w:firstLine="0"/>
      <w:jc w:val="center"/>
    </w:pPr>
    <w:rPr>
      <w:rFonts w:ascii="Times New Roman" w:hAnsi="Times New Roman" w:cs="Arial"/>
      <w:bCs w:val="0"/>
      <w:caps w:val="0"/>
      <w:kern w:val="32"/>
      <w:sz w:val="28"/>
      <w:szCs w:val="32"/>
    </w:rPr>
  </w:style>
  <w:style w:type="paragraph" w:customStyle="1" w:styleId="StyleZWAdobeF1ptBold">
    <w:name w:val="Style _ + ZWAdobeF 1 pt Bold"/>
    <w:basedOn w:val="a0"/>
    <w:rsid w:val="008C0B73"/>
    <w:rPr>
      <w:bCs/>
    </w:rPr>
  </w:style>
  <w:style w:type="character" w:styleId="PlaceholderText">
    <w:name w:val="Placeholder Text"/>
    <w:basedOn w:val="DefaultParagraphFont"/>
    <w:uiPriority w:val="99"/>
    <w:semiHidden/>
    <w:rsid w:val="008C0B73"/>
    <w:rPr>
      <w:color w:val="808080"/>
    </w:rPr>
  </w:style>
  <w:style w:type="paragraph" w:customStyle="1" w:styleId="StyleHyperlink1BLeftAfter12pt">
    <w:name w:val="Style Hyperlink 1 B + Left After:  12 pt"/>
    <w:basedOn w:val="Hyperlink1B"/>
    <w:rsid w:val="008C0B73"/>
    <w:pPr>
      <w:spacing w:after="240"/>
      <w:jc w:val="left"/>
    </w:pPr>
    <w:rPr>
      <w:bCs/>
      <w:szCs w:val="20"/>
    </w:rPr>
  </w:style>
  <w:style w:type="paragraph" w:customStyle="1" w:styleId="FollowedHyperlinkH130">
    <w:name w:val="Followed Hyperlink H130"/>
    <w:basedOn w:val="I-Normal-bold"/>
    <w:link w:val="FollowedHyperlinkH130Char"/>
    <w:qFormat/>
    <w:rsid w:val="008C0B73"/>
    <w:pPr>
      <w:spacing w:after="0"/>
    </w:pPr>
    <w:rPr>
      <w:rFonts w:ascii="Times New Roman Bold" w:eastAsia="Times New Roman" w:hAnsi="Times New Roman Bold"/>
      <w:color w:val="000000" w:themeColor="text1"/>
      <w:sz w:val="24"/>
    </w:rPr>
  </w:style>
  <w:style w:type="paragraph" w:customStyle="1" w:styleId="HyperlinkH133Left">
    <w:name w:val="Hyperlink H133 Left"/>
    <w:basedOn w:val="Hyperlink1B"/>
    <w:link w:val="HyperlinkH133LeftChar"/>
    <w:qFormat/>
    <w:rsid w:val="008C0B73"/>
    <w:pPr>
      <w:spacing w:after="240"/>
      <w:jc w:val="left"/>
    </w:pPr>
    <w:rPr>
      <w:bCs/>
    </w:rPr>
  </w:style>
  <w:style w:type="character" w:customStyle="1" w:styleId="StylePkgLabelLevel1CenteredAfter24ptChar">
    <w:name w:val="Style PkgLabelLevel1 + Centered After:  24 pt Char"/>
    <w:basedOn w:val="PkgLabelLevel1Char"/>
    <w:link w:val="StylePkgLabelLevel1CenteredAfter24pt"/>
    <w:rsid w:val="008C0B73"/>
    <w:rPr>
      <w:rFonts w:ascii="Times New Roman" w:eastAsia="Times New Roman" w:hAnsi="Times New Roman"/>
      <w:b/>
      <w:bCs/>
      <w:sz w:val="24"/>
      <w:szCs w:val="22"/>
    </w:rPr>
  </w:style>
  <w:style w:type="character" w:customStyle="1" w:styleId="FollowedHyperlinkH130Char">
    <w:name w:val="Followed Hyperlink H130 Char"/>
    <w:basedOn w:val="StylePkgLabelLevel1CenteredAfter24ptChar"/>
    <w:link w:val="FollowedHyperlinkH130"/>
    <w:rsid w:val="008C0B73"/>
    <w:rPr>
      <w:rFonts w:ascii="Times New Roman Bold" w:eastAsia="Times New Roman" w:hAnsi="Times New Roman Bold"/>
      <w:b/>
      <w:bCs w:val="0"/>
      <w:color w:val="000000" w:themeColor="text1"/>
      <w:sz w:val="24"/>
      <w:szCs w:val="22"/>
    </w:rPr>
  </w:style>
  <w:style w:type="character" w:customStyle="1" w:styleId="HyperlinkH133LeftChar">
    <w:name w:val="Hyperlink H133 Left Char"/>
    <w:basedOn w:val="Hyperlink1BChar"/>
    <w:link w:val="HyperlinkH133Left"/>
    <w:rsid w:val="008C0B73"/>
    <w:rPr>
      <w:rFonts w:ascii="Times New Roman Bold" w:eastAsia="Times New Roman" w:hAnsi="Times New Roman Bold"/>
      <w:b/>
      <w:bCs/>
      <w:color w:val="000000" w:themeColor="text1"/>
      <w:szCs w:val="24"/>
    </w:rPr>
  </w:style>
  <w:style w:type="character" w:customStyle="1" w:styleId="StyleHyperlinkHyperlink-tocBold">
    <w:name w:val="Style HyperlinkHyperlink-toc + Bold"/>
    <w:basedOn w:val="Hyperlink"/>
    <w:rsid w:val="008C0B73"/>
    <w:rPr>
      <w:rFonts w:ascii="Times New Roman" w:hAnsi="Times New Roman"/>
      <w:b/>
      <w:bCs/>
      <w:noProof/>
      <w:color w:val="000000"/>
      <w:sz w:val="20"/>
      <w:u w:val="single"/>
    </w:rPr>
  </w:style>
  <w:style w:type="paragraph" w:customStyle="1" w:styleId="Subsection1">
    <w:name w:val="Subsection 1"/>
    <w:basedOn w:val="Normal"/>
    <w:next w:val="StyleUniformLevel3"/>
    <w:link w:val="Subsection1Char"/>
    <w:qFormat/>
    <w:rsid w:val="008C0B73"/>
    <w:rPr>
      <w:rFonts w:eastAsia="Times New Roman"/>
      <w:b/>
      <w:bCs/>
      <w:szCs w:val="24"/>
    </w:rPr>
  </w:style>
  <w:style w:type="character" w:customStyle="1" w:styleId="Subsection1Char">
    <w:name w:val="Subsection 1 Char"/>
    <w:basedOn w:val="DefaultParagraphFont"/>
    <w:link w:val="Subsection1"/>
    <w:rsid w:val="008C0B73"/>
    <w:rPr>
      <w:rFonts w:ascii="Times New Roman" w:eastAsia="Times New Roman" w:hAnsi="Times New Roman"/>
      <w:b/>
      <w:bCs/>
      <w:szCs w:val="24"/>
    </w:rPr>
  </w:style>
  <w:style w:type="paragraph" w:customStyle="1" w:styleId="MainTOC0">
    <w:name w:val="MainTOC"/>
    <w:basedOn w:val="Normal"/>
    <w:rsid w:val="008C0B73"/>
    <w:pPr>
      <w:autoSpaceDE w:val="0"/>
      <w:autoSpaceDN w:val="0"/>
      <w:adjustRightInd w:val="0"/>
      <w:spacing w:after="0"/>
      <w:jc w:val="center"/>
    </w:pPr>
    <w:rPr>
      <w:rFonts w:eastAsia="Times New Roman"/>
      <w:b/>
      <w:bCs/>
      <w:sz w:val="28"/>
      <w:szCs w:val="28"/>
    </w:rPr>
  </w:style>
  <w:style w:type="paragraph" w:customStyle="1" w:styleId="EmailWeb">
    <w:name w:val="Email/Web"/>
    <w:basedOn w:val="Normal"/>
    <w:link w:val="EmailWebChar"/>
    <w:autoRedefine/>
    <w:qFormat/>
    <w:rsid w:val="006749C7"/>
    <w:pPr>
      <w:suppressLineNumbers/>
      <w:spacing w:after="0"/>
    </w:pPr>
    <w:rPr>
      <w:color w:val="0000FF"/>
      <w:sz w:val="22"/>
      <w:u w:val="single"/>
    </w:rPr>
  </w:style>
  <w:style w:type="character" w:customStyle="1" w:styleId="EmailWebChar">
    <w:name w:val="Email/Web Char"/>
    <w:basedOn w:val="DefaultParagraphFont"/>
    <w:link w:val="EmailWeb"/>
    <w:rsid w:val="006749C7"/>
    <w:rPr>
      <w:rFonts w:ascii="Times New Roman" w:hAnsi="Times New Roman"/>
      <w:color w:val="0000FF"/>
      <w:sz w:val="22"/>
      <w:szCs w:val="22"/>
      <w:u w:val="single"/>
    </w:rPr>
  </w:style>
  <w:style w:type="character" w:customStyle="1" w:styleId="apple-converted-space">
    <w:name w:val="apple-converted-space"/>
    <w:basedOn w:val="DefaultParagraphFont"/>
    <w:rsid w:val="00F97E22"/>
  </w:style>
  <w:style w:type="numbering" w:customStyle="1" w:styleId="CurrentList1">
    <w:name w:val="Current List1"/>
    <w:uiPriority w:val="99"/>
    <w:rsid w:val="00A12342"/>
    <w:pPr>
      <w:numPr>
        <w:numId w:val="29"/>
      </w:numPr>
    </w:pPr>
  </w:style>
  <w:style w:type="paragraph" w:customStyle="1" w:styleId="m-4396169274235788307msolistparagraph">
    <w:name w:val="m_-4396169274235788307msolistparagraph"/>
    <w:basedOn w:val="Normal"/>
    <w:rsid w:val="00C8185A"/>
    <w:pPr>
      <w:spacing w:before="100" w:beforeAutospacing="1" w:after="100" w:afterAutospacing="1"/>
      <w:jc w:val="left"/>
    </w:pPr>
    <w:rPr>
      <w:rFonts w:eastAsia="Times New Roman"/>
      <w:sz w:val="24"/>
      <w:szCs w:val="24"/>
    </w:rPr>
  </w:style>
  <w:style w:type="paragraph" w:customStyle="1" w:styleId="m-3790276596322525954msolistparagraph">
    <w:name w:val="m_-3790276596322525954msolistparagraph"/>
    <w:basedOn w:val="Normal"/>
    <w:rsid w:val="00904481"/>
    <w:pPr>
      <w:spacing w:before="100" w:beforeAutospacing="1" w:after="100" w:afterAutospacing="1"/>
      <w:jc w:val="left"/>
    </w:pPr>
    <w:rPr>
      <w:rFonts w:eastAsia="Times New Roman"/>
      <w:sz w:val="24"/>
      <w:szCs w:val="24"/>
    </w:rPr>
  </w:style>
  <w:style w:type="character" w:customStyle="1" w:styleId="m-3790276596322525954pkglabellevel1char">
    <w:name w:val="m_-3790276596322525954pkglabellevel1char"/>
    <w:basedOn w:val="DefaultParagraphFont"/>
    <w:rsid w:val="00904481"/>
  </w:style>
  <w:style w:type="paragraph" w:customStyle="1" w:styleId="m-3790276596322525954unitpricelevel1">
    <w:name w:val="m_-3790276596322525954unitpricelevel1"/>
    <w:basedOn w:val="Normal"/>
    <w:rsid w:val="00904481"/>
    <w:pPr>
      <w:spacing w:before="100" w:beforeAutospacing="1" w:after="100" w:afterAutospacing="1"/>
      <w:jc w:val="left"/>
    </w:pPr>
    <w:rPr>
      <w:rFonts w:eastAsia="Times New Roman"/>
      <w:sz w:val="24"/>
      <w:szCs w:val="24"/>
    </w:rPr>
  </w:style>
  <w:style w:type="character" w:customStyle="1" w:styleId="ItemHeadingChar">
    <w:name w:val="Item Heading Char"/>
    <w:basedOn w:val="Heading2Char"/>
    <w:link w:val="ItemHeading"/>
    <w:rsid w:val="002F4E07"/>
    <w:rPr>
      <w:rFonts w:ascii="Times New Roman" w:eastAsia="Times New Roman" w:hAnsi="Times New Roman" w:cs="Times New Roman"/>
      <w:b/>
      <w:bCs/>
      <w:iCs/>
      <w:caps w:val="0"/>
      <w:sz w:val="22"/>
      <w:szCs w:val="22"/>
    </w:rPr>
  </w:style>
  <w:style w:type="character" w:customStyle="1" w:styleId="cf01">
    <w:name w:val="cf01"/>
    <w:basedOn w:val="DefaultParagraphFont"/>
    <w:rsid w:val="00746905"/>
    <w:rPr>
      <w:rFonts w:ascii="Segoe UI" w:hAnsi="Segoe UI" w:cs="Segoe UI" w:hint="default"/>
      <w:sz w:val="18"/>
      <w:szCs w:val="18"/>
    </w:rPr>
  </w:style>
  <w:style w:type="character" w:customStyle="1" w:styleId="cf11">
    <w:name w:val="cf11"/>
    <w:basedOn w:val="DefaultParagraphFont"/>
    <w:rsid w:val="00746905"/>
    <w:rPr>
      <w:rFonts w:ascii="Segoe UI" w:hAnsi="Segoe UI" w:cs="Segoe UI" w:hint="default"/>
      <w:color w:val="201F1E"/>
      <w:sz w:val="18"/>
      <w:szCs w:val="18"/>
    </w:rPr>
  </w:style>
  <w:style w:type="paragraph" w:customStyle="1" w:styleId="m2045607823532188508msolistparagraph">
    <w:name w:val="m_2045607823532188508msolistparagraph"/>
    <w:basedOn w:val="Normal"/>
    <w:rsid w:val="00B02E3D"/>
    <w:pPr>
      <w:spacing w:before="100" w:beforeAutospacing="1" w:after="100" w:afterAutospacing="1"/>
    </w:pPr>
    <w:rPr>
      <w:rFonts w:eastAsia="Times New Roman"/>
      <w:szCs w:val="24"/>
    </w:rPr>
  </w:style>
  <w:style w:type="character" w:styleId="Mention">
    <w:name w:val="Mention"/>
    <w:basedOn w:val="DefaultParagraphFont"/>
    <w:uiPriority w:val="99"/>
    <w:semiHidden/>
    <w:unhideWhenUsed/>
    <w:rsid w:val="00AF1764"/>
    <w:rPr>
      <w:color w:val="2B579A"/>
      <w:shd w:val="clear" w:color="auto" w:fill="E6E6E6"/>
    </w:rPr>
  </w:style>
  <w:style w:type="character" w:styleId="UnresolvedMention">
    <w:name w:val="Unresolved Mention"/>
    <w:basedOn w:val="DefaultParagraphFont"/>
    <w:uiPriority w:val="99"/>
    <w:semiHidden/>
    <w:unhideWhenUsed/>
    <w:rsid w:val="00AF1764"/>
    <w:rPr>
      <w:color w:val="808080"/>
      <w:shd w:val="clear" w:color="auto" w:fill="E6E6E6"/>
    </w:rPr>
  </w:style>
  <w:style w:type="table" w:customStyle="1" w:styleId="TableGrid20">
    <w:name w:val="Table Grid20"/>
    <w:basedOn w:val="TableNormal"/>
    <w:next w:val="TableGrid"/>
    <w:rsid w:val="009934C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8605C"/>
    <w:pPr>
      <w:spacing w:before="100" w:beforeAutospacing="1" w:after="100" w:afterAutospacing="1"/>
      <w:jc w:val="left"/>
    </w:pPr>
    <w:rPr>
      <w:rFonts w:eastAsia="Times New Roman"/>
      <w:sz w:val="24"/>
      <w:szCs w:val="24"/>
    </w:rPr>
  </w:style>
  <w:style w:type="paragraph" w:customStyle="1" w:styleId="EngineFuelTOC2ndLevel10ptAfter12pt">
    <w:name w:val="EngineFuelTOC2ndLevel + 10 pt After:  12 pt"/>
    <w:basedOn w:val="Normal"/>
    <w:qFormat/>
    <w:rsid w:val="0064406A"/>
    <w:pPr>
      <w:tabs>
        <w:tab w:val="left" w:pos="547"/>
      </w:tabs>
      <w:suppressAutoHyphens/>
      <w:jc w:val="left"/>
    </w:pPr>
    <w:rPr>
      <w:rFonts w:ascii="Liberation Serif" w:eastAsia="Times New Roman" w:hAnsi="Liberation Serif"/>
      <w:bCs/>
      <w:kern w:val="2"/>
      <w:szCs w:val="20"/>
      <w:lang w:eastAsia="zh-CN" w:bidi="hi-IN"/>
    </w:rPr>
  </w:style>
  <w:style w:type="paragraph" w:customStyle="1" w:styleId="Normal10pt">
    <w:name w:val="Normal_10pt"/>
    <w:basedOn w:val="Normal"/>
    <w:rsid w:val="004411C7"/>
    <w:pPr>
      <w:spacing w:after="0"/>
    </w:pPr>
    <w:rPr>
      <w:rFonts w:eastAsia="Times New Roman"/>
      <w:color w:val="000000"/>
      <w:sz w:val="22"/>
      <w:szCs w:val="24"/>
    </w:rPr>
  </w:style>
  <w:style w:type="character" w:customStyle="1" w:styleId="StyleHyperlink11pt">
    <w:name w:val="Style Hyperlink + 11 pt"/>
    <w:basedOn w:val="Hyperlink"/>
    <w:rsid w:val="004411C7"/>
    <w:rPr>
      <w:rFonts w:ascii="Times New Roman" w:hAnsi="Times New Roman"/>
      <w:b w:val="0"/>
      <w:bCs/>
      <w:i w:val="0"/>
      <w:caps w:val="0"/>
      <w:smallCaps w:val="0"/>
      <w:strike w:val="0"/>
      <w:dstrike w:val="0"/>
      <w:noProof/>
      <w:vanish w:val="0"/>
      <w:color w:val="000000"/>
      <w:sz w:val="22"/>
      <w:szCs w:val="20"/>
      <w:u w:val="none"/>
      <w:vertAlign w:val="baseline"/>
    </w:rPr>
  </w:style>
  <w:style w:type="paragraph" w:customStyle="1" w:styleId="XXXXnormal">
    <w:name w:val="X.X.X.X. normal"/>
    <w:basedOn w:val="Normal"/>
    <w:link w:val="XXXXnormalChar"/>
    <w:qFormat/>
    <w:rsid w:val="004411C7"/>
    <w:pPr>
      <w:keepNext/>
      <w:autoSpaceDE w:val="0"/>
      <w:ind w:left="720"/>
    </w:pPr>
    <w:rPr>
      <w:rFonts w:eastAsia="Times New Roman"/>
      <w:color w:val="000000"/>
      <w:sz w:val="22"/>
    </w:rPr>
  </w:style>
  <w:style w:type="character" w:customStyle="1" w:styleId="XXXXnormalChar">
    <w:name w:val="X.X.X.X. normal Char"/>
    <w:basedOn w:val="DefaultParagraphFont"/>
    <w:link w:val="XXXXnormal"/>
    <w:rsid w:val="004411C7"/>
    <w:rPr>
      <w:rFonts w:ascii="Times New Roman" w:eastAsia="Times New Roman" w:hAnsi="Times New Roman"/>
      <w:color w:val="000000"/>
      <w:sz w:val="22"/>
      <w:szCs w:val="22"/>
    </w:rPr>
  </w:style>
  <w:style w:type="paragraph" w:customStyle="1" w:styleId="ListXXX">
    <w:name w:val="List X.X.X."/>
    <w:basedOn w:val="ListParagraph"/>
    <w:link w:val="ListXXXChar"/>
    <w:qFormat/>
    <w:rsid w:val="004411C7"/>
    <w:pPr>
      <w:numPr>
        <w:numId w:val="32"/>
      </w:numPr>
    </w:pPr>
    <w:rPr>
      <w:rFonts w:eastAsia="Times New Roman"/>
      <w:color w:val="000000"/>
      <w:sz w:val="22"/>
    </w:rPr>
  </w:style>
  <w:style w:type="character" w:customStyle="1" w:styleId="ListXXXChar">
    <w:name w:val="List X.X.X. Char"/>
    <w:basedOn w:val="ListParagraphChar"/>
    <w:link w:val="ListXXX"/>
    <w:rsid w:val="004411C7"/>
    <w:rPr>
      <w:rFonts w:ascii="Times New Roman" w:eastAsia="Times New Roman" w:hAnsi="Times New Roman"/>
      <w:color w:val="000000"/>
      <w:sz w:val="22"/>
      <w:szCs w:val="22"/>
    </w:rPr>
  </w:style>
  <w:style w:type="paragraph" w:customStyle="1" w:styleId="FormHeadings">
    <w:name w:val="Form Headings"/>
    <w:basedOn w:val="Heading2"/>
    <w:link w:val="FormHeadingsChar"/>
    <w:qFormat/>
    <w:rsid w:val="004411C7"/>
    <w:pPr>
      <w:keepLines w:val="0"/>
      <w:tabs>
        <w:tab w:val="left" w:pos="720"/>
      </w:tabs>
      <w:spacing w:before="0" w:after="0"/>
      <w:ind w:left="0" w:firstLine="0"/>
      <w:jc w:val="center"/>
    </w:pPr>
    <w:rPr>
      <w:b/>
      <w:bCs/>
      <w:caps w:val="0"/>
      <w:color w:val="000000"/>
      <w:sz w:val="24"/>
      <w:szCs w:val="22"/>
      <w:lang w:val="x-none" w:eastAsia="x-none"/>
    </w:rPr>
  </w:style>
  <w:style w:type="character" w:customStyle="1" w:styleId="FormHeadingsChar">
    <w:name w:val="Form Headings Char"/>
    <w:basedOn w:val="Heading2Char"/>
    <w:link w:val="FormHeadings"/>
    <w:rsid w:val="004411C7"/>
    <w:rPr>
      <w:rFonts w:ascii="Times New Roman Bold" w:eastAsia="Times New Roman" w:hAnsi="Times New Roman Bold" w:cs="Times New Roman"/>
      <w:b/>
      <w:bCs/>
      <w:caps w:val="0"/>
      <w:color w:val="000000"/>
      <w:sz w:val="24"/>
      <w:szCs w:val="22"/>
      <w:lang w:val="x-none" w:eastAsia="x-none"/>
    </w:rPr>
  </w:style>
  <w:style w:type="paragraph" w:customStyle="1" w:styleId="Heading1-Section">
    <w:name w:val="Heading 1-Section"/>
    <w:basedOn w:val="Normal"/>
    <w:rsid w:val="008A3119"/>
    <w:pPr>
      <w:keepNext/>
      <w:keepLines/>
      <w:spacing w:before="400" w:after="180"/>
      <w:jc w:val="left"/>
      <w:outlineLvl w:val="0"/>
    </w:pPr>
    <w:rPr>
      <w:rFonts w:ascii="Arial" w:eastAsiaTheme="majorEastAsia" w:hAnsi="Arial"/>
      <w:b/>
      <w:sz w:val="24"/>
      <w:szCs w:val="24"/>
    </w:rPr>
  </w:style>
  <w:style w:type="paragraph" w:customStyle="1" w:styleId="paragraph">
    <w:name w:val="paragraph"/>
    <w:basedOn w:val="Normal"/>
    <w:rsid w:val="006540E5"/>
    <w:pPr>
      <w:spacing w:before="100" w:beforeAutospacing="1" w:after="100" w:afterAutospacing="1"/>
      <w:jc w:val="left"/>
    </w:pPr>
    <w:rPr>
      <w:rFonts w:eastAsia="Times New Roman"/>
      <w:sz w:val="24"/>
      <w:szCs w:val="24"/>
    </w:rPr>
  </w:style>
  <w:style w:type="character" w:customStyle="1" w:styleId="normaltextrun">
    <w:name w:val="normaltextrun"/>
    <w:basedOn w:val="DefaultParagraphFont"/>
    <w:rsid w:val="006540E5"/>
  </w:style>
  <w:style w:type="character" w:customStyle="1" w:styleId="eop">
    <w:name w:val="eop"/>
    <w:basedOn w:val="DefaultParagraphFont"/>
    <w:rsid w:val="006540E5"/>
  </w:style>
  <w:style w:type="numbering" w:customStyle="1" w:styleId="NoList1">
    <w:name w:val="No List1"/>
    <w:next w:val="NoList"/>
    <w:uiPriority w:val="99"/>
    <w:semiHidden/>
    <w:unhideWhenUsed/>
    <w:rsid w:val="000C465B"/>
  </w:style>
  <w:style w:type="table" w:customStyle="1" w:styleId="TableGrid22">
    <w:name w:val="Table Grid22"/>
    <w:basedOn w:val="TableNormal"/>
    <w:next w:val="TableGrid"/>
    <w:uiPriority w:val="59"/>
    <w:rsid w:val="000C46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C465B"/>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6871">
      <w:bodyDiv w:val="1"/>
      <w:marLeft w:val="0"/>
      <w:marRight w:val="0"/>
      <w:marTop w:val="0"/>
      <w:marBottom w:val="0"/>
      <w:divBdr>
        <w:top w:val="none" w:sz="0" w:space="0" w:color="auto"/>
        <w:left w:val="none" w:sz="0" w:space="0" w:color="auto"/>
        <w:bottom w:val="none" w:sz="0" w:space="0" w:color="auto"/>
        <w:right w:val="none" w:sz="0" w:space="0" w:color="auto"/>
      </w:divBdr>
    </w:div>
    <w:div w:id="35200564">
      <w:bodyDiv w:val="1"/>
      <w:marLeft w:val="0"/>
      <w:marRight w:val="0"/>
      <w:marTop w:val="0"/>
      <w:marBottom w:val="0"/>
      <w:divBdr>
        <w:top w:val="none" w:sz="0" w:space="0" w:color="auto"/>
        <w:left w:val="none" w:sz="0" w:space="0" w:color="auto"/>
        <w:bottom w:val="none" w:sz="0" w:space="0" w:color="auto"/>
        <w:right w:val="none" w:sz="0" w:space="0" w:color="auto"/>
      </w:divBdr>
      <w:divsChild>
        <w:div w:id="349724953">
          <w:marLeft w:val="0"/>
          <w:marRight w:val="0"/>
          <w:marTop w:val="0"/>
          <w:marBottom w:val="0"/>
          <w:divBdr>
            <w:top w:val="none" w:sz="0" w:space="0" w:color="auto"/>
            <w:left w:val="none" w:sz="0" w:space="0" w:color="auto"/>
            <w:bottom w:val="none" w:sz="0" w:space="0" w:color="auto"/>
            <w:right w:val="none" w:sz="0" w:space="0" w:color="auto"/>
          </w:divBdr>
          <w:divsChild>
            <w:div w:id="139660753">
              <w:marLeft w:val="360"/>
              <w:marRight w:val="0"/>
              <w:marTop w:val="245"/>
              <w:marBottom w:val="0"/>
              <w:divBdr>
                <w:top w:val="none" w:sz="0" w:space="0" w:color="auto"/>
                <w:left w:val="none" w:sz="0" w:space="0" w:color="auto"/>
                <w:bottom w:val="none" w:sz="0" w:space="0" w:color="auto"/>
                <w:right w:val="none" w:sz="0" w:space="0" w:color="auto"/>
              </w:divBdr>
            </w:div>
          </w:divsChild>
        </w:div>
      </w:divsChild>
    </w:div>
    <w:div w:id="46531929">
      <w:bodyDiv w:val="1"/>
      <w:marLeft w:val="0"/>
      <w:marRight w:val="0"/>
      <w:marTop w:val="0"/>
      <w:marBottom w:val="0"/>
      <w:divBdr>
        <w:top w:val="none" w:sz="0" w:space="0" w:color="auto"/>
        <w:left w:val="none" w:sz="0" w:space="0" w:color="auto"/>
        <w:bottom w:val="none" w:sz="0" w:space="0" w:color="auto"/>
        <w:right w:val="none" w:sz="0" w:space="0" w:color="auto"/>
      </w:divBdr>
      <w:divsChild>
        <w:div w:id="234239477">
          <w:marLeft w:val="0"/>
          <w:marRight w:val="0"/>
          <w:marTop w:val="0"/>
          <w:marBottom w:val="0"/>
          <w:divBdr>
            <w:top w:val="none" w:sz="0" w:space="0" w:color="auto"/>
            <w:left w:val="none" w:sz="0" w:space="0" w:color="auto"/>
            <w:bottom w:val="none" w:sz="0" w:space="0" w:color="auto"/>
            <w:right w:val="none" w:sz="0" w:space="0" w:color="auto"/>
          </w:divBdr>
          <w:divsChild>
            <w:div w:id="1130055675">
              <w:marLeft w:val="0"/>
              <w:marRight w:val="0"/>
              <w:marTop w:val="0"/>
              <w:marBottom w:val="0"/>
              <w:divBdr>
                <w:top w:val="none" w:sz="0" w:space="0" w:color="auto"/>
                <w:left w:val="none" w:sz="0" w:space="0" w:color="auto"/>
                <w:bottom w:val="none" w:sz="0" w:space="0" w:color="auto"/>
                <w:right w:val="none" w:sz="0" w:space="0" w:color="auto"/>
              </w:divBdr>
              <w:divsChild>
                <w:div w:id="19267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58391">
      <w:bodyDiv w:val="1"/>
      <w:marLeft w:val="0"/>
      <w:marRight w:val="0"/>
      <w:marTop w:val="0"/>
      <w:marBottom w:val="0"/>
      <w:divBdr>
        <w:top w:val="none" w:sz="0" w:space="0" w:color="auto"/>
        <w:left w:val="none" w:sz="0" w:space="0" w:color="auto"/>
        <w:bottom w:val="none" w:sz="0" w:space="0" w:color="auto"/>
        <w:right w:val="none" w:sz="0" w:space="0" w:color="auto"/>
      </w:divBdr>
    </w:div>
    <w:div w:id="58335410">
      <w:bodyDiv w:val="1"/>
      <w:marLeft w:val="0"/>
      <w:marRight w:val="0"/>
      <w:marTop w:val="0"/>
      <w:marBottom w:val="0"/>
      <w:divBdr>
        <w:top w:val="none" w:sz="0" w:space="0" w:color="auto"/>
        <w:left w:val="none" w:sz="0" w:space="0" w:color="auto"/>
        <w:bottom w:val="none" w:sz="0" w:space="0" w:color="auto"/>
        <w:right w:val="none" w:sz="0" w:space="0" w:color="auto"/>
      </w:divBdr>
    </w:div>
    <w:div w:id="66613736">
      <w:bodyDiv w:val="1"/>
      <w:marLeft w:val="0"/>
      <w:marRight w:val="0"/>
      <w:marTop w:val="0"/>
      <w:marBottom w:val="0"/>
      <w:divBdr>
        <w:top w:val="none" w:sz="0" w:space="0" w:color="auto"/>
        <w:left w:val="none" w:sz="0" w:space="0" w:color="auto"/>
        <w:bottom w:val="none" w:sz="0" w:space="0" w:color="auto"/>
        <w:right w:val="none" w:sz="0" w:space="0" w:color="auto"/>
      </w:divBdr>
    </w:div>
    <w:div w:id="67384522">
      <w:bodyDiv w:val="1"/>
      <w:marLeft w:val="0"/>
      <w:marRight w:val="0"/>
      <w:marTop w:val="0"/>
      <w:marBottom w:val="0"/>
      <w:divBdr>
        <w:top w:val="none" w:sz="0" w:space="0" w:color="auto"/>
        <w:left w:val="none" w:sz="0" w:space="0" w:color="auto"/>
        <w:bottom w:val="none" w:sz="0" w:space="0" w:color="auto"/>
        <w:right w:val="none" w:sz="0" w:space="0" w:color="auto"/>
      </w:divBdr>
    </w:div>
    <w:div w:id="69498321">
      <w:bodyDiv w:val="1"/>
      <w:marLeft w:val="0"/>
      <w:marRight w:val="0"/>
      <w:marTop w:val="0"/>
      <w:marBottom w:val="0"/>
      <w:divBdr>
        <w:top w:val="none" w:sz="0" w:space="0" w:color="auto"/>
        <w:left w:val="none" w:sz="0" w:space="0" w:color="auto"/>
        <w:bottom w:val="none" w:sz="0" w:space="0" w:color="auto"/>
        <w:right w:val="none" w:sz="0" w:space="0" w:color="auto"/>
      </w:divBdr>
    </w:div>
    <w:div w:id="85076780">
      <w:bodyDiv w:val="1"/>
      <w:marLeft w:val="0"/>
      <w:marRight w:val="0"/>
      <w:marTop w:val="0"/>
      <w:marBottom w:val="0"/>
      <w:divBdr>
        <w:top w:val="none" w:sz="0" w:space="0" w:color="auto"/>
        <w:left w:val="none" w:sz="0" w:space="0" w:color="auto"/>
        <w:bottom w:val="none" w:sz="0" w:space="0" w:color="auto"/>
        <w:right w:val="none" w:sz="0" w:space="0" w:color="auto"/>
      </w:divBdr>
    </w:div>
    <w:div w:id="127089575">
      <w:bodyDiv w:val="1"/>
      <w:marLeft w:val="0"/>
      <w:marRight w:val="0"/>
      <w:marTop w:val="0"/>
      <w:marBottom w:val="0"/>
      <w:divBdr>
        <w:top w:val="none" w:sz="0" w:space="0" w:color="auto"/>
        <w:left w:val="none" w:sz="0" w:space="0" w:color="auto"/>
        <w:bottom w:val="none" w:sz="0" w:space="0" w:color="auto"/>
        <w:right w:val="none" w:sz="0" w:space="0" w:color="auto"/>
      </w:divBdr>
    </w:div>
    <w:div w:id="136076713">
      <w:bodyDiv w:val="1"/>
      <w:marLeft w:val="0"/>
      <w:marRight w:val="0"/>
      <w:marTop w:val="0"/>
      <w:marBottom w:val="0"/>
      <w:divBdr>
        <w:top w:val="none" w:sz="0" w:space="0" w:color="auto"/>
        <w:left w:val="none" w:sz="0" w:space="0" w:color="auto"/>
        <w:bottom w:val="none" w:sz="0" w:space="0" w:color="auto"/>
        <w:right w:val="none" w:sz="0" w:space="0" w:color="auto"/>
      </w:divBdr>
    </w:div>
    <w:div w:id="173497389">
      <w:bodyDiv w:val="1"/>
      <w:marLeft w:val="0"/>
      <w:marRight w:val="0"/>
      <w:marTop w:val="0"/>
      <w:marBottom w:val="0"/>
      <w:divBdr>
        <w:top w:val="none" w:sz="0" w:space="0" w:color="auto"/>
        <w:left w:val="none" w:sz="0" w:space="0" w:color="auto"/>
        <w:bottom w:val="none" w:sz="0" w:space="0" w:color="auto"/>
        <w:right w:val="none" w:sz="0" w:space="0" w:color="auto"/>
      </w:divBdr>
    </w:div>
    <w:div w:id="177084598">
      <w:bodyDiv w:val="1"/>
      <w:marLeft w:val="0"/>
      <w:marRight w:val="0"/>
      <w:marTop w:val="0"/>
      <w:marBottom w:val="0"/>
      <w:divBdr>
        <w:top w:val="none" w:sz="0" w:space="0" w:color="auto"/>
        <w:left w:val="none" w:sz="0" w:space="0" w:color="auto"/>
        <w:bottom w:val="none" w:sz="0" w:space="0" w:color="auto"/>
        <w:right w:val="none" w:sz="0" w:space="0" w:color="auto"/>
      </w:divBdr>
    </w:div>
    <w:div w:id="184247213">
      <w:bodyDiv w:val="1"/>
      <w:marLeft w:val="0"/>
      <w:marRight w:val="0"/>
      <w:marTop w:val="0"/>
      <w:marBottom w:val="0"/>
      <w:divBdr>
        <w:top w:val="none" w:sz="0" w:space="0" w:color="auto"/>
        <w:left w:val="none" w:sz="0" w:space="0" w:color="auto"/>
        <w:bottom w:val="none" w:sz="0" w:space="0" w:color="auto"/>
        <w:right w:val="none" w:sz="0" w:space="0" w:color="auto"/>
      </w:divBdr>
    </w:div>
    <w:div w:id="216094751">
      <w:bodyDiv w:val="1"/>
      <w:marLeft w:val="0"/>
      <w:marRight w:val="0"/>
      <w:marTop w:val="0"/>
      <w:marBottom w:val="0"/>
      <w:divBdr>
        <w:top w:val="none" w:sz="0" w:space="0" w:color="auto"/>
        <w:left w:val="none" w:sz="0" w:space="0" w:color="auto"/>
        <w:bottom w:val="none" w:sz="0" w:space="0" w:color="auto"/>
        <w:right w:val="none" w:sz="0" w:space="0" w:color="auto"/>
      </w:divBdr>
    </w:div>
    <w:div w:id="228344375">
      <w:bodyDiv w:val="1"/>
      <w:marLeft w:val="0"/>
      <w:marRight w:val="0"/>
      <w:marTop w:val="0"/>
      <w:marBottom w:val="0"/>
      <w:divBdr>
        <w:top w:val="none" w:sz="0" w:space="0" w:color="auto"/>
        <w:left w:val="none" w:sz="0" w:space="0" w:color="auto"/>
        <w:bottom w:val="none" w:sz="0" w:space="0" w:color="auto"/>
        <w:right w:val="none" w:sz="0" w:space="0" w:color="auto"/>
      </w:divBdr>
    </w:div>
    <w:div w:id="233131063">
      <w:bodyDiv w:val="1"/>
      <w:marLeft w:val="0"/>
      <w:marRight w:val="0"/>
      <w:marTop w:val="0"/>
      <w:marBottom w:val="0"/>
      <w:divBdr>
        <w:top w:val="none" w:sz="0" w:space="0" w:color="auto"/>
        <w:left w:val="none" w:sz="0" w:space="0" w:color="auto"/>
        <w:bottom w:val="none" w:sz="0" w:space="0" w:color="auto"/>
        <w:right w:val="none" w:sz="0" w:space="0" w:color="auto"/>
      </w:divBdr>
    </w:div>
    <w:div w:id="243301078">
      <w:bodyDiv w:val="1"/>
      <w:marLeft w:val="0"/>
      <w:marRight w:val="0"/>
      <w:marTop w:val="0"/>
      <w:marBottom w:val="0"/>
      <w:divBdr>
        <w:top w:val="none" w:sz="0" w:space="0" w:color="auto"/>
        <w:left w:val="none" w:sz="0" w:space="0" w:color="auto"/>
        <w:bottom w:val="none" w:sz="0" w:space="0" w:color="auto"/>
        <w:right w:val="none" w:sz="0" w:space="0" w:color="auto"/>
      </w:divBdr>
    </w:div>
    <w:div w:id="275409264">
      <w:bodyDiv w:val="1"/>
      <w:marLeft w:val="0"/>
      <w:marRight w:val="0"/>
      <w:marTop w:val="0"/>
      <w:marBottom w:val="0"/>
      <w:divBdr>
        <w:top w:val="none" w:sz="0" w:space="0" w:color="auto"/>
        <w:left w:val="none" w:sz="0" w:space="0" w:color="auto"/>
        <w:bottom w:val="none" w:sz="0" w:space="0" w:color="auto"/>
        <w:right w:val="none" w:sz="0" w:space="0" w:color="auto"/>
      </w:divBdr>
    </w:div>
    <w:div w:id="275479406">
      <w:bodyDiv w:val="1"/>
      <w:marLeft w:val="0"/>
      <w:marRight w:val="0"/>
      <w:marTop w:val="0"/>
      <w:marBottom w:val="0"/>
      <w:divBdr>
        <w:top w:val="none" w:sz="0" w:space="0" w:color="auto"/>
        <w:left w:val="none" w:sz="0" w:space="0" w:color="auto"/>
        <w:bottom w:val="none" w:sz="0" w:space="0" w:color="auto"/>
        <w:right w:val="none" w:sz="0" w:space="0" w:color="auto"/>
      </w:divBdr>
    </w:div>
    <w:div w:id="337201035">
      <w:bodyDiv w:val="1"/>
      <w:marLeft w:val="0"/>
      <w:marRight w:val="0"/>
      <w:marTop w:val="0"/>
      <w:marBottom w:val="0"/>
      <w:divBdr>
        <w:top w:val="none" w:sz="0" w:space="0" w:color="auto"/>
        <w:left w:val="none" w:sz="0" w:space="0" w:color="auto"/>
        <w:bottom w:val="none" w:sz="0" w:space="0" w:color="auto"/>
        <w:right w:val="none" w:sz="0" w:space="0" w:color="auto"/>
      </w:divBdr>
    </w:div>
    <w:div w:id="342518466">
      <w:bodyDiv w:val="1"/>
      <w:marLeft w:val="0"/>
      <w:marRight w:val="0"/>
      <w:marTop w:val="0"/>
      <w:marBottom w:val="0"/>
      <w:divBdr>
        <w:top w:val="none" w:sz="0" w:space="0" w:color="auto"/>
        <w:left w:val="none" w:sz="0" w:space="0" w:color="auto"/>
        <w:bottom w:val="none" w:sz="0" w:space="0" w:color="auto"/>
        <w:right w:val="none" w:sz="0" w:space="0" w:color="auto"/>
      </w:divBdr>
    </w:div>
    <w:div w:id="348532431">
      <w:bodyDiv w:val="1"/>
      <w:marLeft w:val="0"/>
      <w:marRight w:val="0"/>
      <w:marTop w:val="0"/>
      <w:marBottom w:val="0"/>
      <w:divBdr>
        <w:top w:val="none" w:sz="0" w:space="0" w:color="auto"/>
        <w:left w:val="none" w:sz="0" w:space="0" w:color="auto"/>
        <w:bottom w:val="none" w:sz="0" w:space="0" w:color="auto"/>
        <w:right w:val="none" w:sz="0" w:space="0" w:color="auto"/>
      </w:divBdr>
    </w:div>
    <w:div w:id="368381399">
      <w:bodyDiv w:val="1"/>
      <w:marLeft w:val="0"/>
      <w:marRight w:val="0"/>
      <w:marTop w:val="0"/>
      <w:marBottom w:val="0"/>
      <w:divBdr>
        <w:top w:val="none" w:sz="0" w:space="0" w:color="auto"/>
        <w:left w:val="none" w:sz="0" w:space="0" w:color="auto"/>
        <w:bottom w:val="none" w:sz="0" w:space="0" w:color="auto"/>
        <w:right w:val="none" w:sz="0" w:space="0" w:color="auto"/>
      </w:divBdr>
      <w:divsChild>
        <w:div w:id="675158772">
          <w:marLeft w:val="0"/>
          <w:marRight w:val="0"/>
          <w:marTop w:val="0"/>
          <w:marBottom w:val="0"/>
          <w:divBdr>
            <w:top w:val="none" w:sz="0" w:space="0" w:color="auto"/>
            <w:left w:val="none" w:sz="0" w:space="0" w:color="auto"/>
            <w:bottom w:val="none" w:sz="0" w:space="0" w:color="auto"/>
            <w:right w:val="none" w:sz="0" w:space="0" w:color="auto"/>
          </w:divBdr>
          <w:divsChild>
            <w:div w:id="36049783">
              <w:marLeft w:val="0"/>
              <w:marRight w:val="0"/>
              <w:marTop w:val="0"/>
              <w:marBottom w:val="0"/>
              <w:divBdr>
                <w:top w:val="none" w:sz="0" w:space="0" w:color="auto"/>
                <w:left w:val="none" w:sz="0" w:space="0" w:color="auto"/>
                <w:bottom w:val="none" w:sz="0" w:space="0" w:color="auto"/>
                <w:right w:val="none" w:sz="0" w:space="0" w:color="auto"/>
              </w:divBdr>
              <w:divsChild>
                <w:div w:id="374427023">
                  <w:marLeft w:val="0"/>
                  <w:marRight w:val="0"/>
                  <w:marTop w:val="0"/>
                  <w:marBottom w:val="0"/>
                  <w:divBdr>
                    <w:top w:val="none" w:sz="0" w:space="0" w:color="auto"/>
                    <w:left w:val="none" w:sz="0" w:space="0" w:color="auto"/>
                    <w:bottom w:val="none" w:sz="0" w:space="0" w:color="auto"/>
                    <w:right w:val="none" w:sz="0" w:space="0" w:color="auto"/>
                  </w:divBdr>
                </w:div>
              </w:divsChild>
            </w:div>
            <w:div w:id="681321836">
              <w:marLeft w:val="0"/>
              <w:marRight w:val="0"/>
              <w:marTop w:val="0"/>
              <w:marBottom w:val="0"/>
              <w:divBdr>
                <w:top w:val="none" w:sz="0" w:space="0" w:color="auto"/>
                <w:left w:val="none" w:sz="0" w:space="0" w:color="auto"/>
                <w:bottom w:val="none" w:sz="0" w:space="0" w:color="auto"/>
                <w:right w:val="none" w:sz="0" w:space="0" w:color="auto"/>
              </w:divBdr>
              <w:divsChild>
                <w:div w:id="822428754">
                  <w:marLeft w:val="0"/>
                  <w:marRight w:val="0"/>
                  <w:marTop w:val="0"/>
                  <w:marBottom w:val="0"/>
                  <w:divBdr>
                    <w:top w:val="none" w:sz="0" w:space="0" w:color="auto"/>
                    <w:left w:val="none" w:sz="0" w:space="0" w:color="auto"/>
                    <w:bottom w:val="none" w:sz="0" w:space="0" w:color="auto"/>
                    <w:right w:val="none" w:sz="0" w:space="0" w:color="auto"/>
                  </w:divBdr>
                </w:div>
              </w:divsChild>
            </w:div>
            <w:div w:id="1393695430">
              <w:marLeft w:val="0"/>
              <w:marRight w:val="0"/>
              <w:marTop w:val="0"/>
              <w:marBottom w:val="0"/>
              <w:divBdr>
                <w:top w:val="none" w:sz="0" w:space="0" w:color="auto"/>
                <w:left w:val="none" w:sz="0" w:space="0" w:color="auto"/>
                <w:bottom w:val="none" w:sz="0" w:space="0" w:color="auto"/>
                <w:right w:val="none" w:sz="0" w:space="0" w:color="auto"/>
              </w:divBdr>
              <w:divsChild>
                <w:div w:id="1195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1867">
      <w:bodyDiv w:val="1"/>
      <w:marLeft w:val="0"/>
      <w:marRight w:val="0"/>
      <w:marTop w:val="0"/>
      <w:marBottom w:val="0"/>
      <w:divBdr>
        <w:top w:val="none" w:sz="0" w:space="0" w:color="auto"/>
        <w:left w:val="none" w:sz="0" w:space="0" w:color="auto"/>
        <w:bottom w:val="none" w:sz="0" w:space="0" w:color="auto"/>
        <w:right w:val="none" w:sz="0" w:space="0" w:color="auto"/>
      </w:divBdr>
    </w:div>
    <w:div w:id="379787976">
      <w:bodyDiv w:val="1"/>
      <w:marLeft w:val="0"/>
      <w:marRight w:val="0"/>
      <w:marTop w:val="0"/>
      <w:marBottom w:val="0"/>
      <w:divBdr>
        <w:top w:val="none" w:sz="0" w:space="0" w:color="auto"/>
        <w:left w:val="none" w:sz="0" w:space="0" w:color="auto"/>
        <w:bottom w:val="none" w:sz="0" w:space="0" w:color="auto"/>
        <w:right w:val="none" w:sz="0" w:space="0" w:color="auto"/>
      </w:divBdr>
    </w:div>
    <w:div w:id="380861441">
      <w:bodyDiv w:val="1"/>
      <w:marLeft w:val="0"/>
      <w:marRight w:val="0"/>
      <w:marTop w:val="0"/>
      <w:marBottom w:val="0"/>
      <w:divBdr>
        <w:top w:val="none" w:sz="0" w:space="0" w:color="auto"/>
        <w:left w:val="none" w:sz="0" w:space="0" w:color="auto"/>
        <w:bottom w:val="none" w:sz="0" w:space="0" w:color="auto"/>
        <w:right w:val="none" w:sz="0" w:space="0" w:color="auto"/>
      </w:divBdr>
    </w:div>
    <w:div w:id="388236240">
      <w:bodyDiv w:val="1"/>
      <w:marLeft w:val="0"/>
      <w:marRight w:val="0"/>
      <w:marTop w:val="0"/>
      <w:marBottom w:val="0"/>
      <w:divBdr>
        <w:top w:val="none" w:sz="0" w:space="0" w:color="auto"/>
        <w:left w:val="none" w:sz="0" w:space="0" w:color="auto"/>
        <w:bottom w:val="none" w:sz="0" w:space="0" w:color="auto"/>
        <w:right w:val="none" w:sz="0" w:space="0" w:color="auto"/>
      </w:divBdr>
    </w:div>
    <w:div w:id="389420443">
      <w:bodyDiv w:val="1"/>
      <w:marLeft w:val="0"/>
      <w:marRight w:val="0"/>
      <w:marTop w:val="0"/>
      <w:marBottom w:val="0"/>
      <w:divBdr>
        <w:top w:val="none" w:sz="0" w:space="0" w:color="auto"/>
        <w:left w:val="none" w:sz="0" w:space="0" w:color="auto"/>
        <w:bottom w:val="none" w:sz="0" w:space="0" w:color="auto"/>
        <w:right w:val="none" w:sz="0" w:space="0" w:color="auto"/>
      </w:divBdr>
    </w:div>
    <w:div w:id="440146758">
      <w:bodyDiv w:val="1"/>
      <w:marLeft w:val="0"/>
      <w:marRight w:val="0"/>
      <w:marTop w:val="0"/>
      <w:marBottom w:val="0"/>
      <w:divBdr>
        <w:top w:val="none" w:sz="0" w:space="0" w:color="auto"/>
        <w:left w:val="none" w:sz="0" w:space="0" w:color="auto"/>
        <w:bottom w:val="none" w:sz="0" w:space="0" w:color="auto"/>
        <w:right w:val="none" w:sz="0" w:space="0" w:color="auto"/>
      </w:divBdr>
    </w:div>
    <w:div w:id="444351206">
      <w:bodyDiv w:val="1"/>
      <w:marLeft w:val="0"/>
      <w:marRight w:val="0"/>
      <w:marTop w:val="0"/>
      <w:marBottom w:val="0"/>
      <w:divBdr>
        <w:top w:val="none" w:sz="0" w:space="0" w:color="auto"/>
        <w:left w:val="none" w:sz="0" w:space="0" w:color="auto"/>
        <w:bottom w:val="none" w:sz="0" w:space="0" w:color="auto"/>
        <w:right w:val="none" w:sz="0" w:space="0" w:color="auto"/>
      </w:divBdr>
    </w:div>
    <w:div w:id="454758392">
      <w:bodyDiv w:val="1"/>
      <w:marLeft w:val="0"/>
      <w:marRight w:val="0"/>
      <w:marTop w:val="0"/>
      <w:marBottom w:val="0"/>
      <w:divBdr>
        <w:top w:val="none" w:sz="0" w:space="0" w:color="auto"/>
        <w:left w:val="none" w:sz="0" w:space="0" w:color="auto"/>
        <w:bottom w:val="none" w:sz="0" w:space="0" w:color="auto"/>
        <w:right w:val="none" w:sz="0" w:space="0" w:color="auto"/>
      </w:divBdr>
    </w:div>
    <w:div w:id="482046488">
      <w:bodyDiv w:val="1"/>
      <w:marLeft w:val="0"/>
      <w:marRight w:val="0"/>
      <w:marTop w:val="0"/>
      <w:marBottom w:val="0"/>
      <w:divBdr>
        <w:top w:val="none" w:sz="0" w:space="0" w:color="auto"/>
        <w:left w:val="none" w:sz="0" w:space="0" w:color="auto"/>
        <w:bottom w:val="none" w:sz="0" w:space="0" w:color="auto"/>
        <w:right w:val="none" w:sz="0" w:space="0" w:color="auto"/>
      </w:divBdr>
    </w:div>
    <w:div w:id="514610306">
      <w:bodyDiv w:val="1"/>
      <w:marLeft w:val="0"/>
      <w:marRight w:val="0"/>
      <w:marTop w:val="0"/>
      <w:marBottom w:val="0"/>
      <w:divBdr>
        <w:top w:val="none" w:sz="0" w:space="0" w:color="auto"/>
        <w:left w:val="none" w:sz="0" w:space="0" w:color="auto"/>
        <w:bottom w:val="none" w:sz="0" w:space="0" w:color="auto"/>
        <w:right w:val="none" w:sz="0" w:space="0" w:color="auto"/>
      </w:divBdr>
    </w:div>
    <w:div w:id="528105416">
      <w:bodyDiv w:val="1"/>
      <w:marLeft w:val="0"/>
      <w:marRight w:val="0"/>
      <w:marTop w:val="0"/>
      <w:marBottom w:val="0"/>
      <w:divBdr>
        <w:top w:val="none" w:sz="0" w:space="0" w:color="auto"/>
        <w:left w:val="none" w:sz="0" w:space="0" w:color="auto"/>
        <w:bottom w:val="none" w:sz="0" w:space="0" w:color="auto"/>
        <w:right w:val="none" w:sz="0" w:space="0" w:color="auto"/>
      </w:divBdr>
      <w:divsChild>
        <w:div w:id="2125614416">
          <w:marLeft w:val="0"/>
          <w:marRight w:val="0"/>
          <w:marTop w:val="0"/>
          <w:marBottom w:val="0"/>
          <w:divBdr>
            <w:top w:val="none" w:sz="0" w:space="0" w:color="auto"/>
            <w:left w:val="none" w:sz="0" w:space="0" w:color="auto"/>
            <w:bottom w:val="none" w:sz="0" w:space="0" w:color="auto"/>
            <w:right w:val="none" w:sz="0" w:space="0" w:color="auto"/>
          </w:divBdr>
          <w:divsChild>
            <w:div w:id="329604436">
              <w:marLeft w:val="0"/>
              <w:marRight w:val="0"/>
              <w:marTop w:val="0"/>
              <w:marBottom w:val="0"/>
              <w:divBdr>
                <w:top w:val="none" w:sz="0" w:space="0" w:color="auto"/>
                <w:left w:val="none" w:sz="0" w:space="0" w:color="auto"/>
                <w:bottom w:val="none" w:sz="0" w:space="0" w:color="auto"/>
                <w:right w:val="none" w:sz="0" w:space="0" w:color="auto"/>
              </w:divBdr>
              <w:divsChild>
                <w:div w:id="19281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4961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1131358">
          <w:marLeft w:val="0"/>
          <w:marRight w:val="0"/>
          <w:marTop w:val="0"/>
          <w:marBottom w:val="0"/>
          <w:divBdr>
            <w:top w:val="none" w:sz="0" w:space="0" w:color="auto"/>
            <w:left w:val="none" w:sz="0" w:space="0" w:color="auto"/>
            <w:bottom w:val="none" w:sz="0" w:space="0" w:color="auto"/>
            <w:right w:val="none" w:sz="0" w:space="0" w:color="auto"/>
          </w:divBdr>
        </w:div>
      </w:divsChild>
    </w:div>
    <w:div w:id="550965195">
      <w:bodyDiv w:val="1"/>
      <w:marLeft w:val="0"/>
      <w:marRight w:val="0"/>
      <w:marTop w:val="0"/>
      <w:marBottom w:val="0"/>
      <w:divBdr>
        <w:top w:val="none" w:sz="0" w:space="0" w:color="auto"/>
        <w:left w:val="none" w:sz="0" w:space="0" w:color="auto"/>
        <w:bottom w:val="none" w:sz="0" w:space="0" w:color="auto"/>
        <w:right w:val="none" w:sz="0" w:space="0" w:color="auto"/>
      </w:divBdr>
    </w:div>
    <w:div w:id="555550995">
      <w:bodyDiv w:val="1"/>
      <w:marLeft w:val="0"/>
      <w:marRight w:val="0"/>
      <w:marTop w:val="0"/>
      <w:marBottom w:val="0"/>
      <w:divBdr>
        <w:top w:val="none" w:sz="0" w:space="0" w:color="auto"/>
        <w:left w:val="none" w:sz="0" w:space="0" w:color="auto"/>
        <w:bottom w:val="none" w:sz="0" w:space="0" w:color="auto"/>
        <w:right w:val="none" w:sz="0" w:space="0" w:color="auto"/>
      </w:divBdr>
    </w:div>
    <w:div w:id="573049404">
      <w:bodyDiv w:val="1"/>
      <w:marLeft w:val="0"/>
      <w:marRight w:val="0"/>
      <w:marTop w:val="0"/>
      <w:marBottom w:val="0"/>
      <w:divBdr>
        <w:top w:val="none" w:sz="0" w:space="0" w:color="auto"/>
        <w:left w:val="none" w:sz="0" w:space="0" w:color="auto"/>
        <w:bottom w:val="none" w:sz="0" w:space="0" w:color="auto"/>
        <w:right w:val="none" w:sz="0" w:space="0" w:color="auto"/>
      </w:divBdr>
    </w:div>
    <w:div w:id="578683470">
      <w:bodyDiv w:val="1"/>
      <w:marLeft w:val="0"/>
      <w:marRight w:val="0"/>
      <w:marTop w:val="0"/>
      <w:marBottom w:val="0"/>
      <w:divBdr>
        <w:top w:val="none" w:sz="0" w:space="0" w:color="auto"/>
        <w:left w:val="none" w:sz="0" w:space="0" w:color="auto"/>
        <w:bottom w:val="none" w:sz="0" w:space="0" w:color="auto"/>
        <w:right w:val="none" w:sz="0" w:space="0" w:color="auto"/>
      </w:divBdr>
      <w:divsChild>
        <w:div w:id="14188212">
          <w:marLeft w:val="0"/>
          <w:marRight w:val="0"/>
          <w:marTop w:val="0"/>
          <w:marBottom w:val="0"/>
          <w:divBdr>
            <w:top w:val="none" w:sz="0" w:space="0" w:color="auto"/>
            <w:left w:val="none" w:sz="0" w:space="0" w:color="auto"/>
            <w:bottom w:val="none" w:sz="0" w:space="0" w:color="auto"/>
            <w:right w:val="none" w:sz="0" w:space="0" w:color="auto"/>
          </w:divBdr>
          <w:divsChild>
            <w:div w:id="1345589583">
              <w:marLeft w:val="0"/>
              <w:marRight w:val="0"/>
              <w:marTop w:val="0"/>
              <w:marBottom w:val="0"/>
              <w:divBdr>
                <w:top w:val="none" w:sz="0" w:space="0" w:color="auto"/>
                <w:left w:val="none" w:sz="0" w:space="0" w:color="auto"/>
                <w:bottom w:val="none" w:sz="0" w:space="0" w:color="auto"/>
                <w:right w:val="none" w:sz="0" w:space="0" w:color="auto"/>
              </w:divBdr>
              <w:divsChild>
                <w:div w:id="15578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4277">
          <w:marLeft w:val="0"/>
          <w:marRight w:val="0"/>
          <w:marTop w:val="0"/>
          <w:marBottom w:val="0"/>
          <w:divBdr>
            <w:top w:val="none" w:sz="0" w:space="0" w:color="auto"/>
            <w:left w:val="none" w:sz="0" w:space="0" w:color="auto"/>
            <w:bottom w:val="none" w:sz="0" w:space="0" w:color="auto"/>
            <w:right w:val="none" w:sz="0" w:space="0" w:color="auto"/>
          </w:divBdr>
          <w:divsChild>
            <w:div w:id="358704879">
              <w:marLeft w:val="0"/>
              <w:marRight w:val="0"/>
              <w:marTop w:val="0"/>
              <w:marBottom w:val="0"/>
              <w:divBdr>
                <w:top w:val="none" w:sz="0" w:space="0" w:color="auto"/>
                <w:left w:val="none" w:sz="0" w:space="0" w:color="auto"/>
                <w:bottom w:val="none" w:sz="0" w:space="0" w:color="auto"/>
                <w:right w:val="none" w:sz="0" w:space="0" w:color="auto"/>
              </w:divBdr>
              <w:divsChild>
                <w:div w:id="47531487">
                  <w:marLeft w:val="0"/>
                  <w:marRight w:val="0"/>
                  <w:marTop w:val="0"/>
                  <w:marBottom w:val="0"/>
                  <w:divBdr>
                    <w:top w:val="none" w:sz="0" w:space="0" w:color="auto"/>
                    <w:left w:val="none" w:sz="0" w:space="0" w:color="auto"/>
                    <w:bottom w:val="none" w:sz="0" w:space="0" w:color="auto"/>
                    <w:right w:val="none" w:sz="0" w:space="0" w:color="auto"/>
                  </w:divBdr>
                </w:div>
              </w:divsChild>
            </w:div>
            <w:div w:id="358943525">
              <w:marLeft w:val="0"/>
              <w:marRight w:val="0"/>
              <w:marTop w:val="0"/>
              <w:marBottom w:val="0"/>
              <w:divBdr>
                <w:top w:val="none" w:sz="0" w:space="0" w:color="auto"/>
                <w:left w:val="none" w:sz="0" w:space="0" w:color="auto"/>
                <w:bottom w:val="none" w:sz="0" w:space="0" w:color="auto"/>
                <w:right w:val="none" w:sz="0" w:space="0" w:color="auto"/>
              </w:divBdr>
              <w:divsChild>
                <w:div w:id="432750237">
                  <w:marLeft w:val="0"/>
                  <w:marRight w:val="0"/>
                  <w:marTop w:val="0"/>
                  <w:marBottom w:val="0"/>
                  <w:divBdr>
                    <w:top w:val="none" w:sz="0" w:space="0" w:color="auto"/>
                    <w:left w:val="none" w:sz="0" w:space="0" w:color="auto"/>
                    <w:bottom w:val="none" w:sz="0" w:space="0" w:color="auto"/>
                    <w:right w:val="none" w:sz="0" w:space="0" w:color="auto"/>
                  </w:divBdr>
                </w:div>
              </w:divsChild>
            </w:div>
            <w:div w:id="433980623">
              <w:marLeft w:val="0"/>
              <w:marRight w:val="0"/>
              <w:marTop w:val="0"/>
              <w:marBottom w:val="0"/>
              <w:divBdr>
                <w:top w:val="none" w:sz="0" w:space="0" w:color="auto"/>
                <w:left w:val="none" w:sz="0" w:space="0" w:color="auto"/>
                <w:bottom w:val="none" w:sz="0" w:space="0" w:color="auto"/>
                <w:right w:val="none" w:sz="0" w:space="0" w:color="auto"/>
              </w:divBdr>
              <w:divsChild>
                <w:div w:id="3894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7709">
          <w:marLeft w:val="0"/>
          <w:marRight w:val="0"/>
          <w:marTop w:val="0"/>
          <w:marBottom w:val="0"/>
          <w:divBdr>
            <w:top w:val="none" w:sz="0" w:space="0" w:color="auto"/>
            <w:left w:val="none" w:sz="0" w:space="0" w:color="auto"/>
            <w:bottom w:val="none" w:sz="0" w:space="0" w:color="auto"/>
            <w:right w:val="none" w:sz="0" w:space="0" w:color="auto"/>
          </w:divBdr>
          <w:divsChild>
            <w:div w:id="561790433">
              <w:marLeft w:val="0"/>
              <w:marRight w:val="0"/>
              <w:marTop w:val="0"/>
              <w:marBottom w:val="0"/>
              <w:divBdr>
                <w:top w:val="none" w:sz="0" w:space="0" w:color="auto"/>
                <w:left w:val="none" w:sz="0" w:space="0" w:color="auto"/>
                <w:bottom w:val="none" w:sz="0" w:space="0" w:color="auto"/>
                <w:right w:val="none" w:sz="0" w:space="0" w:color="auto"/>
              </w:divBdr>
              <w:divsChild>
                <w:div w:id="4555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85884">
          <w:marLeft w:val="0"/>
          <w:marRight w:val="0"/>
          <w:marTop w:val="0"/>
          <w:marBottom w:val="0"/>
          <w:divBdr>
            <w:top w:val="none" w:sz="0" w:space="0" w:color="auto"/>
            <w:left w:val="none" w:sz="0" w:space="0" w:color="auto"/>
            <w:bottom w:val="none" w:sz="0" w:space="0" w:color="auto"/>
            <w:right w:val="none" w:sz="0" w:space="0" w:color="auto"/>
          </w:divBdr>
          <w:divsChild>
            <w:div w:id="143668331">
              <w:marLeft w:val="0"/>
              <w:marRight w:val="0"/>
              <w:marTop w:val="0"/>
              <w:marBottom w:val="0"/>
              <w:divBdr>
                <w:top w:val="none" w:sz="0" w:space="0" w:color="auto"/>
                <w:left w:val="none" w:sz="0" w:space="0" w:color="auto"/>
                <w:bottom w:val="none" w:sz="0" w:space="0" w:color="auto"/>
                <w:right w:val="none" w:sz="0" w:space="0" w:color="auto"/>
              </w:divBdr>
              <w:divsChild>
                <w:div w:id="15009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27211">
          <w:marLeft w:val="0"/>
          <w:marRight w:val="0"/>
          <w:marTop w:val="0"/>
          <w:marBottom w:val="0"/>
          <w:divBdr>
            <w:top w:val="none" w:sz="0" w:space="0" w:color="auto"/>
            <w:left w:val="none" w:sz="0" w:space="0" w:color="auto"/>
            <w:bottom w:val="none" w:sz="0" w:space="0" w:color="auto"/>
            <w:right w:val="none" w:sz="0" w:space="0" w:color="auto"/>
          </w:divBdr>
          <w:divsChild>
            <w:div w:id="1068263158">
              <w:marLeft w:val="0"/>
              <w:marRight w:val="0"/>
              <w:marTop w:val="0"/>
              <w:marBottom w:val="0"/>
              <w:divBdr>
                <w:top w:val="none" w:sz="0" w:space="0" w:color="auto"/>
                <w:left w:val="none" w:sz="0" w:space="0" w:color="auto"/>
                <w:bottom w:val="none" w:sz="0" w:space="0" w:color="auto"/>
                <w:right w:val="none" w:sz="0" w:space="0" w:color="auto"/>
              </w:divBdr>
              <w:divsChild>
                <w:div w:id="375588165">
                  <w:marLeft w:val="0"/>
                  <w:marRight w:val="0"/>
                  <w:marTop w:val="0"/>
                  <w:marBottom w:val="0"/>
                  <w:divBdr>
                    <w:top w:val="none" w:sz="0" w:space="0" w:color="auto"/>
                    <w:left w:val="none" w:sz="0" w:space="0" w:color="auto"/>
                    <w:bottom w:val="none" w:sz="0" w:space="0" w:color="auto"/>
                    <w:right w:val="none" w:sz="0" w:space="0" w:color="auto"/>
                  </w:divBdr>
                </w:div>
              </w:divsChild>
            </w:div>
            <w:div w:id="1788236019">
              <w:marLeft w:val="0"/>
              <w:marRight w:val="0"/>
              <w:marTop w:val="0"/>
              <w:marBottom w:val="0"/>
              <w:divBdr>
                <w:top w:val="none" w:sz="0" w:space="0" w:color="auto"/>
                <w:left w:val="none" w:sz="0" w:space="0" w:color="auto"/>
                <w:bottom w:val="none" w:sz="0" w:space="0" w:color="auto"/>
                <w:right w:val="none" w:sz="0" w:space="0" w:color="auto"/>
              </w:divBdr>
              <w:divsChild>
                <w:div w:id="255669968">
                  <w:marLeft w:val="0"/>
                  <w:marRight w:val="0"/>
                  <w:marTop w:val="0"/>
                  <w:marBottom w:val="0"/>
                  <w:divBdr>
                    <w:top w:val="none" w:sz="0" w:space="0" w:color="auto"/>
                    <w:left w:val="none" w:sz="0" w:space="0" w:color="auto"/>
                    <w:bottom w:val="none" w:sz="0" w:space="0" w:color="auto"/>
                    <w:right w:val="none" w:sz="0" w:space="0" w:color="auto"/>
                  </w:divBdr>
                  <w:divsChild>
                    <w:div w:id="52070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92775">
          <w:marLeft w:val="0"/>
          <w:marRight w:val="0"/>
          <w:marTop w:val="0"/>
          <w:marBottom w:val="0"/>
          <w:divBdr>
            <w:top w:val="none" w:sz="0" w:space="0" w:color="auto"/>
            <w:left w:val="none" w:sz="0" w:space="0" w:color="auto"/>
            <w:bottom w:val="none" w:sz="0" w:space="0" w:color="auto"/>
            <w:right w:val="none" w:sz="0" w:space="0" w:color="auto"/>
          </w:divBdr>
          <w:divsChild>
            <w:div w:id="1929345947">
              <w:marLeft w:val="0"/>
              <w:marRight w:val="0"/>
              <w:marTop w:val="0"/>
              <w:marBottom w:val="0"/>
              <w:divBdr>
                <w:top w:val="none" w:sz="0" w:space="0" w:color="auto"/>
                <w:left w:val="none" w:sz="0" w:space="0" w:color="auto"/>
                <w:bottom w:val="none" w:sz="0" w:space="0" w:color="auto"/>
                <w:right w:val="none" w:sz="0" w:space="0" w:color="auto"/>
              </w:divBdr>
            </w:div>
          </w:divsChild>
        </w:div>
        <w:div w:id="867067261">
          <w:marLeft w:val="0"/>
          <w:marRight w:val="0"/>
          <w:marTop w:val="0"/>
          <w:marBottom w:val="0"/>
          <w:divBdr>
            <w:top w:val="none" w:sz="0" w:space="0" w:color="auto"/>
            <w:left w:val="none" w:sz="0" w:space="0" w:color="auto"/>
            <w:bottom w:val="none" w:sz="0" w:space="0" w:color="auto"/>
            <w:right w:val="none" w:sz="0" w:space="0" w:color="auto"/>
          </w:divBdr>
          <w:divsChild>
            <w:div w:id="1925721863">
              <w:marLeft w:val="0"/>
              <w:marRight w:val="0"/>
              <w:marTop w:val="0"/>
              <w:marBottom w:val="0"/>
              <w:divBdr>
                <w:top w:val="none" w:sz="0" w:space="0" w:color="auto"/>
                <w:left w:val="none" w:sz="0" w:space="0" w:color="auto"/>
                <w:bottom w:val="none" w:sz="0" w:space="0" w:color="auto"/>
                <w:right w:val="none" w:sz="0" w:space="0" w:color="auto"/>
              </w:divBdr>
              <w:divsChild>
                <w:div w:id="141493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3806">
          <w:marLeft w:val="0"/>
          <w:marRight w:val="0"/>
          <w:marTop w:val="0"/>
          <w:marBottom w:val="0"/>
          <w:divBdr>
            <w:top w:val="none" w:sz="0" w:space="0" w:color="auto"/>
            <w:left w:val="none" w:sz="0" w:space="0" w:color="auto"/>
            <w:bottom w:val="none" w:sz="0" w:space="0" w:color="auto"/>
            <w:right w:val="none" w:sz="0" w:space="0" w:color="auto"/>
          </w:divBdr>
          <w:divsChild>
            <w:div w:id="1236471280">
              <w:marLeft w:val="0"/>
              <w:marRight w:val="0"/>
              <w:marTop w:val="0"/>
              <w:marBottom w:val="0"/>
              <w:divBdr>
                <w:top w:val="none" w:sz="0" w:space="0" w:color="auto"/>
                <w:left w:val="none" w:sz="0" w:space="0" w:color="auto"/>
                <w:bottom w:val="none" w:sz="0" w:space="0" w:color="auto"/>
                <w:right w:val="none" w:sz="0" w:space="0" w:color="auto"/>
              </w:divBdr>
              <w:divsChild>
                <w:div w:id="5028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3831">
          <w:marLeft w:val="0"/>
          <w:marRight w:val="0"/>
          <w:marTop w:val="0"/>
          <w:marBottom w:val="0"/>
          <w:divBdr>
            <w:top w:val="none" w:sz="0" w:space="0" w:color="auto"/>
            <w:left w:val="none" w:sz="0" w:space="0" w:color="auto"/>
            <w:bottom w:val="none" w:sz="0" w:space="0" w:color="auto"/>
            <w:right w:val="none" w:sz="0" w:space="0" w:color="auto"/>
          </w:divBdr>
          <w:divsChild>
            <w:div w:id="469633853">
              <w:marLeft w:val="0"/>
              <w:marRight w:val="0"/>
              <w:marTop w:val="0"/>
              <w:marBottom w:val="0"/>
              <w:divBdr>
                <w:top w:val="none" w:sz="0" w:space="0" w:color="auto"/>
                <w:left w:val="none" w:sz="0" w:space="0" w:color="auto"/>
                <w:bottom w:val="none" w:sz="0" w:space="0" w:color="auto"/>
                <w:right w:val="none" w:sz="0" w:space="0" w:color="auto"/>
              </w:divBdr>
            </w:div>
          </w:divsChild>
        </w:div>
        <w:div w:id="1055202353">
          <w:marLeft w:val="0"/>
          <w:marRight w:val="0"/>
          <w:marTop w:val="0"/>
          <w:marBottom w:val="0"/>
          <w:divBdr>
            <w:top w:val="none" w:sz="0" w:space="0" w:color="auto"/>
            <w:left w:val="none" w:sz="0" w:space="0" w:color="auto"/>
            <w:bottom w:val="none" w:sz="0" w:space="0" w:color="auto"/>
            <w:right w:val="none" w:sz="0" w:space="0" w:color="auto"/>
          </w:divBdr>
          <w:divsChild>
            <w:div w:id="68507686">
              <w:marLeft w:val="0"/>
              <w:marRight w:val="0"/>
              <w:marTop w:val="0"/>
              <w:marBottom w:val="0"/>
              <w:divBdr>
                <w:top w:val="none" w:sz="0" w:space="0" w:color="auto"/>
                <w:left w:val="none" w:sz="0" w:space="0" w:color="auto"/>
                <w:bottom w:val="none" w:sz="0" w:space="0" w:color="auto"/>
                <w:right w:val="none" w:sz="0" w:space="0" w:color="auto"/>
              </w:divBdr>
              <w:divsChild>
                <w:div w:id="119800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40986">
          <w:marLeft w:val="0"/>
          <w:marRight w:val="0"/>
          <w:marTop w:val="0"/>
          <w:marBottom w:val="0"/>
          <w:divBdr>
            <w:top w:val="none" w:sz="0" w:space="0" w:color="auto"/>
            <w:left w:val="none" w:sz="0" w:space="0" w:color="auto"/>
            <w:bottom w:val="none" w:sz="0" w:space="0" w:color="auto"/>
            <w:right w:val="none" w:sz="0" w:space="0" w:color="auto"/>
          </w:divBdr>
          <w:divsChild>
            <w:div w:id="1579165924">
              <w:marLeft w:val="0"/>
              <w:marRight w:val="0"/>
              <w:marTop w:val="0"/>
              <w:marBottom w:val="0"/>
              <w:divBdr>
                <w:top w:val="none" w:sz="0" w:space="0" w:color="auto"/>
                <w:left w:val="none" w:sz="0" w:space="0" w:color="auto"/>
                <w:bottom w:val="none" w:sz="0" w:space="0" w:color="auto"/>
                <w:right w:val="none" w:sz="0" w:space="0" w:color="auto"/>
              </w:divBdr>
              <w:divsChild>
                <w:div w:id="9219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73706">
          <w:marLeft w:val="0"/>
          <w:marRight w:val="0"/>
          <w:marTop w:val="0"/>
          <w:marBottom w:val="0"/>
          <w:divBdr>
            <w:top w:val="none" w:sz="0" w:space="0" w:color="auto"/>
            <w:left w:val="none" w:sz="0" w:space="0" w:color="auto"/>
            <w:bottom w:val="none" w:sz="0" w:space="0" w:color="auto"/>
            <w:right w:val="none" w:sz="0" w:space="0" w:color="auto"/>
          </w:divBdr>
          <w:divsChild>
            <w:div w:id="38943051">
              <w:marLeft w:val="0"/>
              <w:marRight w:val="0"/>
              <w:marTop w:val="0"/>
              <w:marBottom w:val="0"/>
              <w:divBdr>
                <w:top w:val="none" w:sz="0" w:space="0" w:color="auto"/>
                <w:left w:val="none" w:sz="0" w:space="0" w:color="auto"/>
                <w:bottom w:val="none" w:sz="0" w:space="0" w:color="auto"/>
                <w:right w:val="none" w:sz="0" w:space="0" w:color="auto"/>
              </w:divBdr>
              <w:divsChild>
                <w:div w:id="157425166">
                  <w:marLeft w:val="0"/>
                  <w:marRight w:val="0"/>
                  <w:marTop w:val="0"/>
                  <w:marBottom w:val="0"/>
                  <w:divBdr>
                    <w:top w:val="none" w:sz="0" w:space="0" w:color="auto"/>
                    <w:left w:val="none" w:sz="0" w:space="0" w:color="auto"/>
                    <w:bottom w:val="none" w:sz="0" w:space="0" w:color="auto"/>
                    <w:right w:val="none" w:sz="0" w:space="0" w:color="auto"/>
                  </w:divBdr>
                </w:div>
              </w:divsChild>
            </w:div>
            <w:div w:id="228228334">
              <w:marLeft w:val="0"/>
              <w:marRight w:val="0"/>
              <w:marTop w:val="0"/>
              <w:marBottom w:val="0"/>
              <w:divBdr>
                <w:top w:val="none" w:sz="0" w:space="0" w:color="auto"/>
                <w:left w:val="none" w:sz="0" w:space="0" w:color="auto"/>
                <w:bottom w:val="none" w:sz="0" w:space="0" w:color="auto"/>
                <w:right w:val="none" w:sz="0" w:space="0" w:color="auto"/>
              </w:divBdr>
              <w:divsChild>
                <w:div w:id="1393848115">
                  <w:marLeft w:val="0"/>
                  <w:marRight w:val="0"/>
                  <w:marTop w:val="0"/>
                  <w:marBottom w:val="0"/>
                  <w:divBdr>
                    <w:top w:val="none" w:sz="0" w:space="0" w:color="auto"/>
                    <w:left w:val="none" w:sz="0" w:space="0" w:color="auto"/>
                    <w:bottom w:val="none" w:sz="0" w:space="0" w:color="auto"/>
                    <w:right w:val="none" w:sz="0" w:space="0" w:color="auto"/>
                  </w:divBdr>
                </w:div>
              </w:divsChild>
            </w:div>
            <w:div w:id="415320121">
              <w:marLeft w:val="0"/>
              <w:marRight w:val="0"/>
              <w:marTop w:val="0"/>
              <w:marBottom w:val="0"/>
              <w:divBdr>
                <w:top w:val="none" w:sz="0" w:space="0" w:color="auto"/>
                <w:left w:val="none" w:sz="0" w:space="0" w:color="auto"/>
                <w:bottom w:val="none" w:sz="0" w:space="0" w:color="auto"/>
                <w:right w:val="none" w:sz="0" w:space="0" w:color="auto"/>
              </w:divBdr>
              <w:divsChild>
                <w:div w:id="448089254">
                  <w:marLeft w:val="0"/>
                  <w:marRight w:val="0"/>
                  <w:marTop w:val="0"/>
                  <w:marBottom w:val="0"/>
                  <w:divBdr>
                    <w:top w:val="none" w:sz="0" w:space="0" w:color="auto"/>
                    <w:left w:val="none" w:sz="0" w:space="0" w:color="auto"/>
                    <w:bottom w:val="none" w:sz="0" w:space="0" w:color="auto"/>
                    <w:right w:val="none" w:sz="0" w:space="0" w:color="auto"/>
                  </w:divBdr>
                </w:div>
              </w:divsChild>
            </w:div>
            <w:div w:id="429280070">
              <w:marLeft w:val="0"/>
              <w:marRight w:val="0"/>
              <w:marTop w:val="0"/>
              <w:marBottom w:val="0"/>
              <w:divBdr>
                <w:top w:val="none" w:sz="0" w:space="0" w:color="auto"/>
                <w:left w:val="none" w:sz="0" w:space="0" w:color="auto"/>
                <w:bottom w:val="none" w:sz="0" w:space="0" w:color="auto"/>
                <w:right w:val="none" w:sz="0" w:space="0" w:color="auto"/>
              </w:divBdr>
              <w:divsChild>
                <w:div w:id="871461393">
                  <w:marLeft w:val="0"/>
                  <w:marRight w:val="0"/>
                  <w:marTop w:val="0"/>
                  <w:marBottom w:val="0"/>
                  <w:divBdr>
                    <w:top w:val="none" w:sz="0" w:space="0" w:color="auto"/>
                    <w:left w:val="none" w:sz="0" w:space="0" w:color="auto"/>
                    <w:bottom w:val="none" w:sz="0" w:space="0" w:color="auto"/>
                    <w:right w:val="none" w:sz="0" w:space="0" w:color="auto"/>
                  </w:divBdr>
                </w:div>
              </w:divsChild>
            </w:div>
            <w:div w:id="779178595">
              <w:marLeft w:val="0"/>
              <w:marRight w:val="0"/>
              <w:marTop w:val="0"/>
              <w:marBottom w:val="0"/>
              <w:divBdr>
                <w:top w:val="none" w:sz="0" w:space="0" w:color="auto"/>
                <w:left w:val="none" w:sz="0" w:space="0" w:color="auto"/>
                <w:bottom w:val="none" w:sz="0" w:space="0" w:color="auto"/>
                <w:right w:val="none" w:sz="0" w:space="0" w:color="auto"/>
              </w:divBdr>
              <w:divsChild>
                <w:div w:id="1097482656">
                  <w:marLeft w:val="0"/>
                  <w:marRight w:val="0"/>
                  <w:marTop w:val="0"/>
                  <w:marBottom w:val="0"/>
                  <w:divBdr>
                    <w:top w:val="none" w:sz="0" w:space="0" w:color="auto"/>
                    <w:left w:val="none" w:sz="0" w:space="0" w:color="auto"/>
                    <w:bottom w:val="none" w:sz="0" w:space="0" w:color="auto"/>
                    <w:right w:val="none" w:sz="0" w:space="0" w:color="auto"/>
                  </w:divBdr>
                </w:div>
              </w:divsChild>
            </w:div>
            <w:div w:id="1261530626">
              <w:marLeft w:val="0"/>
              <w:marRight w:val="0"/>
              <w:marTop w:val="0"/>
              <w:marBottom w:val="0"/>
              <w:divBdr>
                <w:top w:val="none" w:sz="0" w:space="0" w:color="auto"/>
                <w:left w:val="none" w:sz="0" w:space="0" w:color="auto"/>
                <w:bottom w:val="none" w:sz="0" w:space="0" w:color="auto"/>
                <w:right w:val="none" w:sz="0" w:space="0" w:color="auto"/>
              </w:divBdr>
              <w:divsChild>
                <w:div w:id="1666127592">
                  <w:marLeft w:val="0"/>
                  <w:marRight w:val="0"/>
                  <w:marTop w:val="0"/>
                  <w:marBottom w:val="0"/>
                  <w:divBdr>
                    <w:top w:val="none" w:sz="0" w:space="0" w:color="auto"/>
                    <w:left w:val="none" w:sz="0" w:space="0" w:color="auto"/>
                    <w:bottom w:val="none" w:sz="0" w:space="0" w:color="auto"/>
                    <w:right w:val="none" w:sz="0" w:space="0" w:color="auto"/>
                  </w:divBdr>
                </w:div>
              </w:divsChild>
            </w:div>
            <w:div w:id="1273322229">
              <w:marLeft w:val="0"/>
              <w:marRight w:val="0"/>
              <w:marTop w:val="0"/>
              <w:marBottom w:val="0"/>
              <w:divBdr>
                <w:top w:val="none" w:sz="0" w:space="0" w:color="auto"/>
                <w:left w:val="none" w:sz="0" w:space="0" w:color="auto"/>
                <w:bottom w:val="none" w:sz="0" w:space="0" w:color="auto"/>
                <w:right w:val="none" w:sz="0" w:space="0" w:color="auto"/>
              </w:divBdr>
              <w:divsChild>
                <w:div w:id="318848737">
                  <w:marLeft w:val="0"/>
                  <w:marRight w:val="0"/>
                  <w:marTop w:val="0"/>
                  <w:marBottom w:val="0"/>
                  <w:divBdr>
                    <w:top w:val="none" w:sz="0" w:space="0" w:color="auto"/>
                    <w:left w:val="none" w:sz="0" w:space="0" w:color="auto"/>
                    <w:bottom w:val="none" w:sz="0" w:space="0" w:color="auto"/>
                    <w:right w:val="none" w:sz="0" w:space="0" w:color="auto"/>
                  </w:divBdr>
                </w:div>
              </w:divsChild>
            </w:div>
            <w:div w:id="1604680449">
              <w:marLeft w:val="0"/>
              <w:marRight w:val="0"/>
              <w:marTop w:val="0"/>
              <w:marBottom w:val="0"/>
              <w:divBdr>
                <w:top w:val="none" w:sz="0" w:space="0" w:color="auto"/>
                <w:left w:val="none" w:sz="0" w:space="0" w:color="auto"/>
                <w:bottom w:val="none" w:sz="0" w:space="0" w:color="auto"/>
                <w:right w:val="none" w:sz="0" w:space="0" w:color="auto"/>
              </w:divBdr>
              <w:divsChild>
                <w:div w:id="1209992608">
                  <w:marLeft w:val="0"/>
                  <w:marRight w:val="0"/>
                  <w:marTop w:val="0"/>
                  <w:marBottom w:val="0"/>
                  <w:divBdr>
                    <w:top w:val="none" w:sz="0" w:space="0" w:color="auto"/>
                    <w:left w:val="none" w:sz="0" w:space="0" w:color="auto"/>
                    <w:bottom w:val="none" w:sz="0" w:space="0" w:color="auto"/>
                    <w:right w:val="none" w:sz="0" w:space="0" w:color="auto"/>
                  </w:divBdr>
                </w:div>
              </w:divsChild>
            </w:div>
            <w:div w:id="1609194432">
              <w:marLeft w:val="0"/>
              <w:marRight w:val="0"/>
              <w:marTop w:val="0"/>
              <w:marBottom w:val="0"/>
              <w:divBdr>
                <w:top w:val="none" w:sz="0" w:space="0" w:color="auto"/>
                <w:left w:val="none" w:sz="0" w:space="0" w:color="auto"/>
                <w:bottom w:val="none" w:sz="0" w:space="0" w:color="auto"/>
                <w:right w:val="none" w:sz="0" w:space="0" w:color="auto"/>
              </w:divBdr>
              <w:divsChild>
                <w:div w:id="1719545511">
                  <w:marLeft w:val="0"/>
                  <w:marRight w:val="0"/>
                  <w:marTop w:val="0"/>
                  <w:marBottom w:val="0"/>
                  <w:divBdr>
                    <w:top w:val="none" w:sz="0" w:space="0" w:color="auto"/>
                    <w:left w:val="none" w:sz="0" w:space="0" w:color="auto"/>
                    <w:bottom w:val="none" w:sz="0" w:space="0" w:color="auto"/>
                    <w:right w:val="none" w:sz="0" w:space="0" w:color="auto"/>
                  </w:divBdr>
                </w:div>
              </w:divsChild>
            </w:div>
            <w:div w:id="1755589056">
              <w:marLeft w:val="0"/>
              <w:marRight w:val="0"/>
              <w:marTop w:val="0"/>
              <w:marBottom w:val="0"/>
              <w:divBdr>
                <w:top w:val="none" w:sz="0" w:space="0" w:color="auto"/>
                <w:left w:val="none" w:sz="0" w:space="0" w:color="auto"/>
                <w:bottom w:val="none" w:sz="0" w:space="0" w:color="auto"/>
                <w:right w:val="none" w:sz="0" w:space="0" w:color="auto"/>
              </w:divBdr>
              <w:divsChild>
                <w:div w:id="1149323679">
                  <w:marLeft w:val="0"/>
                  <w:marRight w:val="0"/>
                  <w:marTop w:val="0"/>
                  <w:marBottom w:val="0"/>
                  <w:divBdr>
                    <w:top w:val="none" w:sz="0" w:space="0" w:color="auto"/>
                    <w:left w:val="none" w:sz="0" w:space="0" w:color="auto"/>
                    <w:bottom w:val="none" w:sz="0" w:space="0" w:color="auto"/>
                    <w:right w:val="none" w:sz="0" w:space="0" w:color="auto"/>
                  </w:divBdr>
                  <w:divsChild>
                    <w:div w:id="289169964">
                      <w:marLeft w:val="0"/>
                      <w:marRight w:val="0"/>
                      <w:marTop w:val="0"/>
                      <w:marBottom w:val="0"/>
                      <w:divBdr>
                        <w:top w:val="none" w:sz="0" w:space="0" w:color="auto"/>
                        <w:left w:val="none" w:sz="0" w:space="0" w:color="auto"/>
                        <w:bottom w:val="none" w:sz="0" w:space="0" w:color="auto"/>
                        <w:right w:val="none" w:sz="0" w:space="0" w:color="auto"/>
                      </w:divBdr>
                      <w:divsChild>
                        <w:div w:id="19192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14086">
              <w:marLeft w:val="0"/>
              <w:marRight w:val="0"/>
              <w:marTop w:val="0"/>
              <w:marBottom w:val="0"/>
              <w:divBdr>
                <w:top w:val="none" w:sz="0" w:space="0" w:color="auto"/>
                <w:left w:val="none" w:sz="0" w:space="0" w:color="auto"/>
                <w:bottom w:val="none" w:sz="0" w:space="0" w:color="auto"/>
                <w:right w:val="none" w:sz="0" w:space="0" w:color="auto"/>
              </w:divBdr>
              <w:divsChild>
                <w:div w:id="1255626778">
                  <w:marLeft w:val="0"/>
                  <w:marRight w:val="0"/>
                  <w:marTop w:val="0"/>
                  <w:marBottom w:val="0"/>
                  <w:divBdr>
                    <w:top w:val="none" w:sz="0" w:space="0" w:color="auto"/>
                    <w:left w:val="none" w:sz="0" w:space="0" w:color="auto"/>
                    <w:bottom w:val="none" w:sz="0" w:space="0" w:color="auto"/>
                    <w:right w:val="none" w:sz="0" w:space="0" w:color="auto"/>
                  </w:divBdr>
                </w:div>
              </w:divsChild>
            </w:div>
            <w:div w:id="2026012104">
              <w:marLeft w:val="0"/>
              <w:marRight w:val="0"/>
              <w:marTop w:val="0"/>
              <w:marBottom w:val="0"/>
              <w:divBdr>
                <w:top w:val="none" w:sz="0" w:space="0" w:color="auto"/>
                <w:left w:val="none" w:sz="0" w:space="0" w:color="auto"/>
                <w:bottom w:val="none" w:sz="0" w:space="0" w:color="auto"/>
                <w:right w:val="none" w:sz="0" w:space="0" w:color="auto"/>
              </w:divBdr>
              <w:divsChild>
                <w:div w:id="1820266447">
                  <w:marLeft w:val="0"/>
                  <w:marRight w:val="0"/>
                  <w:marTop w:val="0"/>
                  <w:marBottom w:val="0"/>
                  <w:divBdr>
                    <w:top w:val="none" w:sz="0" w:space="0" w:color="auto"/>
                    <w:left w:val="none" w:sz="0" w:space="0" w:color="auto"/>
                    <w:bottom w:val="none" w:sz="0" w:space="0" w:color="auto"/>
                    <w:right w:val="none" w:sz="0" w:space="0" w:color="auto"/>
                  </w:divBdr>
                </w:div>
              </w:divsChild>
            </w:div>
            <w:div w:id="2086995948">
              <w:marLeft w:val="0"/>
              <w:marRight w:val="0"/>
              <w:marTop w:val="0"/>
              <w:marBottom w:val="0"/>
              <w:divBdr>
                <w:top w:val="none" w:sz="0" w:space="0" w:color="auto"/>
                <w:left w:val="none" w:sz="0" w:space="0" w:color="auto"/>
                <w:bottom w:val="none" w:sz="0" w:space="0" w:color="auto"/>
                <w:right w:val="none" w:sz="0" w:space="0" w:color="auto"/>
              </w:divBdr>
              <w:divsChild>
                <w:div w:id="17720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6263">
          <w:marLeft w:val="0"/>
          <w:marRight w:val="0"/>
          <w:marTop w:val="0"/>
          <w:marBottom w:val="0"/>
          <w:divBdr>
            <w:top w:val="none" w:sz="0" w:space="0" w:color="auto"/>
            <w:left w:val="none" w:sz="0" w:space="0" w:color="auto"/>
            <w:bottom w:val="none" w:sz="0" w:space="0" w:color="auto"/>
            <w:right w:val="none" w:sz="0" w:space="0" w:color="auto"/>
          </w:divBdr>
          <w:divsChild>
            <w:div w:id="1549730041">
              <w:marLeft w:val="0"/>
              <w:marRight w:val="0"/>
              <w:marTop w:val="0"/>
              <w:marBottom w:val="0"/>
              <w:divBdr>
                <w:top w:val="none" w:sz="0" w:space="0" w:color="auto"/>
                <w:left w:val="none" w:sz="0" w:space="0" w:color="auto"/>
                <w:bottom w:val="none" w:sz="0" w:space="0" w:color="auto"/>
                <w:right w:val="none" w:sz="0" w:space="0" w:color="auto"/>
              </w:divBdr>
              <w:divsChild>
                <w:div w:id="15181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11638">
          <w:marLeft w:val="0"/>
          <w:marRight w:val="0"/>
          <w:marTop w:val="0"/>
          <w:marBottom w:val="0"/>
          <w:divBdr>
            <w:top w:val="none" w:sz="0" w:space="0" w:color="auto"/>
            <w:left w:val="none" w:sz="0" w:space="0" w:color="auto"/>
            <w:bottom w:val="none" w:sz="0" w:space="0" w:color="auto"/>
            <w:right w:val="none" w:sz="0" w:space="0" w:color="auto"/>
          </w:divBdr>
          <w:divsChild>
            <w:div w:id="2133473269">
              <w:marLeft w:val="0"/>
              <w:marRight w:val="0"/>
              <w:marTop w:val="0"/>
              <w:marBottom w:val="0"/>
              <w:divBdr>
                <w:top w:val="none" w:sz="0" w:space="0" w:color="auto"/>
                <w:left w:val="none" w:sz="0" w:space="0" w:color="auto"/>
                <w:bottom w:val="none" w:sz="0" w:space="0" w:color="auto"/>
                <w:right w:val="none" w:sz="0" w:space="0" w:color="auto"/>
              </w:divBdr>
              <w:divsChild>
                <w:div w:id="16354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8219">
          <w:marLeft w:val="0"/>
          <w:marRight w:val="0"/>
          <w:marTop w:val="0"/>
          <w:marBottom w:val="0"/>
          <w:divBdr>
            <w:top w:val="none" w:sz="0" w:space="0" w:color="auto"/>
            <w:left w:val="none" w:sz="0" w:space="0" w:color="auto"/>
            <w:bottom w:val="none" w:sz="0" w:space="0" w:color="auto"/>
            <w:right w:val="none" w:sz="0" w:space="0" w:color="auto"/>
          </w:divBdr>
          <w:divsChild>
            <w:div w:id="980382796">
              <w:marLeft w:val="0"/>
              <w:marRight w:val="0"/>
              <w:marTop w:val="0"/>
              <w:marBottom w:val="0"/>
              <w:divBdr>
                <w:top w:val="none" w:sz="0" w:space="0" w:color="auto"/>
                <w:left w:val="none" w:sz="0" w:space="0" w:color="auto"/>
                <w:bottom w:val="none" w:sz="0" w:space="0" w:color="auto"/>
                <w:right w:val="none" w:sz="0" w:space="0" w:color="auto"/>
              </w:divBdr>
              <w:divsChild>
                <w:div w:id="851336850">
                  <w:marLeft w:val="0"/>
                  <w:marRight w:val="0"/>
                  <w:marTop w:val="0"/>
                  <w:marBottom w:val="0"/>
                  <w:divBdr>
                    <w:top w:val="none" w:sz="0" w:space="0" w:color="auto"/>
                    <w:left w:val="none" w:sz="0" w:space="0" w:color="auto"/>
                    <w:bottom w:val="none" w:sz="0" w:space="0" w:color="auto"/>
                    <w:right w:val="none" w:sz="0" w:space="0" w:color="auto"/>
                  </w:divBdr>
                </w:div>
              </w:divsChild>
            </w:div>
            <w:div w:id="1220436415">
              <w:marLeft w:val="0"/>
              <w:marRight w:val="0"/>
              <w:marTop w:val="0"/>
              <w:marBottom w:val="0"/>
              <w:divBdr>
                <w:top w:val="none" w:sz="0" w:space="0" w:color="auto"/>
                <w:left w:val="none" w:sz="0" w:space="0" w:color="auto"/>
                <w:bottom w:val="none" w:sz="0" w:space="0" w:color="auto"/>
                <w:right w:val="none" w:sz="0" w:space="0" w:color="auto"/>
              </w:divBdr>
              <w:divsChild>
                <w:div w:id="1432773284">
                  <w:marLeft w:val="0"/>
                  <w:marRight w:val="0"/>
                  <w:marTop w:val="0"/>
                  <w:marBottom w:val="0"/>
                  <w:divBdr>
                    <w:top w:val="none" w:sz="0" w:space="0" w:color="auto"/>
                    <w:left w:val="none" w:sz="0" w:space="0" w:color="auto"/>
                    <w:bottom w:val="none" w:sz="0" w:space="0" w:color="auto"/>
                    <w:right w:val="none" w:sz="0" w:space="0" w:color="auto"/>
                  </w:divBdr>
                </w:div>
              </w:divsChild>
            </w:div>
            <w:div w:id="1467234898">
              <w:marLeft w:val="0"/>
              <w:marRight w:val="0"/>
              <w:marTop w:val="0"/>
              <w:marBottom w:val="0"/>
              <w:divBdr>
                <w:top w:val="none" w:sz="0" w:space="0" w:color="auto"/>
                <w:left w:val="none" w:sz="0" w:space="0" w:color="auto"/>
                <w:bottom w:val="none" w:sz="0" w:space="0" w:color="auto"/>
                <w:right w:val="none" w:sz="0" w:space="0" w:color="auto"/>
              </w:divBdr>
              <w:divsChild>
                <w:div w:id="693386036">
                  <w:marLeft w:val="0"/>
                  <w:marRight w:val="0"/>
                  <w:marTop w:val="0"/>
                  <w:marBottom w:val="0"/>
                  <w:divBdr>
                    <w:top w:val="none" w:sz="0" w:space="0" w:color="auto"/>
                    <w:left w:val="none" w:sz="0" w:space="0" w:color="auto"/>
                    <w:bottom w:val="none" w:sz="0" w:space="0" w:color="auto"/>
                    <w:right w:val="none" w:sz="0" w:space="0" w:color="auto"/>
                  </w:divBdr>
                </w:div>
              </w:divsChild>
            </w:div>
            <w:div w:id="1698239495">
              <w:marLeft w:val="0"/>
              <w:marRight w:val="0"/>
              <w:marTop w:val="0"/>
              <w:marBottom w:val="0"/>
              <w:divBdr>
                <w:top w:val="none" w:sz="0" w:space="0" w:color="auto"/>
                <w:left w:val="none" w:sz="0" w:space="0" w:color="auto"/>
                <w:bottom w:val="none" w:sz="0" w:space="0" w:color="auto"/>
                <w:right w:val="none" w:sz="0" w:space="0" w:color="auto"/>
              </w:divBdr>
              <w:divsChild>
                <w:div w:id="251548106">
                  <w:marLeft w:val="0"/>
                  <w:marRight w:val="0"/>
                  <w:marTop w:val="0"/>
                  <w:marBottom w:val="0"/>
                  <w:divBdr>
                    <w:top w:val="none" w:sz="0" w:space="0" w:color="auto"/>
                    <w:left w:val="none" w:sz="0" w:space="0" w:color="auto"/>
                    <w:bottom w:val="none" w:sz="0" w:space="0" w:color="auto"/>
                    <w:right w:val="none" w:sz="0" w:space="0" w:color="auto"/>
                  </w:divBdr>
                </w:div>
              </w:divsChild>
            </w:div>
            <w:div w:id="1884828434">
              <w:marLeft w:val="0"/>
              <w:marRight w:val="0"/>
              <w:marTop w:val="0"/>
              <w:marBottom w:val="0"/>
              <w:divBdr>
                <w:top w:val="none" w:sz="0" w:space="0" w:color="auto"/>
                <w:left w:val="none" w:sz="0" w:space="0" w:color="auto"/>
                <w:bottom w:val="none" w:sz="0" w:space="0" w:color="auto"/>
                <w:right w:val="none" w:sz="0" w:space="0" w:color="auto"/>
              </w:divBdr>
              <w:divsChild>
                <w:div w:id="76172903">
                  <w:marLeft w:val="0"/>
                  <w:marRight w:val="0"/>
                  <w:marTop w:val="0"/>
                  <w:marBottom w:val="0"/>
                  <w:divBdr>
                    <w:top w:val="none" w:sz="0" w:space="0" w:color="auto"/>
                    <w:left w:val="none" w:sz="0" w:space="0" w:color="auto"/>
                    <w:bottom w:val="none" w:sz="0" w:space="0" w:color="auto"/>
                    <w:right w:val="none" w:sz="0" w:space="0" w:color="auto"/>
                  </w:divBdr>
                </w:div>
              </w:divsChild>
            </w:div>
            <w:div w:id="2022244588">
              <w:marLeft w:val="0"/>
              <w:marRight w:val="0"/>
              <w:marTop w:val="0"/>
              <w:marBottom w:val="0"/>
              <w:divBdr>
                <w:top w:val="none" w:sz="0" w:space="0" w:color="auto"/>
                <w:left w:val="none" w:sz="0" w:space="0" w:color="auto"/>
                <w:bottom w:val="none" w:sz="0" w:space="0" w:color="auto"/>
                <w:right w:val="none" w:sz="0" w:space="0" w:color="auto"/>
              </w:divBdr>
              <w:divsChild>
                <w:div w:id="9563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25952">
          <w:marLeft w:val="0"/>
          <w:marRight w:val="0"/>
          <w:marTop w:val="0"/>
          <w:marBottom w:val="0"/>
          <w:divBdr>
            <w:top w:val="none" w:sz="0" w:space="0" w:color="auto"/>
            <w:left w:val="none" w:sz="0" w:space="0" w:color="auto"/>
            <w:bottom w:val="none" w:sz="0" w:space="0" w:color="auto"/>
            <w:right w:val="none" w:sz="0" w:space="0" w:color="auto"/>
          </w:divBdr>
          <w:divsChild>
            <w:div w:id="96753220">
              <w:marLeft w:val="0"/>
              <w:marRight w:val="0"/>
              <w:marTop w:val="0"/>
              <w:marBottom w:val="0"/>
              <w:divBdr>
                <w:top w:val="none" w:sz="0" w:space="0" w:color="auto"/>
                <w:left w:val="none" w:sz="0" w:space="0" w:color="auto"/>
                <w:bottom w:val="none" w:sz="0" w:space="0" w:color="auto"/>
                <w:right w:val="none" w:sz="0" w:space="0" w:color="auto"/>
              </w:divBdr>
              <w:divsChild>
                <w:div w:id="273950458">
                  <w:marLeft w:val="0"/>
                  <w:marRight w:val="0"/>
                  <w:marTop w:val="0"/>
                  <w:marBottom w:val="0"/>
                  <w:divBdr>
                    <w:top w:val="none" w:sz="0" w:space="0" w:color="auto"/>
                    <w:left w:val="none" w:sz="0" w:space="0" w:color="auto"/>
                    <w:bottom w:val="none" w:sz="0" w:space="0" w:color="auto"/>
                    <w:right w:val="none" w:sz="0" w:space="0" w:color="auto"/>
                  </w:divBdr>
                </w:div>
                <w:div w:id="904412007">
                  <w:marLeft w:val="0"/>
                  <w:marRight w:val="0"/>
                  <w:marTop w:val="0"/>
                  <w:marBottom w:val="0"/>
                  <w:divBdr>
                    <w:top w:val="none" w:sz="0" w:space="0" w:color="auto"/>
                    <w:left w:val="none" w:sz="0" w:space="0" w:color="auto"/>
                    <w:bottom w:val="none" w:sz="0" w:space="0" w:color="auto"/>
                    <w:right w:val="none" w:sz="0" w:space="0" w:color="auto"/>
                  </w:divBdr>
                </w:div>
              </w:divsChild>
            </w:div>
            <w:div w:id="1961760201">
              <w:marLeft w:val="0"/>
              <w:marRight w:val="0"/>
              <w:marTop w:val="0"/>
              <w:marBottom w:val="0"/>
              <w:divBdr>
                <w:top w:val="none" w:sz="0" w:space="0" w:color="auto"/>
                <w:left w:val="none" w:sz="0" w:space="0" w:color="auto"/>
                <w:bottom w:val="none" w:sz="0" w:space="0" w:color="auto"/>
                <w:right w:val="none" w:sz="0" w:space="0" w:color="auto"/>
              </w:divBdr>
              <w:divsChild>
                <w:div w:id="282156332">
                  <w:marLeft w:val="0"/>
                  <w:marRight w:val="0"/>
                  <w:marTop w:val="0"/>
                  <w:marBottom w:val="0"/>
                  <w:divBdr>
                    <w:top w:val="none" w:sz="0" w:space="0" w:color="auto"/>
                    <w:left w:val="none" w:sz="0" w:space="0" w:color="auto"/>
                    <w:bottom w:val="none" w:sz="0" w:space="0" w:color="auto"/>
                    <w:right w:val="none" w:sz="0" w:space="0" w:color="auto"/>
                  </w:divBdr>
                </w:div>
              </w:divsChild>
            </w:div>
            <w:div w:id="1969163962">
              <w:marLeft w:val="0"/>
              <w:marRight w:val="0"/>
              <w:marTop w:val="0"/>
              <w:marBottom w:val="0"/>
              <w:divBdr>
                <w:top w:val="none" w:sz="0" w:space="0" w:color="auto"/>
                <w:left w:val="none" w:sz="0" w:space="0" w:color="auto"/>
                <w:bottom w:val="none" w:sz="0" w:space="0" w:color="auto"/>
                <w:right w:val="none" w:sz="0" w:space="0" w:color="auto"/>
              </w:divBdr>
              <w:divsChild>
                <w:div w:id="1315986825">
                  <w:marLeft w:val="0"/>
                  <w:marRight w:val="0"/>
                  <w:marTop w:val="0"/>
                  <w:marBottom w:val="0"/>
                  <w:divBdr>
                    <w:top w:val="none" w:sz="0" w:space="0" w:color="auto"/>
                    <w:left w:val="none" w:sz="0" w:space="0" w:color="auto"/>
                    <w:bottom w:val="none" w:sz="0" w:space="0" w:color="auto"/>
                    <w:right w:val="none" w:sz="0" w:space="0" w:color="auto"/>
                  </w:divBdr>
                </w:div>
              </w:divsChild>
            </w:div>
            <w:div w:id="2084641053">
              <w:marLeft w:val="0"/>
              <w:marRight w:val="0"/>
              <w:marTop w:val="0"/>
              <w:marBottom w:val="0"/>
              <w:divBdr>
                <w:top w:val="none" w:sz="0" w:space="0" w:color="auto"/>
                <w:left w:val="none" w:sz="0" w:space="0" w:color="auto"/>
                <w:bottom w:val="none" w:sz="0" w:space="0" w:color="auto"/>
                <w:right w:val="none" w:sz="0" w:space="0" w:color="auto"/>
              </w:divBdr>
              <w:divsChild>
                <w:div w:id="10171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06504">
          <w:marLeft w:val="0"/>
          <w:marRight w:val="0"/>
          <w:marTop w:val="0"/>
          <w:marBottom w:val="0"/>
          <w:divBdr>
            <w:top w:val="none" w:sz="0" w:space="0" w:color="auto"/>
            <w:left w:val="none" w:sz="0" w:space="0" w:color="auto"/>
            <w:bottom w:val="none" w:sz="0" w:space="0" w:color="auto"/>
            <w:right w:val="none" w:sz="0" w:space="0" w:color="auto"/>
          </w:divBdr>
          <w:divsChild>
            <w:div w:id="1474758496">
              <w:marLeft w:val="0"/>
              <w:marRight w:val="0"/>
              <w:marTop w:val="0"/>
              <w:marBottom w:val="0"/>
              <w:divBdr>
                <w:top w:val="none" w:sz="0" w:space="0" w:color="auto"/>
                <w:left w:val="none" w:sz="0" w:space="0" w:color="auto"/>
                <w:bottom w:val="none" w:sz="0" w:space="0" w:color="auto"/>
                <w:right w:val="none" w:sz="0" w:space="0" w:color="auto"/>
              </w:divBdr>
            </w:div>
          </w:divsChild>
        </w:div>
        <w:div w:id="2010516968">
          <w:marLeft w:val="0"/>
          <w:marRight w:val="0"/>
          <w:marTop w:val="0"/>
          <w:marBottom w:val="0"/>
          <w:divBdr>
            <w:top w:val="none" w:sz="0" w:space="0" w:color="auto"/>
            <w:left w:val="none" w:sz="0" w:space="0" w:color="auto"/>
            <w:bottom w:val="none" w:sz="0" w:space="0" w:color="auto"/>
            <w:right w:val="none" w:sz="0" w:space="0" w:color="auto"/>
          </w:divBdr>
          <w:divsChild>
            <w:div w:id="19817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4750">
      <w:bodyDiv w:val="1"/>
      <w:marLeft w:val="0"/>
      <w:marRight w:val="0"/>
      <w:marTop w:val="0"/>
      <w:marBottom w:val="0"/>
      <w:divBdr>
        <w:top w:val="none" w:sz="0" w:space="0" w:color="auto"/>
        <w:left w:val="none" w:sz="0" w:space="0" w:color="auto"/>
        <w:bottom w:val="none" w:sz="0" w:space="0" w:color="auto"/>
        <w:right w:val="none" w:sz="0" w:space="0" w:color="auto"/>
      </w:divBdr>
    </w:div>
    <w:div w:id="604463930">
      <w:bodyDiv w:val="1"/>
      <w:marLeft w:val="0"/>
      <w:marRight w:val="0"/>
      <w:marTop w:val="0"/>
      <w:marBottom w:val="0"/>
      <w:divBdr>
        <w:top w:val="none" w:sz="0" w:space="0" w:color="auto"/>
        <w:left w:val="none" w:sz="0" w:space="0" w:color="auto"/>
        <w:bottom w:val="none" w:sz="0" w:space="0" w:color="auto"/>
        <w:right w:val="none" w:sz="0" w:space="0" w:color="auto"/>
      </w:divBdr>
    </w:div>
    <w:div w:id="648173896">
      <w:bodyDiv w:val="1"/>
      <w:marLeft w:val="0"/>
      <w:marRight w:val="0"/>
      <w:marTop w:val="0"/>
      <w:marBottom w:val="0"/>
      <w:divBdr>
        <w:top w:val="none" w:sz="0" w:space="0" w:color="auto"/>
        <w:left w:val="none" w:sz="0" w:space="0" w:color="auto"/>
        <w:bottom w:val="none" w:sz="0" w:space="0" w:color="auto"/>
        <w:right w:val="none" w:sz="0" w:space="0" w:color="auto"/>
      </w:divBdr>
    </w:div>
    <w:div w:id="650139714">
      <w:bodyDiv w:val="1"/>
      <w:marLeft w:val="0"/>
      <w:marRight w:val="0"/>
      <w:marTop w:val="0"/>
      <w:marBottom w:val="0"/>
      <w:divBdr>
        <w:top w:val="none" w:sz="0" w:space="0" w:color="auto"/>
        <w:left w:val="none" w:sz="0" w:space="0" w:color="auto"/>
        <w:bottom w:val="none" w:sz="0" w:space="0" w:color="auto"/>
        <w:right w:val="none" w:sz="0" w:space="0" w:color="auto"/>
      </w:divBdr>
    </w:div>
    <w:div w:id="683822992">
      <w:bodyDiv w:val="1"/>
      <w:marLeft w:val="0"/>
      <w:marRight w:val="0"/>
      <w:marTop w:val="0"/>
      <w:marBottom w:val="0"/>
      <w:divBdr>
        <w:top w:val="none" w:sz="0" w:space="0" w:color="auto"/>
        <w:left w:val="none" w:sz="0" w:space="0" w:color="auto"/>
        <w:bottom w:val="none" w:sz="0" w:space="0" w:color="auto"/>
        <w:right w:val="none" w:sz="0" w:space="0" w:color="auto"/>
      </w:divBdr>
    </w:div>
    <w:div w:id="710305224">
      <w:bodyDiv w:val="1"/>
      <w:marLeft w:val="0"/>
      <w:marRight w:val="0"/>
      <w:marTop w:val="0"/>
      <w:marBottom w:val="0"/>
      <w:divBdr>
        <w:top w:val="none" w:sz="0" w:space="0" w:color="auto"/>
        <w:left w:val="none" w:sz="0" w:space="0" w:color="auto"/>
        <w:bottom w:val="none" w:sz="0" w:space="0" w:color="auto"/>
        <w:right w:val="none" w:sz="0" w:space="0" w:color="auto"/>
      </w:divBdr>
    </w:div>
    <w:div w:id="735981821">
      <w:bodyDiv w:val="1"/>
      <w:marLeft w:val="0"/>
      <w:marRight w:val="0"/>
      <w:marTop w:val="0"/>
      <w:marBottom w:val="0"/>
      <w:divBdr>
        <w:top w:val="none" w:sz="0" w:space="0" w:color="auto"/>
        <w:left w:val="none" w:sz="0" w:space="0" w:color="auto"/>
        <w:bottom w:val="none" w:sz="0" w:space="0" w:color="auto"/>
        <w:right w:val="none" w:sz="0" w:space="0" w:color="auto"/>
      </w:divBdr>
      <w:divsChild>
        <w:div w:id="1612586371">
          <w:marLeft w:val="0"/>
          <w:marRight w:val="0"/>
          <w:marTop w:val="0"/>
          <w:marBottom w:val="0"/>
          <w:divBdr>
            <w:top w:val="none" w:sz="0" w:space="0" w:color="auto"/>
            <w:left w:val="none" w:sz="0" w:space="0" w:color="auto"/>
            <w:bottom w:val="none" w:sz="0" w:space="0" w:color="auto"/>
            <w:right w:val="none" w:sz="0" w:space="0" w:color="auto"/>
          </w:divBdr>
          <w:divsChild>
            <w:div w:id="1691832715">
              <w:marLeft w:val="0"/>
              <w:marRight w:val="0"/>
              <w:marTop w:val="0"/>
              <w:marBottom w:val="0"/>
              <w:divBdr>
                <w:top w:val="none" w:sz="0" w:space="0" w:color="auto"/>
                <w:left w:val="none" w:sz="0" w:space="0" w:color="auto"/>
                <w:bottom w:val="none" w:sz="0" w:space="0" w:color="auto"/>
                <w:right w:val="none" w:sz="0" w:space="0" w:color="auto"/>
              </w:divBdr>
              <w:divsChild>
                <w:div w:id="52948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10090">
      <w:bodyDiv w:val="1"/>
      <w:marLeft w:val="0"/>
      <w:marRight w:val="0"/>
      <w:marTop w:val="0"/>
      <w:marBottom w:val="0"/>
      <w:divBdr>
        <w:top w:val="none" w:sz="0" w:space="0" w:color="auto"/>
        <w:left w:val="none" w:sz="0" w:space="0" w:color="auto"/>
        <w:bottom w:val="none" w:sz="0" w:space="0" w:color="auto"/>
        <w:right w:val="none" w:sz="0" w:space="0" w:color="auto"/>
      </w:divBdr>
    </w:div>
    <w:div w:id="788858013">
      <w:bodyDiv w:val="1"/>
      <w:marLeft w:val="0"/>
      <w:marRight w:val="0"/>
      <w:marTop w:val="0"/>
      <w:marBottom w:val="0"/>
      <w:divBdr>
        <w:top w:val="none" w:sz="0" w:space="0" w:color="auto"/>
        <w:left w:val="none" w:sz="0" w:space="0" w:color="auto"/>
        <w:bottom w:val="none" w:sz="0" w:space="0" w:color="auto"/>
        <w:right w:val="none" w:sz="0" w:space="0" w:color="auto"/>
      </w:divBdr>
    </w:div>
    <w:div w:id="824277039">
      <w:bodyDiv w:val="1"/>
      <w:marLeft w:val="0"/>
      <w:marRight w:val="0"/>
      <w:marTop w:val="0"/>
      <w:marBottom w:val="0"/>
      <w:divBdr>
        <w:top w:val="none" w:sz="0" w:space="0" w:color="auto"/>
        <w:left w:val="none" w:sz="0" w:space="0" w:color="auto"/>
        <w:bottom w:val="none" w:sz="0" w:space="0" w:color="auto"/>
        <w:right w:val="none" w:sz="0" w:space="0" w:color="auto"/>
      </w:divBdr>
    </w:div>
    <w:div w:id="829490723">
      <w:bodyDiv w:val="1"/>
      <w:marLeft w:val="0"/>
      <w:marRight w:val="0"/>
      <w:marTop w:val="0"/>
      <w:marBottom w:val="0"/>
      <w:divBdr>
        <w:top w:val="none" w:sz="0" w:space="0" w:color="auto"/>
        <w:left w:val="none" w:sz="0" w:space="0" w:color="auto"/>
        <w:bottom w:val="none" w:sz="0" w:space="0" w:color="auto"/>
        <w:right w:val="none" w:sz="0" w:space="0" w:color="auto"/>
      </w:divBdr>
    </w:div>
    <w:div w:id="835724338">
      <w:bodyDiv w:val="1"/>
      <w:marLeft w:val="0"/>
      <w:marRight w:val="0"/>
      <w:marTop w:val="0"/>
      <w:marBottom w:val="0"/>
      <w:divBdr>
        <w:top w:val="none" w:sz="0" w:space="0" w:color="auto"/>
        <w:left w:val="none" w:sz="0" w:space="0" w:color="auto"/>
        <w:bottom w:val="none" w:sz="0" w:space="0" w:color="auto"/>
        <w:right w:val="none" w:sz="0" w:space="0" w:color="auto"/>
      </w:divBdr>
    </w:div>
    <w:div w:id="839391064">
      <w:bodyDiv w:val="1"/>
      <w:marLeft w:val="0"/>
      <w:marRight w:val="0"/>
      <w:marTop w:val="0"/>
      <w:marBottom w:val="0"/>
      <w:divBdr>
        <w:top w:val="none" w:sz="0" w:space="0" w:color="auto"/>
        <w:left w:val="none" w:sz="0" w:space="0" w:color="auto"/>
        <w:bottom w:val="none" w:sz="0" w:space="0" w:color="auto"/>
        <w:right w:val="none" w:sz="0" w:space="0" w:color="auto"/>
      </w:divBdr>
    </w:div>
    <w:div w:id="848104539">
      <w:bodyDiv w:val="1"/>
      <w:marLeft w:val="0"/>
      <w:marRight w:val="0"/>
      <w:marTop w:val="0"/>
      <w:marBottom w:val="0"/>
      <w:divBdr>
        <w:top w:val="none" w:sz="0" w:space="0" w:color="auto"/>
        <w:left w:val="none" w:sz="0" w:space="0" w:color="auto"/>
        <w:bottom w:val="none" w:sz="0" w:space="0" w:color="auto"/>
        <w:right w:val="none" w:sz="0" w:space="0" w:color="auto"/>
      </w:divBdr>
    </w:div>
    <w:div w:id="850069917">
      <w:bodyDiv w:val="1"/>
      <w:marLeft w:val="0"/>
      <w:marRight w:val="0"/>
      <w:marTop w:val="0"/>
      <w:marBottom w:val="0"/>
      <w:divBdr>
        <w:top w:val="none" w:sz="0" w:space="0" w:color="auto"/>
        <w:left w:val="none" w:sz="0" w:space="0" w:color="auto"/>
        <w:bottom w:val="none" w:sz="0" w:space="0" w:color="auto"/>
        <w:right w:val="none" w:sz="0" w:space="0" w:color="auto"/>
      </w:divBdr>
    </w:div>
    <w:div w:id="855773217">
      <w:bodyDiv w:val="1"/>
      <w:marLeft w:val="0"/>
      <w:marRight w:val="0"/>
      <w:marTop w:val="0"/>
      <w:marBottom w:val="0"/>
      <w:divBdr>
        <w:top w:val="none" w:sz="0" w:space="0" w:color="auto"/>
        <w:left w:val="none" w:sz="0" w:space="0" w:color="auto"/>
        <w:bottom w:val="none" w:sz="0" w:space="0" w:color="auto"/>
        <w:right w:val="none" w:sz="0" w:space="0" w:color="auto"/>
      </w:divBdr>
    </w:div>
    <w:div w:id="869534573">
      <w:bodyDiv w:val="1"/>
      <w:marLeft w:val="0"/>
      <w:marRight w:val="0"/>
      <w:marTop w:val="0"/>
      <w:marBottom w:val="0"/>
      <w:divBdr>
        <w:top w:val="none" w:sz="0" w:space="0" w:color="auto"/>
        <w:left w:val="none" w:sz="0" w:space="0" w:color="auto"/>
        <w:bottom w:val="none" w:sz="0" w:space="0" w:color="auto"/>
        <w:right w:val="none" w:sz="0" w:space="0" w:color="auto"/>
      </w:divBdr>
    </w:div>
    <w:div w:id="884172577">
      <w:bodyDiv w:val="1"/>
      <w:marLeft w:val="0"/>
      <w:marRight w:val="0"/>
      <w:marTop w:val="0"/>
      <w:marBottom w:val="0"/>
      <w:divBdr>
        <w:top w:val="none" w:sz="0" w:space="0" w:color="auto"/>
        <w:left w:val="none" w:sz="0" w:space="0" w:color="auto"/>
        <w:bottom w:val="none" w:sz="0" w:space="0" w:color="auto"/>
        <w:right w:val="none" w:sz="0" w:space="0" w:color="auto"/>
      </w:divBdr>
    </w:div>
    <w:div w:id="916867658">
      <w:bodyDiv w:val="1"/>
      <w:marLeft w:val="0"/>
      <w:marRight w:val="0"/>
      <w:marTop w:val="0"/>
      <w:marBottom w:val="0"/>
      <w:divBdr>
        <w:top w:val="none" w:sz="0" w:space="0" w:color="auto"/>
        <w:left w:val="none" w:sz="0" w:space="0" w:color="auto"/>
        <w:bottom w:val="none" w:sz="0" w:space="0" w:color="auto"/>
        <w:right w:val="none" w:sz="0" w:space="0" w:color="auto"/>
      </w:divBdr>
    </w:div>
    <w:div w:id="928318294">
      <w:bodyDiv w:val="1"/>
      <w:marLeft w:val="0"/>
      <w:marRight w:val="0"/>
      <w:marTop w:val="0"/>
      <w:marBottom w:val="0"/>
      <w:divBdr>
        <w:top w:val="none" w:sz="0" w:space="0" w:color="auto"/>
        <w:left w:val="none" w:sz="0" w:space="0" w:color="auto"/>
        <w:bottom w:val="none" w:sz="0" w:space="0" w:color="auto"/>
        <w:right w:val="none" w:sz="0" w:space="0" w:color="auto"/>
      </w:divBdr>
    </w:div>
    <w:div w:id="932514619">
      <w:bodyDiv w:val="1"/>
      <w:marLeft w:val="0"/>
      <w:marRight w:val="0"/>
      <w:marTop w:val="0"/>
      <w:marBottom w:val="0"/>
      <w:divBdr>
        <w:top w:val="none" w:sz="0" w:space="0" w:color="auto"/>
        <w:left w:val="none" w:sz="0" w:space="0" w:color="auto"/>
        <w:bottom w:val="none" w:sz="0" w:space="0" w:color="auto"/>
        <w:right w:val="none" w:sz="0" w:space="0" w:color="auto"/>
      </w:divBdr>
      <w:divsChild>
        <w:div w:id="501433065">
          <w:marLeft w:val="0"/>
          <w:marRight w:val="0"/>
          <w:marTop w:val="0"/>
          <w:marBottom w:val="0"/>
          <w:divBdr>
            <w:top w:val="none" w:sz="0" w:space="0" w:color="auto"/>
            <w:left w:val="none" w:sz="0" w:space="0" w:color="auto"/>
            <w:bottom w:val="none" w:sz="0" w:space="0" w:color="auto"/>
            <w:right w:val="none" w:sz="0" w:space="0" w:color="auto"/>
          </w:divBdr>
          <w:divsChild>
            <w:div w:id="1369528450">
              <w:marLeft w:val="0"/>
              <w:marRight w:val="0"/>
              <w:marTop w:val="0"/>
              <w:marBottom w:val="0"/>
              <w:divBdr>
                <w:top w:val="none" w:sz="0" w:space="0" w:color="auto"/>
                <w:left w:val="none" w:sz="0" w:space="0" w:color="auto"/>
                <w:bottom w:val="none" w:sz="0" w:space="0" w:color="auto"/>
                <w:right w:val="none" w:sz="0" w:space="0" w:color="auto"/>
              </w:divBdr>
              <w:divsChild>
                <w:div w:id="33627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6502">
          <w:marLeft w:val="0"/>
          <w:marRight w:val="0"/>
          <w:marTop w:val="0"/>
          <w:marBottom w:val="0"/>
          <w:divBdr>
            <w:top w:val="none" w:sz="0" w:space="0" w:color="auto"/>
            <w:left w:val="none" w:sz="0" w:space="0" w:color="auto"/>
            <w:bottom w:val="none" w:sz="0" w:space="0" w:color="auto"/>
            <w:right w:val="none" w:sz="0" w:space="0" w:color="auto"/>
          </w:divBdr>
          <w:divsChild>
            <w:div w:id="1091196507">
              <w:marLeft w:val="0"/>
              <w:marRight w:val="0"/>
              <w:marTop w:val="0"/>
              <w:marBottom w:val="0"/>
              <w:divBdr>
                <w:top w:val="none" w:sz="0" w:space="0" w:color="auto"/>
                <w:left w:val="none" w:sz="0" w:space="0" w:color="auto"/>
                <w:bottom w:val="none" w:sz="0" w:space="0" w:color="auto"/>
                <w:right w:val="none" w:sz="0" w:space="0" w:color="auto"/>
              </w:divBdr>
              <w:divsChild>
                <w:div w:id="2124961126">
                  <w:marLeft w:val="0"/>
                  <w:marRight w:val="0"/>
                  <w:marTop w:val="0"/>
                  <w:marBottom w:val="0"/>
                  <w:divBdr>
                    <w:top w:val="none" w:sz="0" w:space="0" w:color="auto"/>
                    <w:left w:val="none" w:sz="0" w:space="0" w:color="auto"/>
                    <w:bottom w:val="none" w:sz="0" w:space="0" w:color="auto"/>
                    <w:right w:val="none" w:sz="0" w:space="0" w:color="auto"/>
                  </w:divBdr>
                </w:div>
              </w:divsChild>
            </w:div>
            <w:div w:id="1207522007">
              <w:marLeft w:val="0"/>
              <w:marRight w:val="0"/>
              <w:marTop w:val="0"/>
              <w:marBottom w:val="0"/>
              <w:divBdr>
                <w:top w:val="none" w:sz="0" w:space="0" w:color="auto"/>
                <w:left w:val="none" w:sz="0" w:space="0" w:color="auto"/>
                <w:bottom w:val="none" w:sz="0" w:space="0" w:color="auto"/>
                <w:right w:val="none" w:sz="0" w:space="0" w:color="auto"/>
              </w:divBdr>
              <w:divsChild>
                <w:div w:id="2838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73897">
          <w:marLeft w:val="0"/>
          <w:marRight w:val="0"/>
          <w:marTop w:val="0"/>
          <w:marBottom w:val="0"/>
          <w:divBdr>
            <w:top w:val="none" w:sz="0" w:space="0" w:color="auto"/>
            <w:left w:val="none" w:sz="0" w:space="0" w:color="auto"/>
            <w:bottom w:val="none" w:sz="0" w:space="0" w:color="auto"/>
            <w:right w:val="none" w:sz="0" w:space="0" w:color="auto"/>
          </w:divBdr>
          <w:divsChild>
            <w:div w:id="529874232">
              <w:marLeft w:val="0"/>
              <w:marRight w:val="0"/>
              <w:marTop w:val="0"/>
              <w:marBottom w:val="0"/>
              <w:divBdr>
                <w:top w:val="none" w:sz="0" w:space="0" w:color="auto"/>
                <w:left w:val="none" w:sz="0" w:space="0" w:color="auto"/>
                <w:bottom w:val="none" w:sz="0" w:space="0" w:color="auto"/>
                <w:right w:val="none" w:sz="0" w:space="0" w:color="auto"/>
              </w:divBdr>
              <w:divsChild>
                <w:div w:id="235550828">
                  <w:marLeft w:val="0"/>
                  <w:marRight w:val="0"/>
                  <w:marTop w:val="0"/>
                  <w:marBottom w:val="0"/>
                  <w:divBdr>
                    <w:top w:val="none" w:sz="0" w:space="0" w:color="auto"/>
                    <w:left w:val="none" w:sz="0" w:space="0" w:color="auto"/>
                    <w:bottom w:val="none" w:sz="0" w:space="0" w:color="auto"/>
                    <w:right w:val="none" w:sz="0" w:space="0" w:color="auto"/>
                  </w:divBdr>
                </w:div>
                <w:div w:id="1708412910">
                  <w:marLeft w:val="0"/>
                  <w:marRight w:val="0"/>
                  <w:marTop w:val="0"/>
                  <w:marBottom w:val="0"/>
                  <w:divBdr>
                    <w:top w:val="none" w:sz="0" w:space="0" w:color="auto"/>
                    <w:left w:val="none" w:sz="0" w:space="0" w:color="auto"/>
                    <w:bottom w:val="none" w:sz="0" w:space="0" w:color="auto"/>
                    <w:right w:val="none" w:sz="0" w:space="0" w:color="auto"/>
                  </w:divBdr>
                </w:div>
              </w:divsChild>
            </w:div>
            <w:div w:id="992951181">
              <w:marLeft w:val="0"/>
              <w:marRight w:val="0"/>
              <w:marTop w:val="0"/>
              <w:marBottom w:val="0"/>
              <w:divBdr>
                <w:top w:val="none" w:sz="0" w:space="0" w:color="auto"/>
                <w:left w:val="none" w:sz="0" w:space="0" w:color="auto"/>
                <w:bottom w:val="none" w:sz="0" w:space="0" w:color="auto"/>
                <w:right w:val="none" w:sz="0" w:space="0" w:color="auto"/>
              </w:divBdr>
              <w:divsChild>
                <w:div w:id="1811245879">
                  <w:marLeft w:val="0"/>
                  <w:marRight w:val="0"/>
                  <w:marTop w:val="0"/>
                  <w:marBottom w:val="0"/>
                  <w:divBdr>
                    <w:top w:val="none" w:sz="0" w:space="0" w:color="auto"/>
                    <w:left w:val="none" w:sz="0" w:space="0" w:color="auto"/>
                    <w:bottom w:val="none" w:sz="0" w:space="0" w:color="auto"/>
                    <w:right w:val="none" w:sz="0" w:space="0" w:color="auto"/>
                  </w:divBdr>
                </w:div>
                <w:div w:id="1819492136">
                  <w:marLeft w:val="0"/>
                  <w:marRight w:val="0"/>
                  <w:marTop w:val="0"/>
                  <w:marBottom w:val="0"/>
                  <w:divBdr>
                    <w:top w:val="none" w:sz="0" w:space="0" w:color="auto"/>
                    <w:left w:val="none" w:sz="0" w:space="0" w:color="auto"/>
                    <w:bottom w:val="none" w:sz="0" w:space="0" w:color="auto"/>
                    <w:right w:val="none" w:sz="0" w:space="0" w:color="auto"/>
                  </w:divBdr>
                </w:div>
              </w:divsChild>
            </w:div>
            <w:div w:id="1138645547">
              <w:marLeft w:val="0"/>
              <w:marRight w:val="0"/>
              <w:marTop w:val="0"/>
              <w:marBottom w:val="0"/>
              <w:divBdr>
                <w:top w:val="none" w:sz="0" w:space="0" w:color="auto"/>
                <w:left w:val="none" w:sz="0" w:space="0" w:color="auto"/>
                <w:bottom w:val="none" w:sz="0" w:space="0" w:color="auto"/>
                <w:right w:val="none" w:sz="0" w:space="0" w:color="auto"/>
              </w:divBdr>
              <w:divsChild>
                <w:div w:id="729958383">
                  <w:marLeft w:val="0"/>
                  <w:marRight w:val="0"/>
                  <w:marTop w:val="0"/>
                  <w:marBottom w:val="0"/>
                  <w:divBdr>
                    <w:top w:val="none" w:sz="0" w:space="0" w:color="auto"/>
                    <w:left w:val="none" w:sz="0" w:space="0" w:color="auto"/>
                    <w:bottom w:val="none" w:sz="0" w:space="0" w:color="auto"/>
                    <w:right w:val="none" w:sz="0" w:space="0" w:color="auto"/>
                  </w:divBdr>
                </w:div>
              </w:divsChild>
            </w:div>
            <w:div w:id="1512721299">
              <w:marLeft w:val="0"/>
              <w:marRight w:val="0"/>
              <w:marTop w:val="0"/>
              <w:marBottom w:val="0"/>
              <w:divBdr>
                <w:top w:val="none" w:sz="0" w:space="0" w:color="auto"/>
                <w:left w:val="none" w:sz="0" w:space="0" w:color="auto"/>
                <w:bottom w:val="none" w:sz="0" w:space="0" w:color="auto"/>
                <w:right w:val="none" w:sz="0" w:space="0" w:color="auto"/>
              </w:divBdr>
              <w:divsChild>
                <w:div w:id="600453286">
                  <w:marLeft w:val="0"/>
                  <w:marRight w:val="0"/>
                  <w:marTop w:val="0"/>
                  <w:marBottom w:val="0"/>
                  <w:divBdr>
                    <w:top w:val="none" w:sz="0" w:space="0" w:color="auto"/>
                    <w:left w:val="none" w:sz="0" w:space="0" w:color="auto"/>
                    <w:bottom w:val="none" w:sz="0" w:space="0" w:color="auto"/>
                    <w:right w:val="none" w:sz="0" w:space="0" w:color="auto"/>
                  </w:divBdr>
                </w:div>
              </w:divsChild>
            </w:div>
            <w:div w:id="1737976024">
              <w:marLeft w:val="0"/>
              <w:marRight w:val="0"/>
              <w:marTop w:val="0"/>
              <w:marBottom w:val="0"/>
              <w:divBdr>
                <w:top w:val="none" w:sz="0" w:space="0" w:color="auto"/>
                <w:left w:val="none" w:sz="0" w:space="0" w:color="auto"/>
                <w:bottom w:val="none" w:sz="0" w:space="0" w:color="auto"/>
                <w:right w:val="none" w:sz="0" w:space="0" w:color="auto"/>
              </w:divBdr>
              <w:divsChild>
                <w:div w:id="1554005599">
                  <w:marLeft w:val="0"/>
                  <w:marRight w:val="0"/>
                  <w:marTop w:val="0"/>
                  <w:marBottom w:val="0"/>
                  <w:divBdr>
                    <w:top w:val="none" w:sz="0" w:space="0" w:color="auto"/>
                    <w:left w:val="none" w:sz="0" w:space="0" w:color="auto"/>
                    <w:bottom w:val="none" w:sz="0" w:space="0" w:color="auto"/>
                    <w:right w:val="none" w:sz="0" w:space="0" w:color="auto"/>
                  </w:divBdr>
                </w:div>
              </w:divsChild>
            </w:div>
            <w:div w:id="1788039506">
              <w:marLeft w:val="0"/>
              <w:marRight w:val="0"/>
              <w:marTop w:val="0"/>
              <w:marBottom w:val="0"/>
              <w:divBdr>
                <w:top w:val="none" w:sz="0" w:space="0" w:color="auto"/>
                <w:left w:val="none" w:sz="0" w:space="0" w:color="auto"/>
                <w:bottom w:val="none" w:sz="0" w:space="0" w:color="auto"/>
                <w:right w:val="none" w:sz="0" w:space="0" w:color="auto"/>
              </w:divBdr>
              <w:divsChild>
                <w:div w:id="78598583">
                  <w:marLeft w:val="0"/>
                  <w:marRight w:val="0"/>
                  <w:marTop w:val="0"/>
                  <w:marBottom w:val="0"/>
                  <w:divBdr>
                    <w:top w:val="none" w:sz="0" w:space="0" w:color="auto"/>
                    <w:left w:val="none" w:sz="0" w:space="0" w:color="auto"/>
                    <w:bottom w:val="none" w:sz="0" w:space="0" w:color="auto"/>
                    <w:right w:val="none" w:sz="0" w:space="0" w:color="auto"/>
                  </w:divBdr>
                </w:div>
                <w:div w:id="12005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2174">
      <w:bodyDiv w:val="1"/>
      <w:marLeft w:val="0"/>
      <w:marRight w:val="0"/>
      <w:marTop w:val="0"/>
      <w:marBottom w:val="0"/>
      <w:divBdr>
        <w:top w:val="none" w:sz="0" w:space="0" w:color="auto"/>
        <w:left w:val="none" w:sz="0" w:space="0" w:color="auto"/>
        <w:bottom w:val="none" w:sz="0" w:space="0" w:color="auto"/>
        <w:right w:val="none" w:sz="0" w:space="0" w:color="auto"/>
      </w:divBdr>
    </w:div>
    <w:div w:id="959528544">
      <w:bodyDiv w:val="1"/>
      <w:marLeft w:val="0"/>
      <w:marRight w:val="0"/>
      <w:marTop w:val="0"/>
      <w:marBottom w:val="0"/>
      <w:divBdr>
        <w:top w:val="none" w:sz="0" w:space="0" w:color="auto"/>
        <w:left w:val="none" w:sz="0" w:space="0" w:color="auto"/>
        <w:bottom w:val="none" w:sz="0" w:space="0" w:color="auto"/>
        <w:right w:val="none" w:sz="0" w:space="0" w:color="auto"/>
      </w:divBdr>
      <w:divsChild>
        <w:div w:id="545334509">
          <w:marLeft w:val="0"/>
          <w:marRight w:val="0"/>
          <w:marTop w:val="0"/>
          <w:marBottom w:val="0"/>
          <w:divBdr>
            <w:top w:val="none" w:sz="0" w:space="0" w:color="auto"/>
            <w:left w:val="none" w:sz="0" w:space="0" w:color="auto"/>
            <w:bottom w:val="none" w:sz="0" w:space="0" w:color="auto"/>
            <w:right w:val="none" w:sz="0" w:space="0" w:color="auto"/>
          </w:divBdr>
          <w:divsChild>
            <w:div w:id="1675567040">
              <w:marLeft w:val="0"/>
              <w:marRight w:val="0"/>
              <w:marTop w:val="0"/>
              <w:marBottom w:val="0"/>
              <w:divBdr>
                <w:top w:val="none" w:sz="0" w:space="0" w:color="auto"/>
                <w:left w:val="none" w:sz="0" w:space="0" w:color="auto"/>
                <w:bottom w:val="none" w:sz="0" w:space="0" w:color="auto"/>
                <w:right w:val="none" w:sz="0" w:space="0" w:color="auto"/>
              </w:divBdr>
              <w:divsChild>
                <w:div w:id="44330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30857">
          <w:marLeft w:val="0"/>
          <w:marRight w:val="0"/>
          <w:marTop w:val="0"/>
          <w:marBottom w:val="0"/>
          <w:divBdr>
            <w:top w:val="none" w:sz="0" w:space="0" w:color="auto"/>
            <w:left w:val="none" w:sz="0" w:space="0" w:color="auto"/>
            <w:bottom w:val="none" w:sz="0" w:space="0" w:color="auto"/>
            <w:right w:val="none" w:sz="0" w:space="0" w:color="auto"/>
          </w:divBdr>
          <w:divsChild>
            <w:div w:id="965235289">
              <w:marLeft w:val="0"/>
              <w:marRight w:val="0"/>
              <w:marTop w:val="0"/>
              <w:marBottom w:val="0"/>
              <w:divBdr>
                <w:top w:val="none" w:sz="0" w:space="0" w:color="auto"/>
                <w:left w:val="none" w:sz="0" w:space="0" w:color="auto"/>
                <w:bottom w:val="none" w:sz="0" w:space="0" w:color="auto"/>
                <w:right w:val="none" w:sz="0" w:space="0" w:color="auto"/>
              </w:divBdr>
              <w:divsChild>
                <w:div w:id="19836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270611">
      <w:bodyDiv w:val="1"/>
      <w:marLeft w:val="0"/>
      <w:marRight w:val="0"/>
      <w:marTop w:val="0"/>
      <w:marBottom w:val="0"/>
      <w:divBdr>
        <w:top w:val="none" w:sz="0" w:space="0" w:color="auto"/>
        <w:left w:val="none" w:sz="0" w:space="0" w:color="auto"/>
        <w:bottom w:val="none" w:sz="0" w:space="0" w:color="auto"/>
        <w:right w:val="none" w:sz="0" w:space="0" w:color="auto"/>
      </w:divBdr>
    </w:div>
    <w:div w:id="975986176">
      <w:bodyDiv w:val="1"/>
      <w:marLeft w:val="0"/>
      <w:marRight w:val="0"/>
      <w:marTop w:val="0"/>
      <w:marBottom w:val="0"/>
      <w:divBdr>
        <w:top w:val="none" w:sz="0" w:space="0" w:color="auto"/>
        <w:left w:val="none" w:sz="0" w:space="0" w:color="auto"/>
        <w:bottom w:val="none" w:sz="0" w:space="0" w:color="auto"/>
        <w:right w:val="none" w:sz="0" w:space="0" w:color="auto"/>
      </w:divBdr>
    </w:div>
    <w:div w:id="982850205">
      <w:bodyDiv w:val="1"/>
      <w:marLeft w:val="0"/>
      <w:marRight w:val="0"/>
      <w:marTop w:val="0"/>
      <w:marBottom w:val="0"/>
      <w:divBdr>
        <w:top w:val="none" w:sz="0" w:space="0" w:color="auto"/>
        <w:left w:val="none" w:sz="0" w:space="0" w:color="auto"/>
        <w:bottom w:val="none" w:sz="0" w:space="0" w:color="auto"/>
        <w:right w:val="none" w:sz="0" w:space="0" w:color="auto"/>
      </w:divBdr>
    </w:div>
    <w:div w:id="1000740789">
      <w:bodyDiv w:val="1"/>
      <w:marLeft w:val="0"/>
      <w:marRight w:val="0"/>
      <w:marTop w:val="0"/>
      <w:marBottom w:val="0"/>
      <w:divBdr>
        <w:top w:val="none" w:sz="0" w:space="0" w:color="auto"/>
        <w:left w:val="none" w:sz="0" w:space="0" w:color="auto"/>
        <w:bottom w:val="none" w:sz="0" w:space="0" w:color="auto"/>
        <w:right w:val="none" w:sz="0" w:space="0" w:color="auto"/>
      </w:divBdr>
    </w:div>
    <w:div w:id="1015110759">
      <w:bodyDiv w:val="1"/>
      <w:marLeft w:val="0"/>
      <w:marRight w:val="0"/>
      <w:marTop w:val="0"/>
      <w:marBottom w:val="0"/>
      <w:divBdr>
        <w:top w:val="none" w:sz="0" w:space="0" w:color="auto"/>
        <w:left w:val="none" w:sz="0" w:space="0" w:color="auto"/>
        <w:bottom w:val="none" w:sz="0" w:space="0" w:color="auto"/>
        <w:right w:val="none" w:sz="0" w:space="0" w:color="auto"/>
      </w:divBdr>
    </w:div>
    <w:div w:id="1018197601">
      <w:bodyDiv w:val="1"/>
      <w:marLeft w:val="0"/>
      <w:marRight w:val="0"/>
      <w:marTop w:val="0"/>
      <w:marBottom w:val="0"/>
      <w:divBdr>
        <w:top w:val="none" w:sz="0" w:space="0" w:color="auto"/>
        <w:left w:val="none" w:sz="0" w:space="0" w:color="auto"/>
        <w:bottom w:val="none" w:sz="0" w:space="0" w:color="auto"/>
        <w:right w:val="none" w:sz="0" w:space="0" w:color="auto"/>
      </w:divBdr>
    </w:div>
    <w:div w:id="1042481954">
      <w:bodyDiv w:val="1"/>
      <w:marLeft w:val="0"/>
      <w:marRight w:val="0"/>
      <w:marTop w:val="0"/>
      <w:marBottom w:val="0"/>
      <w:divBdr>
        <w:top w:val="none" w:sz="0" w:space="0" w:color="auto"/>
        <w:left w:val="none" w:sz="0" w:space="0" w:color="auto"/>
        <w:bottom w:val="none" w:sz="0" w:space="0" w:color="auto"/>
        <w:right w:val="none" w:sz="0" w:space="0" w:color="auto"/>
      </w:divBdr>
    </w:div>
    <w:div w:id="1047799953">
      <w:bodyDiv w:val="1"/>
      <w:marLeft w:val="0"/>
      <w:marRight w:val="0"/>
      <w:marTop w:val="0"/>
      <w:marBottom w:val="0"/>
      <w:divBdr>
        <w:top w:val="none" w:sz="0" w:space="0" w:color="auto"/>
        <w:left w:val="none" w:sz="0" w:space="0" w:color="auto"/>
        <w:bottom w:val="none" w:sz="0" w:space="0" w:color="auto"/>
        <w:right w:val="none" w:sz="0" w:space="0" w:color="auto"/>
      </w:divBdr>
    </w:div>
    <w:div w:id="1048914848">
      <w:bodyDiv w:val="1"/>
      <w:marLeft w:val="0"/>
      <w:marRight w:val="0"/>
      <w:marTop w:val="0"/>
      <w:marBottom w:val="0"/>
      <w:divBdr>
        <w:top w:val="none" w:sz="0" w:space="0" w:color="auto"/>
        <w:left w:val="none" w:sz="0" w:space="0" w:color="auto"/>
        <w:bottom w:val="none" w:sz="0" w:space="0" w:color="auto"/>
        <w:right w:val="none" w:sz="0" w:space="0" w:color="auto"/>
      </w:divBdr>
      <w:divsChild>
        <w:div w:id="858079396">
          <w:marLeft w:val="0"/>
          <w:marRight w:val="0"/>
          <w:marTop w:val="0"/>
          <w:marBottom w:val="0"/>
          <w:divBdr>
            <w:top w:val="none" w:sz="0" w:space="0" w:color="auto"/>
            <w:left w:val="none" w:sz="0" w:space="0" w:color="auto"/>
            <w:bottom w:val="none" w:sz="0" w:space="0" w:color="auto"/>
            <w:right w:val="none" w:sz="0" w:space="0" w:color="auto"/>
          </w:divBdr>
          <w:divsChild>
            <w:div w:id="1450664918">
              <w:marLeft w:val="360"/>
              <w:marRight w:val="0"/>
              <w:marTop w:val="245"/>
              <w:marBottom w:val="0"/>
              <w:divBdr>
                <w:top w:val="none" w:sz="0" w:space="0" w:color="auto"/>
                <w:left w:val="none" w:sz="0" w:space="0" w:color="auto"/>
                <w:bottom w:val="none" w:sz="0" w:space="0" w:color="auto"/>
                <w:right w:val="none" w:sz="0" w:space="0" w:color="auto"/>
              </w:divBdr>
            </w:div>
          </w:divsChild>
        </w:div>
      </w:divsChild>
    </w:div>
    <w:div w:id="1068457160">
      <w:bodyDiv w:val="1"/>
      <w:marLeft w:val="0"/>
      <w:marRight w:val="0"/>
      <w:marTop w:val="0"/>
      <w:marBottom w:val="0"/>
      <w:divBdr>
        <w:top w:val="none" w:sz="0" w:space="0" w:color="auto"/>
        <w:left w:val="none" w:sz="0" w:space="0" w:color="auto"/>
        <w:bottom w:val="none" w:sz="0" w:space="0" w:color="auto"/>
        <w:right w:val="none" w:sz="0" w:space="0" w:color="auto"/>
      </w:divBdr>
      <w:divsChild>
        <w:div w:id="500655850">
          <w:marLeft w:val="0"/>
          <w:marRight w:val="0"/>
          <w:marTop w:val="0"/>
          <w:marBottom w:val="0"/>
          <w:divBdr>
            <w:top w:val="none" w:sz="0" w:space="0" w:color="auto"/>
            <w:left w:val="none" w:sz="0" w:space="0" w:color="auto"/>
            <w:bottom w:val="none" w:sz="0" w:space="0" w:color="auto"/>
            <w:right w:val="none" w:sz="0" w:space="0" w:color="auto"/>
          </w:divBdr>
          <w:divsChild>
            <w:div w:id="1189755519">
              <w:marLeft w:val="0"/>
              <w:marRight w:val="0"/>
              <w:marTop w:val="0"/>
              <w:marBottom w:val="0"/>
              <w:divBdr>
                <w:top w:val="none" w:sz="0" w:space="0" w:color="auto"/>
                <w:left w:val="none" w:sz="0" w:space="0" w:color="auto"/>
                <w:bottom w:val="none" w:sz="0" w:space="0" w:color="auto"/>
                <w:right w:val="none" w:sz="0" w:space="0" w:color="auto"/>
              </w:divBdr>
              <w:divsChild>
                <w:div w:id="257565984">
                  <w:marLeft w:val="0"/>
                  <w:marRight w:val="0"/>
                  <w:marTop w:val="0"/>
                  <w:marBottom w:val="0"/>
                  <w:divBdr>
                    <w:top w:val="none" w:sz="0" w:space="0" w:color="auto"/>
                    <w:left w:val="none" w:sz="0" w:space="0" w:color="auto"/>
                    <w:bottom w:val="none" w:sz="0" w:space="0" w:color="auto"/>
                    <w:right w:val="none" w:sz="0" w:space="0" w:color="auto"/>
                  </w:divBdr>
                </w:div>
              </w:divsChild>
            </w:div>
            <w:div w:id="1229537979">
              <w:marLeft w:val="0"/>
              <w:marRight w:val="0"/>
              <w:marTop w:val="0"/>
              <w:marBottom w:val="0"/>
              <w:divBdr>
                <w:top w:val="none" w:sz="0" w:space="0" w:color="auto"/>
                <w:left w:val="none" w:sz="0" w:space="0" w:color="auto"/>
                <w:bottom w:val="none" w:sz="0" w:space="0" w:color="auto"/>
                <w:right w:val="none" w:sz="0" w:space="0" w:color="auto"/>
              </w:divBdr>
              <w:divsChild>
                <w:div w:id="873036516">
                  <w:marLeft w:val="0"/>
                  <w:marRight w:val="0"/>
                  <w:marTop w:val="0"/>
                  <w:marBottom w:val="0"/>
                  <w:divBdr>
                    <w:top w:val="none" w:sz="0" w:space="0" w:color="auto"/>
                    <w:left w:val="none" w:sz="0" w:space="0" w:color="auto"/>
                    <w:bottom w:val="none" w:sz="0" w:space="0" w:color="auto"/>
                    <w:right w:val="none" w:sz="0" w:space="0" w:color="auto"/>
                  </w:divBdr>
                </w:div>
                <w:div w:id="1006518982">
                  <w:marLeft w:val="0"/>
                  <w:marRight w:val="0"/>
                  <w:marTop w:val="0"/>
                  <w:marBottom w:val="0"/>
                  <w:divBdr>
                    <w:top w:val="none" w:sz="0" w:space="0" w:color="auto"/>
                    <w:left w:val="none" w:sz="0" w:space="0" w:color="auto"/>
                    <w:bottom w:val="none" w:sz="0" w:space="0" w:color="auto"/>
                    <w:right w:val="none" w:sz="0" w:space="0" w:color="auto"/>
                  </w:divBdr>
                </w:div>
              </w:divsChild>
            </w:div>
            <w:div w:id="1599364608">
              <w:marLeft w:val="0"/>
              <w:marRight w:val="0"/>
              <w:marTop w:val="0"/>
              <w:marBottom w:val="0"/>
              <w:divBdr>
                <w:top w:val="none" w:sz="0" w:space="0" w:color="auto"/>
                <w:left w:val="none" w:sz="0" w:space="0" w:color="auto"/>
                <w:bottom w:val="none" w:sz="0" w:space="0" w:color="auto"/>
                <w:right w:val="none" w:sz="0" w:space="0" w:color="auto"/>
              </w:divBdr>
              <w:divsChild>
                <w:div w:id="666708256">
                  <w:marLeft w:val="0"/>
                  <w:marRight w:val="0"/>
                  <w:marTop w:val="0"/>
                  <w:marBottom w:val="0"/>
                  <w:divBdr>
                    <w:top w:val="none" w:sz="0" w:space="0" w:color="auto"/>
                    <w:left w:val="none" w:sz="0" w:space="0" w:color="auto"/>
                    <w:bottom w:val="none" w:sz="0" w:space="0" w:color="auto"/>
                    <w:right w:val="none" w:sz="0" w:space="0" w:color="auto"/>
                  </w:divBdr>
                </w:div>
                <w:div w:id="932586517">
                  <w:marLeft w:val="0"/>
                  <w:marRight w:val="0"/>
                  <w:marTop w:val="0"/>
                  <w:marBottom w:val="0"/>
                  <w:divBdr>
                    <w:top w:val="none" w:sz="0" w:space="0" w:color="auto"/>
                    <w:left w:val="none" w:sz="0" w:space="0" w:color="auto"/>
                    <w:bottom w:val="none" w:sz="0" w:space="0" w:color="auto"/>
                    <w:right w:val="none" w:sz="0" w:space="0" w:color="auto"/>
                  </w:divBdr>
                </w:div>
              </w:divsChild>
            </w:div>
            <w:div w:id="1813280684">
              <w:marLeft w:val="0"/>
              <w:marRight w:val="0"/>
              <w:marTop w:val="0"/>
              <w:marBottom w:val="0"/>
              <w:divBdr>
                <w:top w:val="none" w:sz="0" w:space="0" w:color="auto"/>
                <w:left w:val="none" w:sz="0" w:space="0" w:color="auto"/>
                <w:bottom w:val="none" w:sz="0" w:space="0" w:color="auto"/>
                <w:right w:val="none" w:sz="0" w:space="0" w:color="auto"/>
              </w:divBdr>
              <w:divsChild>
                <w:div w:id="623274484">
                  <w:marLeft w:val="0"/>
                  <w:marRight w:val="0"/>
                  <w:marTop w:val="0"/>
                  <w:marBottom w:val="0"/>
                  <w:divBdr>
                    <w:top w:val="none" w:sz="0" w:space="0" w:color="auto"/>
                    <w:left w:val="none" w:sz="0" w:space="0" w:color="auto"/>
                    <w:bottom w:val="none" w:sz="0" w:space="0" w:color="auto"/>
                    <w:right w:val="none" w:sz="0" w:space="0" w:color="auto"/>
                  </w:divBdr>
                </w:div>
              </w:divsChild>
            </w:div>
            <w:div w:id="1908564933">
              <w:marLeft w:val="0"/>
              <w:marRight w:val="0"/>
              <w:marTop w:val="0"/>
              <w:marBottom w:val="0"/>
              <w:divBdr>
                <w:top w:val="none" w:sz="0" w:space="0" w:color="auto"/>
                <w:left w:val="none" w:sz="0" w:space="0" w:color="auto"/>
                <w:bottom w:val="none" w:sz="0" w:space="0" w:color="auto"/>
                <w:right w:val="none" w:sz="0" w:space="0" w:color="auto"/>
              </w:divBdr>
              <w:divsChild>
                <w:div w:id="1210723441">
                  <w:marLeft w:val="0"/>
                  <w:marRight w:val="0"/>
                  <w:marTop w:val="0"/>
                  <w:marBottom w:val="0"/>
                  <w:divBdr>
                    <w:top w:val="none" w:sz="0" w:space="0" w:color="auto"/>
                    <w:left w:val="none" w:sz="0" w:space="0" w:color="auto"/>
                    <w:bottom w:val="none" w:sz="0" w:space="0" w:color="auto"/>
                    <w:right w:val="none" w:sz="0" w:space="0" w:color="auto"/>
                  </w:divBdr>
                </w:div>
              </w:divsChild>
            </w:div>
            <w:div w:id="1968510190">
              <w:marLeft w:val="0"/>
              <w:marRight w:val="0"/>
              <w:marTop w:val="0"/>
              <w:marBottom w:val="0"/>
              <w:divBdr>
                <w:top w:val="none" w:sz="0" w:space="0" w:color="auto"/>
                <w:left w:val="none" w:sz="0" w:space="0" w:color="auto"/>
                <w:bottom w:val="none" w:sz="0" w:space="0" w:color="auto"/>
                <w:right w:val="none" w:sz="0" w:space="0" w:color="auto"/>
              </w:divBdr>
              <w:divsChild>
                <w:div w:id="78453865">
                  <w:marLeft w:val="0"/>
                  <w:marRight w:val="0"/>
                  <w:marTop w:val="0"/>
                  <w:marBottom w:val="0"/>
                  <w:divBdr>
                    <w:top w:val="none" w:sz="0" w:space="0" w:color="auto"/>
                    <w:left w:val="none" w:sz="0" w:space="0" w:color="auto"/>
                    <w:bottom w:val="none" w:sz="0" w:space="0" w:color="auto"/>
                    <w:right w:val="none" w:sz="0" w:space="0" w:color="auto"/>
                  </w:divBdr>
                </w:div>
                <w:div w:id="1283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89740">
          <w:marLeft w:val="0"/>
          <w:marRight w:val="0"/>
          <w:marTop w:val="0"/>
          <w:marBottom w:val="0"/>
          <w:divBdr>
            <w:top w:val="none" w:sz="0" w:space="0" w:color="auto"/>
            <w:left w:val="none" w:sz="0" w:space="0" w:color="auto"/>
            <w:bottom w:val="none" w:sz="0" w:space="0" w:color="auto"/>
            <w:right w:val="none" w:sz="0" w:space="0" w:color="auto"/>
          </w:divBdr>
          <w:divsChild>
            <w:div w:id="1054282130">
              <w:marLeft w:val="0"/>
              <w:marRight w:val="0"/>
              <w:marTop w:val="0"/>
              <w:marBottom w:val="0"/>
              <w:divBdr>
                <w:top w:val="none" w:sz="0" w:space="0" w:color="auto"/>
                <w:left w:val="none" w:sz="0" w:space="0" w:color="auto"/>
                <w:bottom w:val="none" w:sz="0" w:space="0" w:color="auto"/>
                <w:right w:val="none" w:sz="0" w:space="0" w:color="auto"/>
              </w:divBdr>
              <w:divsChild>
                <w:div w:id="8964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2304">
          <w:marLeft w:val="0"/>
          <w:marRight w:val="0"/>
          <w:marTop w:val="0"/>
          <w:marBottom w:val="0"/>
          <w:divBdr>
            <w:top w:val="none" w:sz="0" w:space="0" w:color="auto"/>
            <w:left w:val="none" w:sz="0" w:space="0" w:color="auto"/>
            <w:bottom w:val="none" w:sz="0" w:space="0" w:color="auto"/>
            <w:right w:val="none" w:sz="0" w:space="0" w:color="auto"/>
          </w:divBdr>
          <w:divsChild>
            <w:div w:id="328406777">
              <w:marLeft w:val="0"/>
              <w:marRight w:val="0"/>
              <w:marTop w:val="0"/>
              <w:marBottom w:val="0"/>
              <w:divBdr>
                <w:top w:val="none" w:sz="0" w:space="0" w:color="auto"/>
                <w:left w:val="none" w:sz="0" w:space="0" w:color="auto"/>
                <w:bottom w:val="none" w:sz="0" w:space="0" w:color="auto"/>
                <w:right w:val="none" w:sz="0" w:space="0" w:color="auto"/>
              </w:divBdr>
              <w:divsChild>
                <w:div w:id="2080057374">
                  <w:marLeft w:val="0"/>
                  <w:marRight w:val="0"/>
                  <w:marTop w:val="0"/>
                  <w:marBottom w:val="0"/>
                  <w:divBdr>
                    <w:top w:val="none" w:sz="0" w:space="0" w:color="auto"/>
                    <w:left w:val="none" w:sz="0" w:space="0" w:color="auto"/>
                    <w:bottom w:val="none" w:sz="0" w:space="0" w:color="auto"/>
                    <w:right w:val="none" w:sz="0" w:space="0" w:color="auto"/>
                  </w:divBdr>
                </w:div>
              </w:divsChild>
            </w:div>
            <w:div w:id="1787312579">
              <w:marLeft w:val="0"/>
              <w:marRight w:val="0"/>
              <w:marTop w:val="0"/>
              <w:marBottom w:val="0"/>
              <w:divBdr>
                <w:top w:val="none" w:sz="0" w:space="0" w:color="auto"/>
                <w:left w:val="none" w:sz="0" w:space="0" w:color="auto"/>
                <w:bottom w:val="none" w:sz="0" w:space="0" w:color="auto"/>
                <w:right w:val="none" w:sz="0" w:space="0" w:color="auto"/>
              </w:divBdr>
              <w:divsChild>
                <w:div w:id="931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92639">
      <w:bodyDiv w:val="1"/>
      <w:marLeft w:val="0"/>
      <w:marRight w:val="0"/>
      <w:marTop w:val="0"/>
      <w:marBottom w:val="0"/>
      <w:divBdr>
        <w:top w:val="none" w:sz="0" w:space="0" w:color="auto"/>
        <w:left w:val="none" w:sz="0" w:space="0" w:color="auto"/>
        <w:bottom w:val="none" w:sz="0" w:space="0" w:color="auto"/>
        <w:right w:val="none" w:sz="0" w:space="0" w:color="auto"/>
      </w:divBdr>
    </w:div>
    <w:div w:id="1098479295">
      <w:bodyDiv w:val="1"/>
      <w:marLeft w:val="0"/>
      <w:marRight w:val="0"/>
      <w:marTop w:val="0"/>
      <w:marBottom w:val="0"/>
      <w:divBdr>
        <w:top w:val="none" w:sz="0" w:space="0" w:color="auto"/>
        <w:left w:val="none" w:sz="0" w:space="0" w:color="auto"/>
        <w:bottom w:val="none" w:sz="0" w:space="0" w:color="auto"/>
        <w:right w:val="none" w:sz="0" w:space="0" w:color="auto"/>
      </w:divBdr>
    </w:div>
    <w:div w:id="1102527012">
      <w:bodyDiv w:val="1"/>
      <w:marLeft w:val="0"/>
      <w:marRight w:val="0"/>
      <w:marTop w:val="0"/>
      <w:marBottom w:val="0"/>
      <w:divBdr>
        <w:top w:val="none" w:sz="0" w:space="0" w:color="auto"/>
        <w:left w:val="none" w:sz="0" w:space="0" w:color="auto"/>
        <w:bottom w:val="none" w:sz="0" w:space="0" w:color="auto"/>
        <w:right w:val="none" w:sz="0" w:space="0" w:color="auto"/>
      </w:divBdr>
      <w:divsChild>
        <w:div w:id="329022233">
          <w:marLeft w:val="0"/>
          <w:marRight w:val="0"/>
          <w:marTop w:val="0"/>
          <w:marBottom w:val="0"/>
          <w:divBdr>
            <w:top w:val="none" w:sz="0" w:space="0" w:color="auto"/>
            <w:left w:val="none" w:sz="0" w:space="0" w:color="auto"/>
            <w:bottom w:val="none" w:sz="0" w:space="0" w:color="auto"/>
            <w:right w:val="none" w:sz="0" w:space="0" w:color="auto"/>
          </w:divBdr>
          <w:divsChild>
            <w:div w:id="708728285">
              <w:marLeft w:val="0"/>
              <w:marRight w:val="0"/>
              <w:marTop w:val="0"/>
              <w:marBottom w:val="0"/>
              <w:divBdr>
                <w:top w:val="none" w:sz="0" w:space="0" w:color="auto"/>
                <w:left w:val="none" w:sz="0" w:space="0" w:color="auto"/>
                <w:bottom w:val="none" w:sz="0" w:space="0" w:color="auto"/>
                <w:right w:val="none" w:sz="0" w:space="0" w:color="auto"/>
              </w:divBdr>
              <w:divsChild>
                <w:div w:id="248781354">
                  <w:marLeft w:val="0"/>
                  <w:marRight w:val="0"/>
                  <w:marTop w:val="0"/>
                  <w:marBottom w:val="0"/>
                  <w:divBdr>
                    <w:top w:val="none" w:sz="0" w:space="0" w:color="auto"/>
                    <w:left w:val="none" w:sz="0" w:space="0" w:color="auto"/>
                    <w:bottom w:val="none" w:sz="0" w:space="0" w:color="auto"/>
                    <w:right w:val="none" w:sz="0" w:space="0" w:color="auto"/>
                  </w:divBdr>
                </w:div>
                <w:div w:id="983970984">
                  <w:marLeft w:val="0"/>
                  <w:marRight w:val="0"/>
                  <w:marTop w:val="0"/>
                  <w:marBottom w:val="0"/>
                  <w:divBdr>
                    <w:top w:val="none" w:sz="0" w:space="0" w:color="auto"/>
                    <w:left w:val="none" w:sz="0" w:space="0" w:color="auto"/>
                    <w:bottom w:val="none" w:sz="0" w:space="0" w:color="auto"/>
                    <w:right w:val="none" w:sz="0" w:space="0" w:color="auto"/>
                  </w:divBdr>
                </w:div>
              </w:divsChild>
            </w:div>
            <w:div w:id="1101605074">
              <w:marLeft w:val="0"/>
              <w:marRight w:val="0"/>
              <w:marTop w:val="0"/>
              <w:marBottom w:val="0"/>
              <w:divBdr>
                <w:top w:val="none" w:sz="0" w:space="0" w:color="auto"/>
                <w:left w:val="none" w:sz="0" w:space="0" w:color="auto"/>
                <w:bottom w:val="none" w:sz="0" w:space="0" w:color="auto"/>
                <w:right w:val="none" w:sz="0" w:space="0" w:color="auto"/>
              </w:divBdr>
              <w:divsChild>
                <w:div w:id="197355829">
                  <w:marLeft w:val="0"/>
                  <w:marRight w:val="0"/>
                  <w:marTop w:val="0"/>
                  <w:marBottom w:val="0"/>
                  <w:divBdr>
                    <w:top w:val="none" w:sz="0" w:space="0" w:color="auto"/>
                    <w:left w:val="none" w:sz="0" w:space="0" w:color="auto"/>
                    <w:bottom w:val="none" w:sz="0" w:space="0" w:color="auto"/>
                    <w:right w:val="none" w:sz="0" w:space="0" w:color="auto"/>
                  </w:divBdr>
                </w:div>
                <w:div w:id="812453906">
                  <w:marLeft w:val="0"/>
                  <w:marRight w:val="0"/>
                  <w:marTop w:val="0"/>
                  <w:marBottom w:val="0"/>
                  <w:divBdr>
                    <w:top w:val="none" w:sz="0" w:space="0" w:color="auto"/>
                    <w:left w:val="none" w:sz="0" w:space="0" w:color="auto"/>
                    <w:bottom w:val="none" w:sz="0" w:space="0" w:color="auto"/>
                    <w:right w:val="none" w:sz="0" w:space="0" w:color="auto"/>
                  </w:divBdr>
                </w:div>
              </w:divsChild>
            </w:div>
            <w:div w:id="1847092478">
              <w:marLeft w:val="0"/>
              <w:marRight w:val="0"/>
              <w:marTop w:val="0"/>
              <w:marBottom w:val="0"/>
              <w:divBdr>
                <w:top w:val="none" w:sz="0" w:space="0" w:color="auto"/>
                <w:left w:val="none" w:sz="0" w:space="0" w:color="auto"/>
                <w:bottom w:val="none" w:sz="0" w:space="0" w:color="auto"/>
                <w:right w:val="none" w:sz="0" w:space="0" w:color="auto"/>
              </w:divBdr>
              <w:divsChild>
                <w:div w:id="853110274">
                  <w:marLeft w:val="0"/>
                  <w:marRight w:val="0"/>
                  <w:marTop w:val="0"/>
                  <w:marBottom w:val="0"/>
                  <w:divBdr>
                    <w:top w:val="none" w:sz="0" w:space="0" w:color="auto"/>
                    <w:left w:val="none" w:sz="0" w:space="0" w:color="auto"/>
                    <w:bottom w:val="none" w:sz="0" w:space="0" w:color="auto"/>
                    <w:right w:val="none" w:sz="0" w:space="0" w:color="auto"/>
                  </w:divBdr>
                </w:div>
              </w:divsChild>
            </w:div>
            <w:div w:id="2027749561">
              <w:marLeft w:val="0"/>
              <w:marRight w:val="0"/>
              <w:marTop w:val="0"/>
              <w:marBottom w:val="0"/>
              <w:divBdr>
                <w:top w:val="none" w:sz="0" w:space="0" w:color="auto"/>
                <w:left w:val="none" w:sz="0" w:space="0" w:color="auto"/>
                <w:bottom w:val="none" w:sz="0" w:space="0" w:color="auto"/>
                <w:right w:val="none" w:sz="0" w:space="0" w:color="auto"/>
              </w:divBdr>
              <w:divsChild>
                <w:div w:id="193725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11051">
          <w:marLeft w:val="0"/>
          <w:marRight w:val="0"/>
          <w:marTop w:val="0"/>
          <w:marBottom w:val="0"/>
          <w:divBdr>
            <w:top w:val="none" w:sz="0" w:space="0" w:color="auto"/>
            <w:left w:val="none" w:sz="0" w:space="0" w:color="auto"/>
            <w:bottom w:val="none" w:sz="0" w:space="0" w:color="auto"/>
            <w:right w:val="none" w:sz="0" w:space="0" w:color="auto"/>
          </w:divBdr>
          <w:divsChild>
            <w:div w:id="95830278">
              <w:marLeft w:val="0"/>
              <w:marRight w:val="0"/>
              <w:marTop w:val="0"/>
              <w:marBottom w:val="0"/>
              <w:divBdr>
                <w:top w:val="none" w:sz="0" w:space="0" w:color="auto"/>
                <w:left w:val="none" w:sz="0" w:space="0" w:color="auto"/>
                <w:bottom w:val="none" w:sz="0" w:space="0" w:color="auto"/>
                <w:right w:val="none" w:sz="0" w:space="0" w:color="auto"/>
              </w:divBdr>
              <w:divsChild>
                <w:div w:id="215240429">
                  <w:marLeft w:val="0"/>
                  <w:marRight w:val="0"/>
                  <w:marTop w:val="0"/>
                  <w:marBottom w:val="0"/>
                  <w:divBdr>
                    <w:top w:val="none" w:sz="0" w:space="0" w:color="auto"/>
                    <w:left w:val="none" w:sz="0" w:space="0" w:color="auto"/>
                    <w:bottom w:val="none" w:sz="0" w:space="0" w:color="auto"/>
                    <w:right w:val="none" w:sz="0" w:space="0" w:color="auto"/>
                  </w:divBdr>
                </w:div>
              </w:divsChild>
            </w:div>
            <w:div w:id="1739941662">
              <w:marLeft w:val="0"/>
              <w:marRight w:val="0"/>
              <w:marTop w:val="0"/>
              <w:marBottom w:val="0"/>
              <w:divBdr>
                <w:top w:val="none" w:sz="0" w:space="0" w:color="auto"/>
                <w:left w:val="none" w:sz="0" w:space="0" w:color="auto"/>
                <w:bottom w:val="none" w:sz="0" w:space="0" w:color="auto"/>
                <w:right w:val="none" w:sz="0" w:space="0" w:color="auto"/>
              </w:divBdr>
              <w:divsChild>
                <w:div w:id="1370178063">
                  <w:marLeft w:val="0"/>
                  <w:marRight w:val="0"/>
                  <w:marTop w:val="0"/>
                  <w:marBottom w:val="0"/>
                  <w:divBdr>
                    <w:top w:val="none" w:sz="0" w:space="0" w:color="auto"/>
                    <w:left w:val="none" w:sz="0" w:space="0" w:color="auto"/>
                    <w:bottom w:val="none" w:sz="0" w:space="0" w:color="auto"/>
                    <w:right w:val="none" w:sz="0" w:space="0" w:color="auto"/>
                  </w:divBdr>
                </w:div>
              </w:divsChild>
            </w:div>
            <w:div w:id="1826898510">
              <w:marLeft w:val="0"/>
              <w:marRight w:val="0"/>
              <w:marTop w:val="0"/>
              <w:marBottom w:val="0"/>
              <w:divBdr>
                <w:top w:val="none" w:sz="0" w:space="0" w:color="auto"/>
                <w:left w:val="none" w:sz="0" w:space="0" w:color="auto"/>
                <w:bottom w:val="none" w:sz="0" w:space="0" w:color="auto"/>
                <w:right w:val="none" w:sz="0" w:space="0" w:color="auto"/>
              </w:divBdr>
              <w:divsChild>
                <w:div w:id="585966587">
                  <w:marLeft w:val="0"/>
                  <w:marRight w:val="0"/>
                  <w:marTop w:val="0"/>
                  <w:marBottom w:val="0"/>
                  <w:divBdr>
                    <w:top w:val="none" w:sz="0" w:space="0" w:color="auto"/>
                    <w:left w:val="none" w:sz="0" w:space="0" w:color="auto"/>
                    <w:bottom w:val="none" w:sz="0" w:space="0" w:color="auto"/>
                    <w:right w:val="none" w:sz="0" w:space="0" w:color="auto"/>
                  </w:divBdr>
                </w:div>
              </w:divsChild>
            </w:div>
            <w:div w:id="1834565055">
              <w:marLeft w:val="0"/>
              <w:marRight w:val="0"/>
              <w:marTop w:val="0"/>
              <w:marBottom w:val="0"/>
              <w:divBdr>
                <w:top w:val="none" w:sz="0" w:space="0" w:color="auto"/>
                <w:left w:val="none" w:sz="0" w:space="0" w:color="auto"/>
                <w:bottom w:val="none" w:sz="0" w:space="0" w:color="auto"/>
                <w:right w:val="none" w:sz="0" w:space="0" w:color="auto"/>
              </w:divBdr>
              <w:divsChild>
                <w:div w:id="15544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5669">
          <w:marLeft w:val="0"/>
          <w:marRight w:val="0"/>
          <w:marTop w:val="0"/>
          <w:marBottom w:val="0"/>
          <w:divBdr>
            <w:top w:val="none" w:sz="0" w:space="0" w:color="auto"/>
            <w:left w:val="none" w:sz="0" w:space="0" w:color="auto"/>
            <w:bottom w:val="none" w:sz="0" w:space="0" w:color="auto"/>
            <w:right w:val="none" w:sz="0" w:space="0" w:color="auto"/>
          </w:divBdr>
          <w:divsChild>
            <w:div w:id="43260901">
              <w:marLeft w:val="0"/>
              <w:marRight w:val="0"/>
              <w:marTop w:val="0"/>
              <w:marBottom w:val="0"/>
              <w:divBdr>
                <w:top w:val="none" w:sz="0" w:space="0" w:color="auto"/>
                <w:left w:val="none" w:sz="0" w:space="0" w:color="auto"/>
                <w:bottom w:val="none" w:sz="0" w:space="0" w:color="auto"/>
                <w:right w:val="none" w:sz="0" w:space="0" w:color="auto"/>
              </w:divBdr>
              <w:divsChild>
                <w:div w:id="1482431223">
                  <w:marLeft w:val="0"/>
                  <w:marRight w:val="0"/>
                  <w:marTop w:val="0"/>
                  <w:marBottom w:val="0"/>
                  <w:divBdr>
                    <w:top w:val="none" w:sz="0" w:space="0" w:color="auto"/>
                    <w:left w:val="none" w:sz="0" w:space="0" w:color="auto"/>
                    <w:bottom w:val="none" w:sz="0" w:space="0" w:color="auto"/>
                    <w:right w:val="none" w:sz="0" w:space="0" w:color="auto"/>
                  </w:divBdr>
                </w:div>
              </w:divsChild>
            </w:div>
            <w:div w:id="1527062225">
              <w:marLeft w:val="0"/>
              <w:marRight w:val="0"/>
              <w:marTop w:val="0"/>
              <w:marBottom w:val="0"/>
              <w:divBdr>
                <w:top w:val="none" w:sz="0" w:space="0" w:color="auto"/>
                <w:left w:val="none" w:sz="0" w:space="0" w:color="auto"/>
                <w:bottom w:val="none" w:sz="0" w:space="0" w:color="auto"/>
                <w:right w:val="none" w:sz="0" w:space="0" w:color="auto"/>
              </w:divBdr>
              <w:divsChild>
                <w:div w:id="940452055">
                  <w:marLeft w:val="0"/>
                  <w:marRight w:val="0"/>
                  <w:marTop w:val="0"/>
                  <w:marBottom w:val="0"/>
                  <w:divBdr>
                    <w:top w:val="none" w:sz="0" w:space="0" w:color="auto"/>
                    <w:left w:val="none" w:sz="0" w:space="0" w:color="auto"/>
                    <w:bottom w:val="none" w:sz="0" w:space="0" w:color="auto"/>
                    <w:right w:val="none" w:sz="0" w:space="0" w:color="auto"/>
                  </w:divBdr>
                </w:div>
              </w:divsChild>
            </w:div>
            <w:div w:id="1584487391">
              <w:marLeft w:val="0"/>
              <w:marRight w:val="0"/>
              <w:marTop w:val="0"/>
              <w:marBottom w:val="0"/>
              <w:divBdr>
                <w:top w:val="none" w:sz="0" w:space="0" w:color="auto"/>
                <w:left w:val="none" w:sz="0" w:space="0" w:color="auto"/>
                <w:bottom w:val="none" w:sz="0" w:space="0" w:color="auto"/>
                <w:right w:val="none" w:sz="0" w:space="0" w:color="auto"/>
              </w:divBdr>
              <w:divsChild>
                <w:div w:id="5094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00448">
          <w:marLeft w:val="0"/>
          <w:marRight w:val="0"/>
          <w:marTop w:val="0"/>
          <w:marBottom w:val="0"/>
          <w:divBdr>
            <w:top w:val="none" w:sz="0" w:space="0" w:color="auto"/>
            <w:left w:val="none" w:sz="0" w:space="0" w:color="auto"/>
            <w:bottom w:val="none" w:sz="0" w:space="0" w:color="auto"/>
            <w:right w:val="none" w:sz="0" w:space="0" w:color="auto"/>
          </w:divBdr>
          <w:divsChild>
            <w:div w:id="230653551">
              <w:marLeft w:val="0"/>
              <w:marRight w:val="0"/>
              <w:marTop w:val="0"/>
              <w:marBottom w:val="0"/>
              <w:divBdr>
                <w:top w:val="none" w:sz="0" w:space="0" w:color="auto"/>
                <w:left w:val="none" w:sz="0" w:space="0" w:color="auto"/>
                <w:bottom w:val="none" w:sz="0" w:space="0" w:color="auto"/>
                <w:right w:val="none" w:sz="0" w:space="0" w:color="auto"/>
              </w:divBdr>
              <w:divsChild>
                <w:div w:id="185675309">
                  <w:marLeft w:val="0"/>
                  <w:marRight w:val="0"/>
                  <w:marTop w:val="0"/>
                  <w:marBottom w:val="0"/>
                  <w:divBdr>
                    <w:top w:val="none" w:sz="0" w:space="0" w:color="auto"/>
                    <w:left w:val="none" w:sz="0" w:space="0" w:color="auto"/>
                    <w:bottom w:val="none" w:sz="0" w:space="0" w:color="auto"/>
                    <w:right w:val="none" w:sz="0" w:space="0" w:color="auto"/>
                  </w:divBdr>
                </w:div>
              </w:divsChild>
            </w:div>
            <w:div w:id="253631433">
              <w:marLeft w:val="0"/>
              <w:marRight w:val="0"/>
              <w:marTop w:val="0"/>
              <w:marBottom w:val="0"/>
              <w:divBdr>
                <w:top w:val="none" w:sz="0" w:space="0" w:color="auto"/>
                <w:left w:val="none" w:sz="0" w:space="0" w:color="auto"/>
                <w:bottom w:val="none" w:sz="0" w:space="0" w:color="auto"/>
                <w:right w:val="none" w:sz="0" w:space="0" w:color="auto"/>
              </w:divBdr>
              <w:divsChild>
                <w:div w:id="338193246">
                  <w:marLeft w:val="0"/>
                  <w:marRight w:val="0"/>
                  <w:marTop w:val="0"/>
                  <w:marBottom w:val="0"/>
                  <w:divBdr>
                    <w:top w:val="none" w:sz="0" w:space="0" w:color="auto"/>
                    <w:left w:val="none" w:sz="0" w:space="0" w:color="auto"/>
                    <w:bottom w:val="none" w:sz="0" w:space="0" w:color="auto"/>
                    <w:right w:val="none" w:sz="0" w:space="0" w:color="auto"/>
                  </w:divBdr>
                  <w:divsChild>
                    <w:div w:id="1315186938">
                      <w:marLeft w:val="0"/>
                      <w:marRight w:val="0"/>
                      <w:marTop w:val="0"/>
                      <w:marBottom w:val="0"/>
                      <w:divBdr>
                        <w:top w:val="none" w:sz="0" w:space="0" w:color="auto"/>
                        <w:left w:val="none" w:sz="0" w:space="0" w:color="auto"/>
                        <w:bottom w:val="none" w:sz="0" w:space="0" w:color="auto"/>
                        <w:right w:val="none" w:sz="0" w:space="0" w:color="auto"/>
                      </w:divBdr>
                    </w:div>
                  </w:divsChild>
                </w:div>
                <w:div w:id="406146014">
                  <w:marLeft w:val="0"/>
                  <w:marRight w:val="0"/>
                  <w:marTop w:val="0"/>
                  <w:marBottom w:val="0"/>
                  <w:divBdr>
                    <w:top w:val="none" w:sz="0" w:space="0" w:color="auto"/>
                    <w:left w:val="none" w:sz="0" w:space="0" w:color="auto"/>
                    <w:bottom w:val="none" w:sz="0" w:space="0" w:color="auto"/>
                    <w:right w:val="none" w:sz="0" w:space="0" w:color="auto"/>
                  </w:divBdr>
                  <w:divsChild>
                    <w:div w:id="235360302">
                      <w:marLeft w:val="0"/>
                      <w:marRight w:val="0"/>
                      <w:marTop w:val="0"/>
                      <w:marBottom w:val="0"/>
                      <w:divBdr>
                        <w:top w:val="none" w:sz="0" w:space="0" w:color="auto"/>
                        <w:left w:val="none" w:sz="0" w:space="0" w:color="auto"/>
                        <w:bottom w:val="none" w:sz="0" w:space="0" w:color="auto"/>
                        <w:right w:val="none" w:sz="0" w:space="0" w:color="auto"/>
                      </w:divBdr>
                    </w:div>
                  </w:divsChild>
                </w:div>
                <w:div w:id="463038430">
                  <w:marLeft w:val="0"/>
                  <w:marRight w:val="0"/>
                  <w:marTop w:val="0"/>
                  <w:marBottom w:val="0"/>
                  <w:divBdr>
                    <w:top w:val="none" w:sz="0" w:space="0" w:color="auto"/>
                    <w:left w:val="none" w:sz="0" w:space="0" w:color="auto"/>
                    <w:bottom w:val="none" w:sz="0" w:space="0" w:color="auto"/>
                    <w:right w:val="none" w:sz="0" w:space="0" w:color="auto"/>
                  </w:divBdr>
                  <w:divsChild>
                    <w:div w:id="866217582">
                      <w:marLeft w:val="0"/>
                      <w:marRight w:val="0"/>
                      <w:marTop w:val="0"/>
                      <w:marBottom w:val="0"/>
                      <w:divBdr>
                        <w:top w:val="none" w:sz="0" w:space="0" w:color="auto"/>
                        <w:left w:val="none" w:sz="0" w:space="0" w:color="auto"/>
                        <w:bottom w:val="none" w:sz="0" w:space="0" w:color="auto"/>
                        <w:right w:val="none" w:sz="0" w:space="0" w:color="auto"/>
                      </w:divBdr>
                    </w:div>
                  </w:divsChild>
                </w:div>
                <w:div w:id="706217451">
                  <w:marLeft w:val="0"/>
                  <w:marRight w:val="0"/>
                  <w:marTop w:val="0"/>
                  <w:marBottom w:val="0"/>
                  <w:divBdr>
                    <w:top w:val="none" w:sz="0" w:space="0" w:color="auto"/>
                    <w:left w:val="none" w:sz="0" w:space="0" w:color="auto"/>
                    <w:bottom w:val="none" w:sz="0" w:space="0" w:color="auto"/>
                    <w:right w:val="none" w:sz="0" w:space="0" w:color="auto"/>
                  </w:divBdr>
                  <w:divsChild>
                    <w:div w:id="1857815657">
                      <w:marLeft w:val="0"/>
                      <w:marRight w:val="0"/>
                      <w:marTop w:val="0"/>
                      <w:marBottom w:val="0"/>
                      <w:divBdr>
                        <w:top w:val="none" w:sz="0" w:space="0" w:color="auto"/>
                        <w:left w:val="none" w:sz="0" w:space="0" w:color="auto"/>
                        <w:bottom w:val="none" w:sz="0" w:space="0" w:color="auto"/>
                        <w:right w:val="none" w:sz="0" w:space="0" w:color="auto"/>
                      </w:divBdr>
                    </w:div>
                  </w:divsChild>
                </w:div>
                <w:div w:id="746462813">
                  <w:marLeft w:val="0"/>
                  <w:marRight w:val="0"/>
                  <w:marTop w:val="0"/>
                  <w:marBottom w:val="0"/>
                  <w:divBdr>
                    <w:top w:val="none" w:sz="0" w:space="0" w:color="auto"/>
                    <w:left w:val="none" w:sz="0" w:space="0" w:color="auto"/>
                    <w:bottom w:val="none" w:sz="0" w:space="0" w:color="auto"/>
                    <w:right w:val="none" w:sz="0" w:space="0" w:color="auto"/>
                  </w:divBdr>
                  <w:divsChild>
                    <w:div w:id="753628686">
                      <w:marLeft w:val="0"/>
                      <w:marRight w:val="0"/>
                      <w:marTop w:val="0"/>
                      <w:marBottom w:val="0"/>
                      <w:divBdr>
                        <w:top w:val="none" w:sz="0" w:space="0" w:color="auto"/>
                        <w:left w:val="none" w:sz="0" w:space="0" w:color="auto"/>
                        <w:bottom w:val="none" w:sz="0" w:space="0" w:color="auto"/>
                        <w:right w:val="none" w:sz="0" w:space="0" w:color="auto"/>
                      </w:divBdr>
                    </w:div>
                  </w:divsChild>
                </w:div>
                <w:div w:id="990863007">
                  <w:marLeft w:val="0"/>
                  <w:marRight w:val="0"/>
                  <w:marTop w:val="0"/>
                  <w:marBottom w:val="0"/>
                  <w:divBdr>
                    <w:top w:val="none" w:sz="0" w:space="0" w:color="auto"/>
                    <w:left w:val="none" w:sz="0" w:space="0" w:color="auto"/>
                    <w:bottom w:val="none" w:sz="0" w:space="0" w:color="auto"/>
                    <w:right w:val="none" w:sz="0" w:space="0" w:color="auto"/>
                  </w:divBdr>
                  <w:divsChild>
                    <w:div w:id="1097864635">
                      <w:marLeft w:val="0"/>
                      <w:marRight w:val="0"/>
                      <w:marTop w:val="0"/>
                      <w:marBottom w:val="0"/>
                      <w:divBdr>
                        <w:top w:val="none" w:sz="0" w:space="0" w:color="auto"/>
                        <w:left w:val="none" w:sz="0" w:space="0" w:color="auto"/>
                        <w:bottom w:val="none" w:sz="0" w:space="0" w:color="auto"/>
                        <w:right w:val="none" w:sz="0" w:space="0" w:color="auto"/>
                      </w:divBdr>
                    </w:div>
                  </w:divsChild>
                </w:div>
                <w:div w:id="1149129088">
                  <w:marLeft w:val="0"/>
                  <w:marRight w:val="0"/>
                  <w:marTop w:val="0"/>
                  <w:marBottom w:val="0"/>
                  <w:divBdr>
                    <w:top w:val="none" w:sz="0" w:space="0" w:color="auto"/>
                    <w:left w:val="none" w:sz="0" w:space="0" w:color="auto"/>
                    <w:bottom w:val="none" w:sz="0" w:space="0" w:color="auto"/>
                    <w:right w:val="none" w:sz="0" w:space="0" w:color="auto"/>
                  </w:divBdr>
                  <w:divsChild>
                    <w:div w:id="471144355">
                      <w:marLeft w:val="0"/>
                      <w:marRight w:val="0"/>
                      <w:marTop w:val="0"/>
                      <w:marBottom w:val="0"/>
                      <w:divBdr>
                        <w:top w:val="none" w:sz="0" w:space="0" w:color="auto"/>
                        <w:left w:val="none" w:sz="0" w:space="0" w:color="auto"/>
                        <w:bottom w:val="none" w:sz="0" w:space="0" w:color="auto"/>
                        <w:right w:val="none" w:sz="0" w:space="0" w:color="auto"/>
                      </w:divBdr>
                    </w:div>
                  </w:divsChild>
                </w:div>
                <w:div w:id="1171676105">
                  <w:marLeft w:val="0"/>
                  <w:marRight w:val="0"/>
                  <w:marTop w:val="0"/>
                  <w:marBottom w:val="0"/>
                  <w:divBdr>
                    <w:top w:val="none" w:sz="0" w:space="0" w:color="auto"/>
                    <w:left w:val="none" w:sz="0" w:space="0" w:color="auto"/>
                    <w:bottom w:val="none" w:sz="0" w:space="0" w:color="auto"/>
                    <w:right w:val="none" w:sz="0" w:space="0" w:color="auto"/>
                  </w:divBdr>
                  <w:divsChild>
                    <w:div w:id="670596493">
                      <w:marLeft w:val="0"/>
                      <w:marRight w:val="0"/>
                      <w:marTop w:val="0"/>
                      <w:marBottom w:val="0"/>
                      <w:divBdr>
                        <w:top w:val="none" w:sz="0" w:space="0" w:color="auto"/>
                        <w:left w:val="none" w:sz="0" w:space="0" w:color="auto"/>
                        <w:bottom w:val="none" w:sz="0" w:space="0" w:color="auto"/>
                        <w:right w:val="none" w:sz="0" w:space="0" w:color="auto"/>
                      </w:divBdr>
                    </w:div>
                  </w:divsChild>
                </w:div>
                <w:div w:id="1552694599">
                  <w:marLeft w:val="0"/>
                  <w:marRight w:val="0"/>
                  <w:marTop w:val="0"/>
                  <w:marBottom w:val="0"/>
                  <w:divBdr>
                    <w:top w:val="none" w:sz="0" w:space="0" w:color="auto"/>
                    <w:left w:val="none" w:sz="0" w:space="0" w:color="auto"/>
                    <w:bottom w:val="none" w:sz="0" w:space="0" w:color="auto"/>
                    <w:right w:val="none" w:sz="0" w:space="0" w:color="auto"/>
                  </w:divBdr>
                  <w:divsChild>
                    <w:div w:id="414982178">
                      <w:marLeft w:val="0"/>
                      <w:marRight w:val="0"/>
                      <w:marTop w:val="0"/>
                      <w:marBottom w:val="0"/>
                      <w:divBdr>
                        <w:top w:val="none" w:sz="0" w:space="0" w:color="auto"/>
                        <w:left w:val="none" w:sz="0" w:space="0" w:color="auto"/>
                        <w:bottom w:val="none" w:sz="0" w:space="0" w:color="auto"/>
                        <w:right w:val="none" w:sz="0" w:space="0" w:color="auto"/>
                      </w:divBdr>
                    </w:div>
                  </w:divsChild>
                </w:div>
                <w:div w:id="1593657329">
                  <w:marLeft w:val="0"/>
                  <w:marRight w:val="0"/>
                  <w:marTop w:val="0"/>
                  <w:marBottom w:val="0"/>
                  <w:divBdr>
                    <w:top w:val="none" w:sz="0" w:space="0" w:color="auto"/>
                    <w:left w:val="none" w:sz="0" w:space="0" w:color="auto"/>
                    <w:bottom w:val="none" w:sz="0" w:space="0" w:color="auto"/>
                    <w:right w:val="none" w:sz="0" w:space="0" w:color="auto"/>
                  </w:divBdr>
                  <w:divsChild>
                    <w:div w:id="1381320818">
                      <w:marLeft w:val="0"/>
                      <w:marRight w:val="0"/>
                      <w:marTop w:val="0"/>
                      <w:marBottom w:val="0"/>
                      <w:divBdr>
                        <w:top w:val="none" w:sz="0" w:space="0" w:color="auto"/>
                        <w:left w:val="none" w:sz="0" w:space="0" w:color="auto"/>
                        <w:bottom w:val="none" w:sz="0" w:space="0" w:color="auto"/>
                        <w:right w:val="none" w:sz="0" w:space="0" w:color="auto"/>
                      </w:divBdr>
                    </w:div>
                  </w:divsChild>
                </w:div>
                <w:div w:id="1658919759">
                  <w:marLeft w:val="0"/>
                  <w:marRight w:val="0"/>
                  <w:marTop w:val="0"/>
                  <w:marBottom w:val="0"/>
                  <w:divBdr>
                    <w:top w:val="none" w:sz="0" w:space="0" w:color="auto"/>
                    <w:left w:val="none" w:sz="0" w:space="0" w:color="auto"/>
                    <w:bottom w:val="none" w:sz="0" w:space="0" w:color="auto"/>
                    <w:right w:val="none" w:sz="0" w:space="0" w:color="auto"/>
                  </w:divBdr>
                  <w:divsChild>
                    <w:div w:id="1738046418">
                      <w:marLeft w:val="0"/>
                      <w:marRight w:val="0"/>
                      <w:marTop w:val="0"/>
                      <w:marBottom w:val="0"/>
                      <w:divBdr>
                        <w:top w:val="none" w:sz="0" w:space="0" w:color="auto"/>
                        <w:left w:val="none" w:sz="0" w:space="0" w:color="auto"/>
                        <w:bottom w:val="none" w:sz="0" w:space="0" w:color="auto"/>
                        <w:right w:val="none" w:sz="0" w:space="0" w:color="auto"/>
                      </w:divBdr>
                    </w:div>
                  </w:divsChild>
                </w:div>
                <w:div w:id="1748572058">
                  <w:marLeft w:val="0"/>
                  <w:marRight w:val="0"/>
                  <w:marTop w:val="0"/>
                  <w:marBottom w:val="0"/>
                  <w:divBdr>
                    <w:top w:val="none" w:sz="0" w:space="0" w:color="auto"/>
                    <w:left w:val="none" w:sz="0" w:space="0" w:color="auto"/>
                    <w:bottom w:val="none" w:sz="0" w:space="0" w:color="auto"/>
                    <w:right w:val="none" w:sz="0" w:space="0" w:color="auto"/>
                  </w:divBdr>
                  <w:divsChild>
                    <w:div w:id="75128461">
                      <w:marLeft w:val="0"/>
                      <w:marRight w:val="0"/>
                      <w:marTop w:val="0"/>
                      <w:marBottom w:val="0"/>
                      <w:divBdr>
                        <w:top w:val="none" w:sz="0" w:space="0" w:color="auto"/>
                        <w:left w:val="none" w:sz="0" w:space="0" w:color="auto"/>
                        <w:bottom w:val="none" w:sz="0" w:space="0" w:color="auto"/>
                        <w:right w:val="none" w:sz="0" w:space="0" w:color="auto"/>
                      </w:divBdr>
                    </w:div>
                  </w:divsChild>
                </w:div>
                <w:div w:id="1796176640">
                  <w:marLeft w:val="0"/>
                  <w:marRight w:val="0"/>
                  <w:marTop w:val="0"/>
                  <w:marBottom w:val="0"/>
                  <w:divBdr>
                    <w:top w:val="none" w:sz="0" w:space="0" w:color="auto"/>
                    <w:left w:val="none" w:sz="0" w:space="0" w:color="auto"/>
                    <w:bottom w:val="none" w:sz="0" w:space="0" w:color="auto"/>
                    <w:right w:val="none" w:sz="0" w:space="0" w:color="auto"/>
                  </w:divBdr>
                  <w:divsChild>
                    <w:div w:id="1830244260">
                      <w:marLeft w:val="0"/>
                      <w:marRight w:val="0"/>
                      <w:marTop w:val="0"/>
                      <w:marBottom w:val="0"/>
                      <w:divBdr>
                        <w:top w:val="none" w:sz="0" w:space="0" w:color="auto"/>
                        <w:left w:val="none" w:sz="0" w:space="0" w:color="auto"/>
                        <w:bottom w:val="none" w:sz="0" w:space="0" w:color="auto"/>
                        <w:right w:val="none" w:sz="0" w:space="0" w:color="auto"/>
                      </w:divBdr>
                    </w:div>
                  </w:divsChild>
                </w:div>
                <w:div w:id="1981307413">
                  <w:marLeft w:val="0"/>
                  <w:marRight w:val="0"/>
                  <w:marTop w:val="0"/>
                  <w:marBottom w:val="0"/>
                  <w:divBdr>
                    <w:top w:val="none" w:sz="0" w:space="0" w:color="auto"/>
                    <w:left w:val="none" w:sz="0" w:space="0" w:color="auto"/>
                    <w:bottom w:val="none" w:sz="0" w:space="0" w:color="auto"/>
                    <w:right w:val="none" w:sz="0" w:space="0" w:color="auto"/>
                  </w:divBdr>
                  <w:divsChild>
                    <w:div w:id="15047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6548">
              <w:marLeft w:val="0"/>
              <w:marRight w:val="0"/>
              <w:marTop w:val="0"/>
              <w:marBottom w:val="0"/>
              <w:divBdr>
                <w:top w:val="none" w:sz="0" w:space="0" w:color="auto"/>
                <w:left w:val="none" w:sz="0" w:space="0" w:color="auto"/>
                <w:bottom w:val="none" w:sz="0" w:space="0" w:color="auto"/>
                <w:right w:val="none" w:sz="0" w:space="0" w:color="auto"/>
              </w:divBdr>
              <w:divsChild>
                <w:div w:id="936326038">
                  <w:marLeft w:val="0"/>
                  <w:marRight w:val="0"/>
                  <w:marTop w:val="0"/>
                  <w:marBottom w:val="0"/>
                  <w:divBdr>
                    <w:top w:val="none" w:sz="0" w:space="0" w:color="auto"/>
                    <w:left w:val="none" w:sz="0" w:space="0" w:color="auto"/>
                    <w:bottom w:val="none" w:sz="0" w:space="0" w:color="auto"/>
                    <w:right w:val="none" w:sz="0" w:space="0" w:color="auto"/>
                  </w:divBdr>
                </w:div>
              </w:divsChild>
            </w:div>
            <w:div w:id="441537596">
              <w:marLeft w:val="0"/>
              <w:marRight w:val="0"/>
              <w:marTop w:val="0"/>
              <w:marBottom w:val="0"/>
              <w:divBdr>
                <w:top w:val="none" w:sz="0" w:space="0" w:color="auto"/>
                <w:left w:val="none" w:sz="0" w:space="0" w:color="auto"/>
                <w:bottom w:val="none" w:sz="0" w:space="0" w:color="auto"/>
                <w:right w:val="none" w:sz="0" w:space="0" w:color="auto"/>
              </w:divBdr>
              <w:divsChild>
                <w:div w:id="1775633959">
                  <w:marLeft w:val="0"/>
                  <w:marRight w:val="0"/>
                  <w:marTop w:val="0"/>
                  <w:marBottom w:val="0"/>
                  <w:divBdr>
                    <w:top w:val="none" w:sz="0" w:space="0" w:color="auto"/>
                    <w:left w:val="none" w:sz="0" w:space="0" w:color="auto"/>
                    <w:bottom w:val="none" w:sz="0" w:space="0" w:color="auto"/>
                    <w:right w:val="none" w:sz="0" w:space="0" w:color="auto"/>
                  </w:divBdr>
                </w:div>
              </w:divsChild>
            </w:div>
            <w:div w:id="493493530">
              <w:marLeft w:val="0"/>
              <w:marRight w:val="0"/>
              <w:marTop w:val="0"/>
              <w:marBottom w:val="0"/>
              <w:divBdr>
                <w:top w:val="none" w:sz="0" w:space="0" w:color="auto"/>
                <w:left w:val="none" w:sz="0" w:space="0" w:color="auto"/>
                <w:bottom w:val="none" w:sz="0" w:space="0" w:color="auto"/>
                <w:right w:val="none" w:sz="0" w:space="0" w:color="auto"/>
              </w:divBdr>
              <w:divsChild>
                <w:div w:id="2017729031">
                  <w:marLeft w:val="0"/>
                  <w:marRight w:val="0"/>
                  <w:marTop w:val="0"/>
                  <w:marBottom w:val="0"/>
                  <w:divBdr>
                    <w:top w:val="none" w:sz="0" w:space="0" w:color="auto"/>
                    <w:left w:val="none" w:sz="0" w:space="0" w:color="auto"/>
                    <w:bottom w:val="none" w:sz="0" w:space="0" w:color="auto"/>
                    <w:right w:val="none" w:sz="0" w:space="0" w:color="auto"/>
                  </w:divBdr>
                </w:div>
              </w:divsChild>
            </w:div>
            <w:div w:id="537089713">
              <w:marLeft w:val="0"/>
              <w:marRight w:val="0"/>
              <w:marTop w:val="0"/>
              <w:marBottom w:val="0"/>
              <w:divBdr>
                <w:top w:val="none" w:sz="0" w:space="0" w:color="auto"/>
                <w:left w:val="none" w:sz="0" w:space="0" w:color="auto"/>
                <w:bottom w:val="none" w:sz="0" w:space="0" w:color="auto"/>
                <w:right w:val="none" w:sz="0" w:space="0" w:color="auto"/>
              </w:divBdr>
              <w:divsChild>
                <w:div w:id="1138647681">
                  <w:marLeft w:val="0"/>
                  <w:marRight w:val="0"/>
                  <w:marTop w:val="0"/>
                  <w:marBottom w:val="0"/>
                  <w:divBdr>
                    <w:top w:val="none" w:sz="0" w:space="0" w:color="auto"/>
                    <w:left w:val="none" w:sz="0" w:space="0" w:color="auto"/>
                    <w:bottom w:val="none" w:sz="0" w:space="0" w:color="auto"/>
                    <w:right w:val="none" w:sz="0" w:space="0" w:color="auto"/>
                  </w:divBdr>
                </w:div>
              </w:divsChild>
            </w:div>
            <w:div w:id="728961998">
              <w:marLeft w:val="0"/>
              <w:marRight w:val="0"/>
              <w:marTop w:val="0"/>
              <w:marBottom w:val="0"/>
              <w:divBdr>
                <w:top w:val="none" w:sz="0" w:space="0" w:color="auto"/>
                <w:left w:val="none" w:sz="0" w:space="0" w:color="auto"/>
                <w:bottom w:val="none" w:sz="0" w:space="0" w:color="auto"/>
                <w:right w:val="none" w:sz="0" w:space="0" w:color="auto"/>
              </w:divBdr>
              <w:divsChild>
                <w:div w:id="2033411227">
                  <w:marLeft w:val="0"/>
                  <w:marRight w:val="0"/>
                  <w:marTop w:val="0"/>
                  <w:marBottom w:val="0"/>
                  <w:divBdr>
                    <w:top w:val="none" w:sz="0" w:space="0" w:color="auto"/>
                    <w:left w:val="none" w:sz="0" w:space="0" w:color="auto"/>
                    <w:bottom w:val="none" w:sz="0" w:space="0" w:color="auto"/>
                    <w:right w:val="none" w:sz="0" w:space="0" w:color="auto"/>
                  </w:divBdr>
                </w:div>
              </w:divsChild>
            </w:div>
            <w:div w:id="814686846">
              <w:marLeft w:val="0"/>
              <w:marRight w:val="0"/>
              <w:marTop w:val="0"/>
              <w:marBottom w:val="0"/>
              <w:divBdr>
                <w:top w:val="none" w:sz="0" w:space="0" w:color="auto"/>
                <w:left w:val="none" w:sz="0" w:space="0" w:color="auto"/>
                <w:bottom w:val="none" w:sz="0" w:space="0" w:color="auto"/>
                <w:right w:val="none" w:sz="0" w:space="0" w:color="auto"/>
              </w:divBdr>
              <w:divsChild>
                <w:div w:id="1631939356">
                  <w:marLeft w:val="0"/>
                  <w:marRight w:val="0"/>
                  <w:marTop w:val="0"/>
                  <w:marBottom w:val="0"/>
                  <w:divBdr>
                    <w:top w:val="none" w:sz="0" w:space="0" w:color="auto"/>
                    <w:left w:val="none" w:sz="0" w:space="0" w:color="auto"/>
                    <w:bottom w:val="none" w:sz="0" w:space="0" w:color="auto"/>
                    <w:right w:val="none" w:sz="0" w:space="0" w:color="auto"/>
                  </w:divBdr>
                </w:div>
              </w:divsChild>
            </w:div>
            <w:div w:id="853879613">
              <w:marLeft w:val="0"/>
              <w:marRight w:val="0"/>
              <w:marTop w:val="0"/>
              <w:marBottom w:val="0"/>
              <w:divBdr>
                <w:top w:val="none" w:sz="0" w:space="0" w:color="auto"/>
                <w:left w:val="none" w:sz="0" w:space="0" w:color="auto"/>
                <w:bottom w:val="none" w:sz="0" w:space="0" w:color="auto"/>
                <w:right w:val="none" w:sz="0" w:space="0" w:color="auto"/>
              </w:divBdr>
              <w:divsChild>
                <w:div w:id="738405617">
                  <w:marLeft w:val="0"/>
                  <w:marRight w:val="0"/>
                  <w:marTop w:val="0"/>
                  <w:marBottom w:val="0"/>
                  <w:divBdr>
                    <w:top w:val="none" w:sz="0" w:space="0" w:color="auto"/>
                    <w:left w:val="none" w:sz="0" w:space="0" w:color="auto"/>
                    <w:bottom w:val="none" w:sz="0" w:space="0" w:color="auto"/>
                    <w:right w:val="none" w:sz="0" w:space="0" w:color="auto"/>
                  </w:divBdr>
                </w:div>
              </w:divsChild>
            </w:div>
            <w:div w:id="937517688">
              <w:marLeft w:val="0"/>
              <w:marRight w:val="0"/>
              <w:marTop w:val="0"/>
              <w:marBottom w:val="0"/>
              <w:divBdr>
                <w:top w:val="none" w:sz="0" w:space="0" w:color="auto"/>
                <w:left w:val="none" w:sz="0" w:space="0" w:color="auto"/>
                <w:bottom w:val="none" w:sz="0" w:space="0" w:color="auto"/>
                <w:right w:val="none" w:sz="0" w:space="0" w:color="auto"/>
              </w:divBdr>
              <w:divsChild>
                <w:div w:id="596602749">
                  <w:marLeft w:val="0"/>
                  <w:marRight w:val="0"/>
                  <w:marTop w:val="0"/>
                  <w:marBottom w:val="0"/>
                  <w:divBdr>
                    <w:top w:val="none" w:sz="0" w:space="0" w:color="auto"/>
                    <w:left w:val="none" w:sz="0" w:space="0" w:color="auto"/>
                    <w:bottom w:val="none" w:sz="0" w:space="0" w:color="auto"/>
                    <w:right w:val="none" w:sz="0" w:space="0" w:color="auto"/>
                  </w:divBdr>
                </w:div>
              </w:divsChild>
            </w:div>
            <w:div w:id="1157696117">
              <w:marLeft w:val="0"/>
              <w:marRight w:val="0"/>
              <w:marTop w:val="0"/>
              <w:marBottom w:val="0"/>
              <w:divBdr>
                <w:top w:val="none" w:sz="0" w:space="0" w:color="auto"/>
                <w:left w:val="none" w:sz="0" w:space="0" w:color="auto"/>
                <w:bottom w:val="none" w:sz="0" w:space="0" w:color="auto"/>
                <w:right w:val="none" w:sz="0" w:space="0" w:color="auto"/>
              </w:divBdr>
              <w:divsChild>
                <w:div w:id="1116095785">
                  <w:marLeft w:val="0"/>
                  <w:marRight w:val="0"/>
                  <w:marTop w:val="0"/>
                  <w:marBottom w:val="0"/>
                  <w:divBdr>
                    <w:top w:val="none" w:sz="0" w:space="0" w:color="auto"/>
                    <w:left w:val="none" w:sz="0" w:space="0" w:color="auto"/>
                    <w:bottom w:val="none" w:sz="0" w:space="0" w:color="auto"/>
                    <w:right w:val="none" w:sz="0" w:space="0" w:color="auto"/>
                  </w:divBdr>
                </w:div>
              </w:divsChild>
            </w:div>
            <w:div w:id="1158616376">
              <w:marLeft w:val="0"/>
              <w:marRight w:val="0"/>
              <w:marTop w:val="0"/>
              <w:marBottom w:val="0"/>
              <w:divBdr>
                <w:top w:val="none" w:sz="0" w:space="0" w:color="auto"/>
                <w:left w:val="none" w:sz="0" w:space="0" w:color="auto"/>
                <w:bottom w:val="none" w:sz="0" w:space="0" w:color="auto"/>
                <w:right w:val="none" w:sz="0" w:space="0" w:color="auto"/>
              </w:divBdr>
              <w:divsChild>
                <w:div w:id="299188417">
                  <w:marLeft w:val="0"/>
                  <w:marRight w:val="0"/>
                  <w:marTop w:val="0"/>
                  <w:marBottom w:val="0"/>
                  <w:divBdr>
                    <w:top w:val="none" w:sz="0" w:space="0" w:color="auto"/>
                    <w:left w:val="none" w:sz="0" w:space="0" w:color="auto"/>
                    <w:bottom w:val="none" w:sz="0" w:space="0" w:color="auto"/>
                    <w:right w:val="none" w:sz="0" w:space="0" w:color="auto"/>
                  </w:divBdr>
                </w:div>
              </w:divsChild>
            </w:div>
            <w:div w:id="1417440907">
              <w:marLeft w:val="0"/>
              <w:marRight w:val="0"/>
              <w:marTop w:val="0"/>
              <w:marBottom w:val="0"/>
              <w:divBdr>
                <w:top w:val="none" w:sz="0" w:space="0" w:color="auto"/>
                <w:left w:val="none" w:sz="0" w:space="0" w:color="auto"/>
                <w:bottom w:val="none" w:sz="0" w:space="0" w:color="auto"/>
                <w:right w:val="none" w:sz="0" w:space="0" w:color="auto"/>
              </w:divBdr>
              <w:divsChild>
                <w:div w:id="1467505245">
                  <w:marLeft w:val="0"/>
                  <w:marRight w:val="0"/>
                  <w:marTop w:val="0"/>
                  <w:marBottom w:val="0"/>
                  <w:divBdr>
                    <w:top w:val="none" w:sz="0" w:space="0" w:color="auto"/>
                    <w:left w:val="none" w:sz="0" w:space="0" w:color="auto"/>
                    <w:bottom w:val="none" w:sz="0" w:space="0" w:color="auto"/>
                    <w:right w:val="none" w:sz="0" w:space="0" w:color="auto"/>
                  </w:divBdr>
                </w:div>
              </w:divsChild>
            </w:div>
            <w:div w:id="1463571040">
              <w:marLeft w:val="0"/>
              <w:marRight w:val="0"/>
              <w:marTop w:val="0"/>
              <w:marBottom w:val="0"/>
              <w:divBdr>
                <w:top w:val="none" w:sz="0" w:space="0" w:color="auto"/>
                <w:left w:val="none" w:sz="0" w:space="0" w:color="auto"/>
                <w:bottom w:val="none" w:sz="0" w:space="0" w:color="auto"/>
                <w:right w:val="none" w:sz="0" w:space="0" w:color="auto"/>
              </w:divBdr>
              <w:divsChild>
                <w:div w:id="1666274726">
                  <w:marLeft w:val="0"/>
                  <w:marRight w:val="0"/>
                  <w:marTop w:val="0"/>
                  <w:marBottom w:val="0"/>
                  <w:divBdr>
                    <w:top w:val="none" w:sz="0" w:space="0" w:color="auto"/>
                    <w:left w:val="none" w:sz="0" w:space="0" w:color="auto"/>
                    <w:bottom w:val="none" w:sz="0" w:space="0" w:color="auto"/>
                    <w:right w:val="none" w:sz="0" w:space="0" w:color="auto"/>
                  </w:divBdr>
                </w:div>
              </w:divsChild>
            </w:div>
            <w:div w:id="1562132530">
              <w:marLeft w:val="0"/>
              <w:marRight w:val="0"/>
              <w:marTop w:val="0"/>
              <w:marBottom w:val="0"/>
              <w:divBdr>
                <w:top w:val="none" w:sz="0" w:space="0" w:color="auto"/>
                <w:left w:val="none" w:sz="0" w:space="0" w:color="auto"/>
                <w:bottom w:val="none" w:sz="0" w:space="0" w:color="auto"/>
                <w:right w:val="none" w:sz="0" w:space="0" w:color="auto"/>
              </w:divBdr>
              <w:divsChild>
                <w:div w:id="1246722432">
                  <w:marLeft w:val="0"/>
                  <w:marRight w:val="0"/>
                  <w:marTop w:val="0"/>
                  <w:marBottom w:val="0"/>
                  <w:divBdr>
                    <w:top w:val="none" w:sz="0" w:space="0" w:color="auto"/>
                    <w:left w:val="none" w:sz="0" w:space="0" w:color="auto"/>
                    <w:bottom w:val="none" w:sz="0" w:space="0" w:color="auto"/>
                    <w:right w:val="none" w:sz="0" w:space="0" w:color="auto"/>
                  </w:divBdr>
                </w:div>
              </w:divsChild>
            </w:div>
            <w:div w:id="1577085865">
              <w:marLeft w:val="0"/>
              <w:marRight w:val="0"/>
              <w:marTop w:val="0"/>
              <w:marBottom w:val="0"/>
              <w:divBdr>
                <w:top w:val="none" w:sz="0" w:space="0" w:color="auto"/>
                <w:left w:val="none" w:sz="0" w:space="0" w:color="auto"/>
                <w:bottom w:val="none" w:sz="0" w:space="0" w:color="auto"/>
                <w:right w:val="none" w:sz="0" w:space="0" w:color="auto"/>
              </w:divBdr>
              <w:divsChild>
                <w:div w:id="1733501980">
                  <w:marLeft w:val="0"/>
                  <w:marRight w:val="0"/>
                  <w:marTop w:val="0"/>
                  <w:marBottom w:val="0"/>
                  <w:divBdr>
                    <w:top w:val="none" w:sz="0" w:space="0" w:color="auto"/>
                    <w:left w:val="none" w:sz="0" w:space="0" w:color="auto"/>
                    <w:bottom w:val="none" w:sz="0" w:space="0" w:color="auto"/>
                    <w:right w:val="none" w:sz="0" w:space="0" w:color="auto"/>
                  </w:divBdr>
                </w:div>
              </w:divsChild>
            </w:div>
            <w:div w:id="1714303565">
              <w:marLeft w:val="0"/>
              <w:marRight w:val="0"/>
              <w:marTop w:val="0"/>
              <w:marBottom w:val="0"/>
              <w:divBdr>
                <w:top w:val="none" w:sz="0" w:space="0" w:color="auto"/>
                <w:left w:val="none" w:sz="0" w:space="0" w:color="auto"/>
                <w:bottom w:val="none" w:sz="0" w:space="0" w:color="auto"/>
                <w:right w:val="none" w:sz="0" w:space="0" w:color="auto"/>
              </w:divBdr>
              <w:divsChild>
                <w:div w:id="764886560">
                  <w:marLeft w:val="0"/>
                  <w:marRight w:val="0"/>
                  <w:marTop w:val="0"/>
                  <w:marBottom w:val="0"/>
                  <w:divBdr>
                    <w:top w:val="none" w:sz="0" w:space="0" w:color="auto"/>
                    <w:left w:val="none" w:sz="0" w:space="0" w:color="auto"/>
                    <w:bottom w:val="none" w:sz="0" w:space="0" w:color="auto"/>
                    <w:right w:val="none" w:sz="0" w:space="0" w:color="auto"/>
                  </w:divBdr>
                </w:div>
              </w:divsChild>
            </w:div>
            <w:div w:id="1769814973">
              <w:marLeft w:val="0"/>
              <w:marRight w:val="0"/>
              <w:marTop w:val="0"/>
              <w:marBottom w:val="0"/>
              <w:divBdr>
                <w:top w:val="none" w:sz="0" w:space="0" w:color="auto"/>
                <w:left w:val="none" w:sz="0" w:space="0" w:color="auto"/>
                <w:bottom w:val="none" w:sz="0" w:space="0" w:color="auto"/>
                <w:right w:val="none" w:sz="0" w:space="0" w:color="auto"/>
              </w:divBdr>
              <w:divsChild>
                <w:div w:id="1643386417">
                  <w:marLeft w:val="0"/>
                  <w:marRight w:val="0"/>
                  <w:marTop w:val="0"/>
                  <w:marBottom w:val="0"/>
                  <w:divBdr>
                    <w:top w:val="none" w:sz="0" w:space="0" w:color="auto"/>
                    <w:left w:val="none" w:sz="0" w:space="0" w:color="auto"/>
                    <w:bottom w:val="none" w:sz="0" w:space="0" w:color="auto"/>
                    <w:right w:val="none" w:sz="0" w:space="0" w:color="auto"/>
                  </w:divBdr>
                </w:div>
              </w:divsChild>
            </w:div>
            <w:div w:id="1841890741">
              <w:marLeft w:val="0"/>
              <w:marRight w:val="0"/>
              <w:marTop w:val="0"/>
              <w:marBottom w:val="0"/>
              <w:divBdr>
                <w:top w:val="none" w:sz="0" w:space="0" w:color="auto"/>
                <w:left w:val="none" w:sz="0" w:space="0" w:color="auto"/>
                <w:bottom w:val="none" w:sz="0" w:space="0" w:color="auto"/>
                <w:right w:val="none" w:sz="0" w:space="0" w:color="auto"/>
              </w:divBdr>
              <w:divsChild>
                <w:div w:id="95448438">
                  <w:marLeft w:val="0"/>
                  <w:marRight w:val="0"/>
                  <w:marTop w:val="0"/>
                  <w:marBottom w:val="0"/>
                  <w:divBdr>
                    <w:top w:val="none" w:sz="0" w:space="0" w:color="auto"/>
                    <w:left w:val="none" w:sz="0" w:space="0" w:color="auto"/>
                    <w:bottom w:val="none" w:sz="0" w:space="0" w:color="auto"/>
                    <w:right w:val="none" w:sz="0" w:space="0" w:color="auto"/>
                  </w:divBdr>
                </w:div>
                <w:div w:id="100105008">
                  <w:marLeft w:val="0"/>
                  <w:marRight w:val="0"/>
                  <w:marTop w:val="0"/>
                  <w:marBottom w:val="0"/>
                  <w:divBdr>
                    <w:top w:val="none" w:sz="0" w:space="0" w:color="auto"/>
                    <w:left w:val="none" w:sz="0" w:space="0" w:color="auto"/>
                    <w:bottom w:val="none" w:sz="0" w:space="0" w:color="auto"/>
                    <w:right w:val="none" w:sz="0" w:space="0" w:color="auto"/>
                  </w:divBdr>
                </w:div>
              </w:divsChild>
            </w:div>
            <w:div w:id="2003121879">
              <w:marLeft w:val="0"/>
              <w:marRight w:val="0"/>
              <w:marTop w:val="0"/>
              <w:marBottom w:val="0"/>
              <w:divBdr>
                <w:top w:val="none" w:sz="0" w:space="0" w:color="auto"/>
                <w:left w:val="none" w:sz="0" w:space="0" w:color="auto"/>
                <w:bottom w:val="none" w:sz="0" w:space="0" w:color="auto"/>
                <w:right w:val="none" w:sz="0" w:space="0" w:color="auto"/>
              </w:divBdr>
              <w:divsChild>
                <w:div w:id="1821192222">
                  <w:marLeft w:val="0"/>
                  <w:marRight w:val="0"/>
                  <w:marTop w:val="0"/>
                  <w:marBottom w:val="0"/>
                  <w:divBdr>
                    <w:top w:val="none" w:sz="0" w:space="0" w:color="auto"/>
                    <w:left w:val="none" w:sz="0" w:space="0" w:color="auto"/>
                    <w:bottom w:val="none" w:sz="0" w:space="0" w:color="auto"/>
                    <w:right w:val="none" w:sz="0" w:space="0" w:color="auto"/>
                  </w:divBdr>
                </w:div>
              </w:divsChild>
            </w:div>
            <w:div w:id="2100366034">
              <w:marLeft w:val="0"/>
              <w:marRight w:val="0"/>
              <w:marTop w:val="0"/>
              <w:marBottom w:val="0"/>
              <w:divBdr>
                <w:top w:val="none" w:sz="0" w:space="0" w:color="auto"/>
                <w:left w:val="none" w:sz="0" w:space="0" w:color="auto"/>
                <w:bottom w:val="none" w:sz="0" w:space="0" w:color="auto"/>
                <w:right w:val="none" w:sz="0" w:space="0" w:color="auto"/>
              </w:divBdr>
              <w:divsChild>
                <w:div w:id="12114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54">
          <w:marLeft w:val="0"/>
          <w:marRight w:val="0"/>
          <w:marTop w:val="0"/>
          <w:marBottom w:val="0"/>
          <w:divBdr>
            <w:top w:val="none" w:sz="0" w:space="0" w:color="auto"/>
            <w:left w:val="none" w:sz="0" w:space="0" w:color="auto"/>
            <w:bottom w:val="none" w:sz="0" w:space="0" w:color="auto"/>
            <w:right w:val="none" w:sz="0" w:space="0" w:color="auto"/>
          </w:divBdr>
          <w:divsChild>
            <w:div w:id="724835325">
              <w:marLeft w:val="0"/>
              <w:marRight w:val="0"/>
              <w:marTop w:val="0"/>
              <w:marBottom w:val="0"/>
              <w:divBdr>
                <w:top w:val="none" w:sz="0" w:space="0" w:color="auto"/>
                <w:left w:val="none" w:sz="0" w:space="0" w:color="auto"/>
                <w:bottom w:val="none" w:sz="0" w:space="0" w:color="auto"/>
                <w:right w:val="none" w:sz="0" w:space="0" w:color="auto"/>
              </w:divBdr>
              <w:divsChild>
                <w:div w:id="10382174">
                  <w:marLeft w:val="0"/>
                  <w:marRight w:val="0"/>
                  <w:marTop w:val="0"/>
                  <w:marBottom w:val="0"/>
                  <w:divBdr>
                    <w:top w:val="none" w:sz="0" w:space="0" w:color="auto"/>
                    <w:left w:val="none" w:sz="0" w:space="0" w:color="auto"/>
                    <w:bottom w:val="none" w:sz="0" w:space="0" w:color="auto"/>
                    <w:right w:val="none" w:sz="0" w:space="0" w:color="auto"/>
                  </w:divBdr>
                  <w:divsChild>
                    <w:div w:id="600181307">
                      <w:marLeft w:val="0"/>
                      <w:marRight w:val="0"/>
                      <w:marTop w:val="0"/>
                      <w:marBottom w:val="0"/>
                      <w:divBdr>
                        <w:top w:val="none" w:sz="0" w:space="0" w:color="auto"/>
                        <w:left w:val="none" w:sz="0" w:space="0" w:color="auto"/>
                        <w:bottom w:val="none" w:sz="0" w:space="0" w:color="auto"/>
                        <w:right w:val="none" w:sz="0" w:space="0" w:color="auto"/>
                      </w:divBdr>
                    </w:div>
                  </w:divsChild>
                </w:div>
                <w:div w:id="317079037">
                  <w:marLeft w:val="0"/>
                  <w:marRight w:val="0"/>
                  <w:marTop w:val="0"/>
                  <w:marBottom w:val="0"/>
                  <w:divBdr>
                    <w:top w:val="none" w:sz="0" w:space="0" w:color="auto"/>
                    <w:left w:val="none" w:sz="0" w:space="0" w:color="auto"/>
                    <w:bottom w:val="none" w:sz="0" w:space="0" w:color="auto"/>
                    <w:right w:val="none" w:sz="0" w:space="0" w:color="auto"/>
                  </w:divBdr>
                  <w:divsChild>
                    <w:div w:id="299502586">
                      <w:marLeft w:val="0"/>
                      <w:marRight w:val="0"/>
                      <w:marTop w:val="0"/>
                      <w:marBottom w:val="0"/>
                      <w:divBdr>
                        <w:top w:val="none" w:sz="0" w:space="0" w:color="auto"/>
                        <w:left w:val="none" w:sz="0" w:space="0" w:color="auto"/>
                        <w:bottom w:val="none" w:sz="0" w:space="0" w:color="auto"/>
                        <w:right w:val="none" w:sz="0" w:space="0" w:color="auto"/>
                      </w:divBdr>
                    </w:div>
                  </w:divsChild>
                </w:div>
                <w:div w:id="759066557">
                  <w:marLeft w:val="0"/>
                  <w:marRight w:val="0"/>
                  <w:marTop w:val="0"/>
                  <w:marBottom w:val="0"/>
                  <w:divBdr>
                    <w:top w:val="none" w:sz="0" w:space="0" w:color="auto"/>
                    <w:left w:val="none" w:sz="0" w:space="0" w:color="auto"/>
                    <w:bottom w:val="none" w:sz="0" w:space="0" w:color="auto"/>
                    <w:right w:val="none" w:sz="0" w:space="0" w:color="auto"/>
                  </w:divBdr>
                  <w:divsChild>
                    <w:div w:id="815755893">
                      <w:marLeft w:val="0"/>
                      <w:marRight w:val="0"/>
                      <w:marTop w:val="0"/>
                      <w:marBottom w:val="0"/>
                      <w:divBdr>
                        <w:top w:val="none" w:sz="0" w:space="0" w:color="auto"/>
                        <w:left w:val="none" w:sz="0" w:space="0" w:color="auto"/>
                        <w:bottom w:val="none" w:sz="0" w:space="0" w:color="auto"/>
                        <w:right w:val="none" w:sz="0" w:space="0" w:color="auto"/>
                      </w:divBdr>
                    </w:div>
                  </w:divsChild>
                </w:div>
                <w:div w:id="789663247">
                  <w:marLeft w:val="0"/>
                  <w:marRight w:val="0"/>
                  <w:marTop w:val="0"/>
                  <w:marBottom w:val="0"/>
                  <w:divBdr>
                    <w:top w:val="none" w:sz="0" w:space="0" w:color="auto"/>
                    <w:left w:val="none" w:sz="0" w:space="0" w:color="auto"/>
                    <w:bottom w:val="none" w:sz="0" w:space="0" w:color="auto"/>
                    <w:right w:val="none" w:sz="0" w:space="0" w:color="auto"/>
                  </w:divBdr>
                  <w:divsChild>
                    <w:div w:id="1021710225">
                      <w:marLeft w:val="0"/>
                      <w:marRight w:val="0"/>
                      <w:marTop w:val="0"/>
                      <w:marBottom w:val="0"/>
                      <w:divBdr>
                        <w:top w:val="none" w:sz="0" w:space="0" w:color="auto"/>
                        <w:left w:val="none" w:sz="0" w:space="0" w:color="auto"/>
                        <w:bottom w:val="none" w:sz="0" w:space="0" w:color="auto"/>
                        <w:right w:val="none" w:sz="0" w:space="0" w:color="auto"/>
                      </w:divBdr>
                    </w:div>
                  </w:divsChild>
                </w:div>
                <w:div w:id="867916400">
                  <w:marLeft w:val="0"/>
                  <w:marRight w:val="0"/>
                  <w:marTop w:val="0"/>
                  <w:marBottom w:val="0"/>
                  <w:divBdr>
                    <w:top w:val="none" w:sz="0" w:space="0" w:color="auto"/>
                    <w:left w:val="none" w:sz="0" w:space="0" w:color="auto"/>
                    <w:bottom w:val="none" w:sz="0" w:space="0" w:color="auto"/>
                    <w:right w:val="none" w:sz="0" w:space="0" w:color="auto"/>
                  </w:divBdr>
                  <w:divsChild>
                    <w:div w:id="22874874">
                      <w:marLeft w:val="0"/>
                      <w:marRight w:val="0"/>
                      <w:marTop w:val="0"/>
                      <w:marBottom w:val="0"/>
                      <w:divBdr>
                        <w:top w:val="none" w:sz="0" w:space="0" w:color="auto"/>
                        <w:left w:val="none" w:sz="0" w:space="0" w:color="auto"/>
                        <w:bottom w:val="none" w:sz="0" w:space="0" w:color="auto"/>
                        <w:right w:val="none" w:sz="0" w:space="0" w:color="auto"/>
                      </w:divBdr>
                    </w:div>
                    <w:div w:id="309212360">
                      <w:marLeft w:val="0"/>
                      <w:marRight w:val="0"/>
                      <w:marTop w:val="0"/>
                      <w:marBottom w:val="0"/>
                      <w:divBdr>
                        <w:top w:val="none" w:sz="0" w:space="0" w:color="auto"/>
                        <w:left w:val="none" w:sz="0" w:space="0" w:color="auto"/>
                        <w:bottom w:val="none" w:sz="0" w:space="0" w:color="auto"/>
                        <w:right w:val="none" w:sz="0" w:space="0" w:color="auto"/>
                      </w:divBdr>
                    </w:div>
                  </w:divsChild>
                </w:div>
                <w:div w:id="1145705098">
                  <w:marLeft w:val="0"/>
                  <w:marRight w:val="0"/>
                  <w:marTop w:val="0"/>
                  <w:marBottom w:val="0"/>
                  <w:divBdr>
                    <w:top w:val="none" w:sz="0" w:space="0" w:color="auto"/>
                    <w:left w:val="none" w:sz="0" w:space="0" w:color="auto"/>
                    <w:bottom w:val="none" w:sz="0" w:space="0" w:color="auto"/>
                    <w:right w:val="none" w:sz="0" w:space="0" w:color="auto"/>
                  </w:divBdr>
                  <w:divsChild>
                    <w:div w:id="73941625">
                      <w:marLeft w:val="0"/>
                      <w:marRight w:val="0"/>
                      <w:marTop w:val="0"/>
                      <w:marBottom w:val="0"/>
                      <w:divBdr>
                        <w:top w:val="none" w:sz="0" w:space="0" w:color="auto"/>
                        <w:left w:val="none" w:sz="0" w:space="0" w:color="auto"/>
                        <w:bottom w:val="none" w:sz="0" w:space="0" w:color="auto"/>
                        <w:right w:val="none" w:sz="0" w:space="0" w:color="auto"/>
                      </w:divBdr>
                    </w:div>
                  </w:divsChild>
                </w:div>
                <w:div w:id="1153571428">
                  <w:marLeft w:val="0"/>
                  <w:marRight w:val="0"/>
                  <w:marTop w:val="0"/>
                  <w:marBottom w:val="0"/>
                  <w:divBdr>
                    <w:top w:val="none" w:sz="0" w:space="0" w:color="auto"/>
                    <w:left w:val="none" w:sz="0" w:space="0" w:color="auto"/>
                    <w:bottom w:val="none" w:sz="0" w:space="0" w:color="auto"/>
                    <w:right w:val="none" w:sz="0" w:space="0" w:color="auto"/>
                  </w:divBdr>
                  <w:divsChild>
                    <w:div w:id="1328365467">
                      <w:marLeft w:val="0"/>
                      <w:marRight w:val="0"/>
                      <w:marTop w:val="0"/>
                      <w:marBottom w:val="0"/>
                      <w:divBdr>
                        <w:top w:val="none" w:sz="0" w:space="0" w:color="auto"/>
                        <w:left w:val="none" w:sz="0" w:space="0" w:color="auto"/>
                        <w:bottom w:val="none" w:sz="0" w:space="0" w:color="auto"/>
                        <w:right w:val="none" w:sz="0" w:space="0" w:color="auto"/>
                      </w:divBdr>
                    </w:div>
                  </w:divsChild>
                </w:div>
                <w:div w:id="1741561251">
                  <w:marLeft w:val="0"/>
                  <w:marRight w:val="0"/>
                  <w:marTop w:val="0"/>
                  <w:marBottom w:val="0"/>
                  <w:divBdr>
                    <w:top w:val="none" w:sz="0" w:space="0" w:color="auto"/>
                    <w:left w:val="none" w:sz="0" w:space="0" w:color="auto"/>
                    <w:bottom w:val="none" w:sz="0" w:space="0" w:color="auto"/>
                    <w:right w:val="none" w:sz="0" w:space="0" w:color="auto"/>
                  </w:divBdr>
                  <w:divsChild>
                    <w:div w:id="15427517">
                      <w:marLeft w:val="0"/>
                      <w:marRight w:val="0"/>
                      <w:marTop w:val="0"/>
                      <w:marBottom w:val="0"/>
                      <w:divBdr>
                        <w:top w:val="none" w:sz="0" w:space="0" w:color="auto"/>
                        <w:left w:val="none" w:sz="0" w:space="0" w:color="auto"/>
                        <w:bottom w:val="none" w:sz="0" w:space="0" w:color="auto"/>
                        <w:right w:val="none" w:sz="0" w:space="0" w:color="auto"/>
                      </w:divBdr>
                      <w:divsChild>
                        <w:div w:id="315040173">
                          <w:marLeft w:val="0"/>
                          <w:marRight w:val="0"/>
                          <w:marTop w:val="0"/>
                          <w:marBottom w:val="0"/>
                          <w:divBdr>
                            <w:top w:val="none" w:sz="0" w:space="0" w:color="auto"/>
                            <w:left w:val="none" w:sz="0" w:space="0" w:color="auto"/>
                            <w:bottom w:val="none" w:sz="0" w:space="0" w:color="auto"/>
                            <w:right w:val="none" w:sz="0" w:space="0" w:color="auto"/>
                          </w:divBdr>
                        </w:div>
                      </w:divsChild>
                    </w:div>
                    <w:div w:id="19162232">
                      <w:marLeft w:val="0"/>
                      <w:marRight w:val="0"/>
                      <w:marTop w:val="0"/>
                      <w:marBottom w:val="0"/>
                      <w:divBdr>
                        <w:top w:val="none" w:sz="0" w:space="0" w:color="auto"/>
                        <w:left w:val="none" w:sz="0" w:space="0" w:color="auto"/>
                        <w:bottom w:val="none" w:sz="0" w:space="0" w:color="auto"/>
                        <w:right w:val="none" w:sz="0" w:space="0" w:color="auto"/>
                      </w:divBdr>
                      <w:divsChild>
                        <w:div w:id="1715346711">
                          <w:marLeft w:val="0"/>
                          <w:marRight w:val="0"/>
                          <w:marTop w:val="0"/>
                          <w:marBottom w:val="0"/>
                          <w:divBdr>
                            <w:top w:val="none" w:sz="0" w:space="0" w:color="auto"/>
                            <w:left w:val="none" w:sz="0" w:space="0" w:color="auto"/>
                            <w:bottom w:val="none" w:sz="0" w:space="0" w:color="auto"/>
                            <w:right w:val="none" w:sz="0" w:space="0" w:color="auto"/>
                          </w:divBdr>
                        </w:div>
                      </w:divsChild>
                    </w:div>
                    <w:div w:id="205799873">
                      <w:marLeft w:val="0"/>
                      <w:marRight w:val="0"/>
                      <w:marTop w:val="0"/>
                      <w:marBottom w:val="0"/>
                      <w:divBdr>
                        <w:top w:val="none" w:sz="0" w:space="0" w:color="auto"/>
                        <w:left w:val="none" w:sz="0" w:space="0" w:color="auto"/>
                        <w:bottom w:val="none" w:sz="0" w:space="0" w:color="auto"/>
                        <w:right w:val="none" w:sz="0" w:space="0" w:color="auto"/>
                      </w:divBdr>
                      <w:divsChild>
                        <w:div w:id="1796870479">
                          <w:marLeft w:val="0"/>
                          <w:marRight w:val="0"/>
                          <w:marTop w:val="0"/>
                          <w:marBottom w:val="0"/>
                          <w:divBdr>
                            <w:top w:val="none" w:sz="0" w:space="0" w:color="auto"/>
                            <w:left w:val="none" w:sz="0" w:space="0" w:color="auto"/>
                            <w:bottom w:val="none" w:sz="0" w:space="0" w:color="auto"/>
                            <w:right w:val="none" w:sz="0" w:space="0" w:color="auto"/>
                          </w:divBdr>
                        </w:div>
                      </w:divsChild>
                    </w:div>
                    <w:div w:id="233976495">
                      <w:marLeft w:val="0"/>
                      <w:marRight w:val="0"/>
                      <w:marTop w:val="0"/>
                      <w:marBottom w:val="0"/>
                      <w:divBdr>
                        <w:top w:val="none" w:sz="0" w:space="0" w:color="auto"/>
                        <w:left w:val="none" w:sz="0" w:space="0" w:color="auto"/>
                        <w:bottom w:val="none" w:sz="0" w:space="0" w:color="auto"/>
                        <w:right w:val="none" w:sz="0" w:space="0" w:color="auto"/>
                      </w:divBdr>
                      <w:divsChild>
                        <w:div w:id="1807820399">
                          <w:marLeft w:val="0"/>
                          <w:marRight w:val="0"/>
                          <w:marTop w:val="0"/>
                          <w:marBottom w:val="0"/>
                          <w:divBdr>
                            <w:top w:val="none" w:sz="0" w:space="0" w:color="auto"/>
                            <w:left w:val="none" w:sz="0" w:space="0" w:color="auto"/>
                            <w:bottom w:val="none" w:sz="0" w:space="0" w:color="auto"/>
                            <w:right w:val="none" w:sz="0" w:space="0" w:color="auto"/>
                          </w:divBdr>
                        </w:div>
                      </w:divsChild>
                    </w:div>
                    <w:div w:id="253560431">
                      <w:marLeft w:val="0"/>
                      <w:marRight w:val="0"/>
                      <w:marTop w:val="0"/>
                      <w:marBottom w:val="0"/>
                      <w:divBdr>
                        <w:top w:val="none" w:sz="0" w:space="0" w:color="auto"/>
                        <w:left w:val="none" w:sz="0" w:space="0" w:color="auto"/>
                        <w:bottom w:val="none" w:sz="0" w:space="0" w:color="auto"/>
                        <w:right w:val="none" w:sz="0" w:space="0" w:color="auto"/>
                      </w:divBdr>
                      <w:divsChild>
                        <w:div w:id="1588998908">
                          <w:marLeft w:val="0"/>
                          <w:marRight w:val="0"/>
                          <w:marTop w:val="0"/>
                          <w:marBottom w:val="0"/>
                          <w:divBdr>
                            <w:top w:val="none" w:sz="0" w:space="0" w:color="auto"/>
                            <w:left w:val="none" w:sz="0" w:space="0" w:color="auto"/>
                            <w:bottom w:val="none" w:sz="0" w:space="0" w:color="auto"/>
                            <w:right w:val="none" w:sz="0" w:space="0" w:color="auto"/>
                          </w:divBdr>
                        </w:div>
                      </w:divsChild>
                    </w:div>
                    <w:div w:id="406730744">
                      <w:marLeft w:val="0"/>
                      <w:marRight w:val="0"/>
                      <w:marTop w:val="0"/>
                      <w:marBottom w:val="0"/>
                      <w:divBdr>
                        <w:top w:val="none" w:sz="0" w:space="0" w:color="auto"/>
                        <w:left w:val="none" w:sz="0" w:space="0" w:color="auto"/>
                        <w:bottom w:val="none" w:sz="0" w:space="0" w:color="auto"/>
                        <w:right w:val="none" w:sz="0" w:space="0" w:color="auto"/>
                      </w:divBdr>
                      <w:divsChild>
                        <w:div w:id="1130904594">
                          <w:marLeft w:val="0"/>
                          <w:marRight w:val="0"/>
                          <w:marTop w:val="0"/>
                          <w:marBottom w:val="0"/>
                          <w:divBdr>
                            <w:top w:val="none" w:sz="0" w:space="0" w:color="auto"/>
                            <w:left w:val="none" w:sz="0" w:space="0" w:color="auto"/>
                            <w:bottom w:val="none" w:sz="0" w:space="0" w:color="auto"/>
                            <w:right w:val="none" w:sz="0" w:space="0" w:color="auto"/>
                          </w:divBdr>
                        </w:div>
                      </w:divsChild>
                    </w:div>
                    <w:div w:id="552735571">
                      <w:marLeft w:val="0"/>
                      <w:marRight w:val="0"/>
                      <w:marTop w:val="0"/>
                      <w:marBottom w:val="0"/>
                      <w:divBdr>
                        <w:top w:val="none" w:sz="0" w:space="0" w:color="auto"/>
                        <w:left w:val="none" w:sz="0" w:space="0" w:color="auto"/>
                        <w:bottom w:val="none" w:sz="0" w:space="0" w:color="auto"/>
                        <w:right w:val="none" w:sz="0" w:space="0" w:color="auto"/>
                      </w:divBdr>
                      <w:divsChild>
                        <w:div w:id="637803746">
                          <w:marLeft w:val="0"/>
                          <w:marRight w:val="0"/>
                          <w:marTop w:val="0"/>
                          <w:marBottom w:val="0"/>
                          <w:divBdr>
                            <w:top w:val="none" w:sz="0" w:space="0" w:color="auto"/>
                            <w:left w:val="none" w:sz="0" w:space="0" w:color="auto"/>
                            <w:bottom w:val="none" w:sz="0" w:space="0" w:color="auto"/>
                            <w:right w:val="none" w:sz="0" w:space="0" w:color="auto"/>
                          </w:divBdr>
                        </w:div>
                      </w:divsChild>
                    </w:div>
                    <w:div w:id="582640119">
                      <w:marLeft w:val="0"/>
                      <w:marRight w:val="0"/>
                      <w:marTop w:val="0"/>
                      <w:marBottom w:val="0"/>
                      <w:divBdr>
                        <w:top w:val="none" w:sz="0" w:space="0" w:color="auto"/>
                        <w:left w:val="none" w:sz="0" w:space="0" w:color="auto"/>
                        <w:bottom w:val="none" w:sz="0" w:space="0" w:color="auto"/>
                        <w:right w:val="none" w:sz="0" w:space="0" w:color="auto"/>
                      </w:divBdr>
                      <w:divsChild>
                        <w:div w:id="155803242">
                          <w:marLeft w:val="0"/>
                          <w:marRight w:val="0"/>
                          <w:marTop w:val="0"/>
                          <w:marBottom w:val="0"/>
                          <w:divBdr>
                            <w:top w:val="none" w:sz="0" w:space="0" w:color="auto"/>
                            <w:left w:val="none" w:sz="0" w:space="0" w:color="auto"/>
                            <w:bottom w:val="none" w:sz="0" w:space="0" w:color="auto"/>
                            <w:right w:val="none" w:sz="0" w:space="0" w:color="auto"/>
                          </w:divBdr>
                        </w:div>
                      </w:divsChild>
                    </w:div>
                    <w:div w:id="600336097">
                      <w:marLeft w:val="0"/>
                      <w:marRight w:val="0"/>
                      <w:marTop w:val="0"/>
                      <w:marBottom w:val="0"/>
                      <w:divBdr>
                        <w:top w:val="none" w:sz="0" w:space="0" w:color="auto"/>
                        <w:left w:val="none" w:sz="0" w:space="0" w:color="auto"/>
                        <w:bottom w:val="none" w:sz="0" w:space="0" w:color="auto"/>
                        <w:right w:val="none" w:sz="0" w:space="0" w:color="auto"/>
                      </w:divBdr>
                      <w:divsChild>
                        <w:div w:id="1596985776">
                          <w:marLeft w:val="0"/>
                          <w:marRight w:val="0"/>
                          <w:marTop w:val="0"/>
                          <w:marBottom w:val="0"/>
                          <w:divBdr>
                            <w:top w:val="none" w:sz="0" w:space="0" w:color="auto"/>
                            <w:left w:val="none" w:sz="0" w:space="0" w:color="auto"/>
                            <w:bottom w:val="none" w:sz="0" w:space="0" w:color="auto"/>
                            <w:right w:val="none" w:sz="0" w:space="0" w:color="auto"/>
                          </w:divBdr>
                        </w:div>
                      </w:divsChild>
                    </w:div>
                    <w:div w:id="751245515">
                      <w:marLeft w:val="0"/>
                      <w:marRight w:val="0"/>
                      <w:marTop w:val="0"/>
                      <w:marBottom w:val="0"/>
                      <w:divBdr>
                        <w:top w:val="none" w:sz="0" w:space="0" w:color="auto"/>
                        <w:left w:val="none" w:sz="0" w:space="0" w:color="auto"/>
                        <w:bottom w:val="none" w:sz="0" w:space="0" w:color="auto"/>
                        <w:right w:val="none" w:sz="0" w:space="0" w:color="auto"/>
                      </w:divBdr>
                      <w:divsChild>
                        <w:div w:id="2101486742">
                          <w:marLeft w:val="0"/>
                          <w:marRight w:val="0"/>
                          <w:marTop w:val="0"/>
                          <w:marBottom w:val="0"/>
                          <w:divBdr>
                            <w:top w:val="none" w:sz="0" w:space="0" w:color="auto"/>
                            <w:left w:val="none" w:sz="0" w:space="0" w:color="auto"/>
                            <w:bottom w:val="none" w:sz="0" w:space="0" w:color="auto"/>
                            <w:right w:val="none" w:sz="0" w:space="0" w:color="auto"/>
                          </w:divBdr>
                        </w:div>
                      </w:divsChild>
                    </w:div>
                    <w:div w:id="755326610">
                      <w:marLeft w:val="0"/>
                      <w:marRight w:val="0"/>
                      <w:marTop w:val="0"/>
                      <w:marBottom w:val="0"/>
                      <w:divBdr>
                        <w:top w:val="none" w:sz="0" w:space="0" w:color="auto"/>
                        <w:left w:val="none" w:sz="0" w:space="0" w:color="auto"/>
                        <w:bottom w:val="none" w:sz="0" w:space="0" w:color="auto"/>
                        <w:right w:val="none" w:sz="0" w:space="0" w:color="auto"/>
                      </w:divBdr>
                      <w:divsChild>
                        <w:div w:id="1278637329">
                          <w:marLeft w:val="0"/>
                          <w:marRight w:val="0"/>
                          <w:marTop w:val="0"/>
                          <w:marBottom w:val="0"/>
                          <w:divBdr>
                            <w:top w:val="none" w:sz="0" w:space="0" w:color="auto"/>
                            <w:left w:val="none" w:sz="0" w:space="0" w:color="auto"/>
                            <w:bottom w:val="none" w:sz="0" w:space="0" w:color="auto"/>
                            <w:right w:val="none" w:sz="0" w:space="0" w:color="auto"/>
                          </w:divBdr>
                        </w:div>
                      </w:divsChild>
                    </w:div>
                    <w:div w:id="778110864">
                      <w:marLeft w:val="0"/>
                      <w:marRight w:val="0"/>
                      <w:marTop w:val="0"/>
                      <w:marBottom w:val="0"/>
                      <w:divBdr>
                        <w:top w:val="none" w:sz="0" w:space="0" w:color="auto"/>
                        <w:left w:val="none" w:sz="0" w:space="0" w:color="auto"/>
                        <w:bottom w:val="none" w:sz="0" w:space="0" w:color="auto"/>
                        <w:right w:val="none" w:sz="0" w:space="0" w:color="auto"/>
                      </w:divBdr>
                      <w:divsChild>
                        <w:div w:id="720785184">
                          <w:marLeft w:val="0"/>
                          <w:marRight w:val="0"/>
                          <w:marTop w:val="0"/>
                          <w:marBottom w:val="0"/>
                          <w:divBdr>
                            <w:top w:val="none" w:sz="0" w:space="0" w:color="auto"/>
                            <w:left w:val="none" w:sz="0" w:space="0" w:color="auto"/>
                            <w:bottom w:val="none" w:sz="0" w:space="0" w:color="auto"/>
                            <w:right w:val="none" w:sz="0" w:space="0" w:color="auto"/>
                          </w:divBdr>
                        </w:div>
                      </w:divsChild>
                    </w:div>
                    <w:div w:id="1006326055">
                      <w:marLeft w:val="0"/>
                      <w:marRight w:val="0"/>
                      <w:marTop w:val="0"/>
                      <w:marBottom w:val="0"/>
                      <w:divBdr>
                        <w:top w:val="none" w:sz="0" w:space="0" w:color="auto"/>
                        <w:left w:val="none" w:sz="0" w:space="0" w:color="auto"/>
                        <w:bottom w:val="none" w:sz="0" w:space="0" w:color="auto"/>
                        <w:right w:val="none" w:sz="0" w:space="0" w:color="auto"/>
                      </w:divBdr>
                      <w:divsChild>
                        <w:div w:id="609631044">
                          <w:marLeft w:val="0"/>
                          <w:marRight w:val="0"/>
                          <w:marTop w:val="0"/>
                          <w:marBottom w:val="0"/>
                          <w:divBdr>
                            <w:top w:val="none" w:sz="0" w:space="0" w:color="auto"/>
                            <w:left w:val="none" w:sz="0" w:space="0" w:color="auto"/>
                            <w:bottom w:val="none" w:sz="0" w:space="0" w:color="auto"/>
                            <w:right w:val="none" w:sz="0" w:space="0" w:color="auto"/>
                          </w:divBdr>
                        </w:div>
                      </w:divsChild>
                    </w:div>
                    <w:div w:id="1019771558">
                      <w:marLeft w:val="0"/>
                      <w:marRight w:val="0"/>
                      <w:marTop w:val="0"/>
                      <w:marBottom w:val="0"/>
                      <w:divBdr>
                        <w:top w:val="none" w:sz="0" w:space="0" w:color="auto"/>
                        <w:left w:val="none" w:sz="0" w:space="0" w:color="auto"/>
                        <w:bottom w:val="none" w:sz="0" w:space="0" w:color="auto"/>
                        <w:right w:val="none" w:sz="0" w:space="0" w:color="auto"/>
                      </w:divBdr>
                      <w:divsChild>
                        <w:div w:id="1976332014">
                          <w:marLeft w:val="0"/>
                          <w:marRight w:val="0"/>
                          <w:marTop w:val="0"/>
                          <w:marBottom w:val="0"/>
                          <w:divBdr>
                            <w:top w:val="none" w:sz="0" w:space="0" w:color="auto"/>
                            <w:left w:val="none" w:sz="0" w:space="0" w:color="auto"/>
                            <w:bottom w:val="none" w:sz="0" w:space="0" w:color="auto"/>
                            <w:right w:val="none" w:sz="0" w:space="0" w:color="auto"/>
                          </w:divBdr>
                        </w:div>
                      </w:divsChild>
                    </w:div>
                    <w:div w:id="1042749280">
                      <w:marLeft w:val="0"/>
                      <w:marRight w:val="0"/>
                      <w:marTop w:val="0"/>
                      <w:marBottom w:val="0"/>
                      <w:divBdr>
                        <w:top w:val="none" w:sz="0" w:space="0" w:color="auto"/>
                        <w:left w:val="none" w:sz="0" w:space="0" w:color="auto"/>
                        <w:bottom w:val="none" w:sz="0" w:space="0" w:color="auto"/>
                        <w:right w:val="none" w:sz="0" w:space="0" w:color="auto"/>
                      </w:divBdr>
                      <w:divsChild>
                        <w:div w:id="334647537">
                          <w:marLeft w:val="0"/>
                          <w:marRight w:val="0"/>
                          <w:marTop w:val="0"/>
                          <w:marBottom w:val="0"/>
                          <w:divBdr>
                            <w:top w:val="none" w:sz="0" w:space="0" w:color="auto"/>
                            <w:left w:val="none" w:sz="0" w:space="0" w:color="auto"/>
                            <w:bottom w:val="none" w:sz="0" w:space="0" w:color="auto"/>
                            <w:right w:val="none" w:sz="0" w:space="0" w:color="auto"/>
                          </w:divBdr>
                        </w:div>
                      </w:divsChild>
                    </w:div>
                    <w:div w:id="1055810147">
                      <w:marLeft w:val="0"/>
                      <w:marRight w:val="0"/>
                      <w:marTop w:val="0"/>
                      <w:marBottom w:val="0"/>
                      <w:divBdr>
                        <w:top w:val="none" w:sz="0" w:space="0" w:color="auto"/>
                        <w:left w:val="none" w:sz="0" w:space="0" w:color="auto"/>
                        <w:bottom w:val="none" w:sz="0" w:space="0" w:color="auto"/>
                        <w:right w:val="none" w:sz="0" w:space="0" w:color="auto"/>
                      </w:divBdr>
                      <w:divsChild>
                        <w:div w:id="1451628327">
                          <w:marLeft w:val="0"/>
                          <w:marRight w:val="0"/>
                          <w:marTop w:val="0"/>
                          <w:marBottom w:val="0"/>
                          <w:divBdr>
                            <w:top w:val="none" w:sz="0" w:space="0" w:color="auto"/>
                            <w:left w:val="none" w:sz="0" w:space="0" w:color="auto"/>
                            <w:bottom w:val="none" w:sz="0" w:space="0" w:color="auto"/>
                            <w:right w:val="none" w:sz="0" w:space="0" w:color="auto"/>
                          </w:divBdr>
                        </w:div>
                      </w:divsChild>
                    </w:div>
                    <w:div w:id="1092124597">
                      <w:marLeft w:val="0"/>
                      <w:marRight w:val="0"/>
                      <w:marTop w:val="0"/>
                      <w:marBottom w:val="0"/>
                      <w:divBdr>
                        <w:top w:val="none" w:sz="0" w:space="0" w:color="auto"/>
                        <w:left w:val="none" w:sz="0" w:space="0" w:color="auto"/>
                        <w:bottom w:val="none" w:sz="0" w:space="0" w:color="auto"/>
                        <w:right w:val="none" w:sz="0" w:space="0" w:color="auto"/>
                      </w:divBdr>
                      <w:divsChild>
                        <w:div w:id="1701515764">
                          <w:marLeft w:val="0"/>
                          <w:marRight w:val="0"/>
                          <w:marTop w:val="0"/>
                          <w:marBottom w:val="0"/>
                          <w:divBdr>
                            <w:top w:val="none" w:sz="0" w:space="0" w:color="auto"/>
                            <w:left w:val="none" w:sz="0" w:space="0" w:color="auto"/>
                            <w:bottom w:val="none" w:sz="0" w:space="0" w:color="auto"/>
                            <w:right w:val="none" w:sz="0" w:space="0" w:color="auto"/>
                          </w:divBdr>
                        </w:div>
                      </w:divsChild>
                    </w:div>
                    <w:div w:id="1106847145">
                      <w:marLeft w:val="0"/>
                      <w:marRight w:val="0"/>
                      <w:marTop w:val="0"/>
                      <w:marBottom w:val="0"/>
                      <w:divBdr>
                        <w:top w:val="none" w:sz="0" w:space="0" w:color="auto"/>
                        <w:left w:val="none" w:sz="0" w:space="0" w:color="auto"/>
                        <w:bottom w:val="none" w:sz="0" w:space="0" w:color="auto"/>
                        <w:right w:val="none" w:sz="0" w:space="0" w:color="auto"/>
                      </w:divBdr>
                      <w:divsChild>
                        <w:div w:id="424151716">
                          <w:marLeft w:val="0"/>
                          <w:marRight w:val="0"/>
                          <w:marTop w:val="0"/>
                          <w:marBottom w:val="0"/>
                          <w:divBdr>
                            <w:top w:val="none" w:sz="0" w:space="0" w:color="auto"/>
                            <w:left w:val="none" w:sz="0" w:space="0" w:color="auto"/>
                            <w:bottom w:val="none" w:sz="0" w:space="0" w:color="auto"/>
                            <w:right w:val="none" w:sz="0" w:space="0" w:color="auto"/>
                          </w:divBdr>
                        </w:div>
                      </w:divsChild>
                    </w:div>
                    <w:div w:id="1164515113">
                      <w:marLeft w:val="0"/>
                      <w:marRight w:val="0"/>
                      <w:marTop w:val="0"/>
                      <w:marBottom w:val="0"/>
                      <w:divBdr>
                        <w:top w:val="none" w:sz="0" w:space="0" w:color="auto"/>
                        <w:left w:val="none" w:sz="0" w:space="0" w:color="auto"/>
                        <w:bottom w:val="none" w:sz="0" w:space="0" w:color="auto"/>
                        <w:right w:val="none" w:sz="0" w:space="0" w:color="auto"/>
                      </w:divBdr>
                      <w:divsChild>
                        <w:div w:id="1249075962">
                          <w:marLeft w:val="0"/>
                          <w:marRight w:val="0"/>
                          <w:marTop w:val="0"/>
                          <w:marBottom w:val="0"/>
                          <w:divBdr>
                            <w:top w:val="none" w:sz="0" w:space="0" w:color="auto"/>
                            <w:left w:val="none" w:sz="0" w:space="0" w:color="auto"/>
                            <w:bottom w:val="none" w:sz="0" w:space="0" w:color="auto"/>
                            <w:right w:val="none" w:sz="0" w:space="0" w:color="auto"/>
                          </w:divBdr>
                        </w:div>
                      </w:divsChild>
                    </w:div>
                    <w:div w:id="1225406108">
                      <w:marLeft w:val="0"/>
                      <w:marRight w:val="0"/>
                      <w:marTop w:val="0"/>
                      <w:marBottom w:val="0"/>
                      <w:divBdr>
                        <w:top w:val="none" w:sz="0" w:space="0" w:color="auto"/>
                        <w:left w:val="none" w:sz="0" w:space="0" w:color="auto"/>
                        <w:bottom w:val="none" w:sz="0" w:space="0" w:color="auto"/>
                        <w:right w:val="none" w:sz="0" w:space="0" w:color="auto"/>
                      </w:divBdr>
                      <w:divsChild>
                        <w:div w:id="1187518874">
                          <w:marLeft w:val="0"/>
                          <w:marRight w:val="0"/>
                          <w:marTop w:val="0"/>
                          <w:marBottom w:val="0"/>
                          <w:divBdr>
                            <w:top w:val="none" w:sz="0" w:space="0" w:color="auto"/>
                            <w:left w:val="none" w:sz="0" w:space="0" w:color="auto"/>
                            <w:bottom w:val="none" w:sz="0" w:space="0" w:color="auto"/>
                            <w:right w:val="none" w:sz="0" w:space="0" w:color="auto"/>
                          </w:divBdr>
                        </w:div>
                      </w:divsChild>
                    </w:div>
                    <w:div w:id="1294402769">
                      <w:marLeft w:val="0"/>
                      <w:marRight w:val="0"/>
                      <w:marTop w:val="0"/>
                      <w:marBottom w:val="0"/>
                      <w:divBdr>
                        <w:top w:val="none" w:sz="0" w:space="0" w:color="auto"/>
                        <w:left w:val="none" w:sz="0" w:space="0" w:color="auto"/>
                        <w:bottom w:val="none" w:sz="0" w:space="0" w:color="auto"/>
                        <w:right w:val="none" w:sz="0" w:space="0" w:color="auto"/>
                      </w:divBdr>
                      <w:divsChild>
                        <w:div w:id="1792551781">
                          <w:marLeft w:val="0"/>
                          <w:marRight w:val="0"/>
                          <w:marTop w:val="0"/>
                          <w:marBottom w:val="0"/>
                          <w:divBdr>
                            <w:top w:val="none" w:sz="0" w:space="0" w:color="auto"/>
                            <w:left w:val="none" w:sz="0" w:space="0" w:color="auto"/>
                            <w:bottom w:val="none" w:sz="0" w:space="0" w:color="auto"/>
                            <w:right w:val="none" w:sz="0" w:space="0" w:color="auto"/>
                          </w:divBdr>
                        </w:div>
                      </w:divsChild>
                    </w:div>
                    <w:div w:id="1386831791">
                      <w:marLeft w:val="0"/>
                      <w:marRight w:val="0"/>
                      <w:marTop w:val="0"/>
                      <w:marBottom w:val="0"/>
                      <w:divBdr>
                        <w:top w:val="none" w:sz="0" w:space="0" w:color="auto"/>
                        <w:left w:val="none" w:sz="0" w:space="0" w:color="auto"/>
                        <w:bottom w:val="none" w:sz="0" w:space="0" w:color="auto"/>
                        <w:right w:val="none" w:sz="0" w:space="0" w:color="auto"/>
                      </w:divBdr>
                      <w:divsChild>
                        <w:div w:id="1543057443">
                          <w:marLeft w:val="0"/>
                          <w:marRight w:val="0"/>
                          <w:marTop w:val="0"/>
                          <w:marBottom w:val="0"/>
                          <w:divBdr>
                            <w:top w:val="none" w:sz="0" w:space="0" w:color="auto"/>
                            <w:left w:val="none" w:sz="0" w:space="0" w:color="auto"/>
                            <w:bottom w:val="none" w:sz="0" w:space="0" w:color="auto"/>
                            <w:right w:val="none" w:sz="0" w:space="0" w:color="auto"/>
                          </w:divBdr>
                        </w:div>
                      </w:divsChild>
                    </w:div>
                    <w:div w:id="1399093860">
                      <w:marLeft w:val="0"/>
                      <w:marRight w:val="0"/>
                      <w:marTop w:val="0"/>
                      <w:marBottom w:val="0"/>
                      <w:divBdr>
                        <w:top w:val="none" w:sz="0" w:space="0" w:color="auto"/>
                        <w:left w:val="none" w:sz="0" w:space="0" w:color="auto"/>
                        <w:bottom w:val="none" w:sz="0" w:space="0" w:color="auto"/>
                        <w:right w:val="none" w:sz="0" w:space="0" w:color="auto"/>
                      </w:divBdr>
                      <w:divsChild>
                        <w:div w:id="823741471">
                          <w:marLeft w:val="0"/>
                          <w:marRight w:val="0"/>
                          <w:marTop w:val="0"/>
                          <w:marBottom w:val="0"/>
                          <w:divBdr>
                            <w:top w:val="none" w:sz="0" w:space="0" w:color="auto"/>
                            <w:left w:val="none" w:sz="0" w:space="0" w:color="auto"/>
                            <w:bottom w:val="none" w:sz="0" w:space="0" w:color="auto"/>
                            <w:right w:val="none" w:sz="0" w:space="0" w:color="auto"/>
                          </w:divBdr>
                        </w:div>
                      </w:divsChild>
                    </w:div>
                    <w:div w:id="1462454712">
                      <w:marLeft w:val="0"/>
                      <w:marRight w:val="0"/>
                      <w:marTop w:val="0"/>
                      <w:marBottom w:val="0"/>
                      <w:divBdr>
                        <w:top w:val="none" w:sz="0" w:space="0" w:color="auto"/>
                        <w:left w:val="none" w:sz="0" w:space="0" w:color="auto"/>
                        <w:bottom w:val="none" w:sz="0" w:space="0" w:color="auto"/>
                        <w:right w:val="none" w:sz="0" w:space="0" w:color="auto"/>
                      </w:divBdr>
                      <w:divsChild>
                        <w:div w:id="996306484">
                          <w:marLeft w:val="0"/>
                          <w:marRight w:val="0"/>
                          <w:marTop w:val="0"/>
                          <w:marBottom w:val="0"/>
                          <w:divBdr>
                            <w:top w:val="none" w:sz="0" w:space="0" w:color="auto"/>
                            <w:left w:val="none" w:sz="0" w:space="0" w:color="auto"/>
                            <w:bottom w:val="none" w:sz="0" w:space="0" w:color="auto"/>
                            <w:right w:val="none" w:sz="0" w:space="0" w:color="auto"/>
                          </w:divBdr>
                        </w:div>
                      </w:divsChild>
                    </w:div>
                    <w:div w:id="1567953596">
                      <w:marLeft w:val="0"/>
                      <w:marRight w:val="0"/>
                      <w:marTop w:val="0"/>
                      <w:marBottom w:val="0"/>
                      <w:divBdr>
                        <w:top w:val="none" w:sz="0" w:space="0" w:color="auto"/>
                        <w:left w:val="none" w:sz="0" w:space="0" w:color="auto"/>
                        <w:bottom w:val="none" w:sz="0" w:space="0" w:color="auto"/>
                        <w:right w:val="none" w:sz="0" w:space="0" w:color="auto"/>
                      </w:divBdr>
                      <w:divsChild>
                        <w:div w:id="1013188174">
                          <w:marLeft w:val="0"/>
                          <w:marRight w:val="0"/>
                          <w:marTop w:val="0"/>
                          <w:marBottom w:val="0"/>
                          <w:divBdr>
                            <w:top w:val="none" w:sz="0" w:space="0" w:color="auto"/>
                            <w:left w:val="none" w:sz="0" w:space="0" w:color="auto"/>
                            <w:bottom w:val="none" w:sz="0" w:space="0" w:color="auto"/>
                            <w:right w:val="none" w:sz="0" w:space="0" w:color="auto"/>
                          </w:divBdr>
                        </w:div>
                      </w:divsChild>
                    </w:div>
                    <w:div w:id="1664163102">
                      <w:marLeft w:val="0"/>
                      <w:marRight w:val="0"/>
                      <w:marTop w:val="0"/>
                      <w:marBottom w:val="0"/>
                      <w:divBdr>
                        <w:top w:val="none" w:sz="0" w:space="0" w:color="auto"/>
                        <w:left w:val="none" w:sz="0" w:space="0" w:color="auto"/>
                        <w:bottom w:val="none" w:sz="0" w:space="0" w:color="auto"/>
                        <w:right w:val="none" w:sz="0" w:space="0" w:color="auto"/>
                      </w:divBdr>
                      <w:divsChild>
                        <w:div w:id="78140868">
                          <w:marLeft w:val="0"/>
                          <w:marRight w:val="0"/>
                          <w:marTop w:val="0"/>
                          <w:marBottom w:val="0"/>
                          <w:divBdr>
                            <w:top w:val="none" w:sz="0" w:space="0" w:color="auto"/>
                            <w:left w:val="none" w:sz="0" w:space="0" w:color="auto"/>
                            <w:bottom w:val="none" w:sz="0" w:space="0" w:color="auto"/>
                            <w:right w:val="none" w:sz="0" w:space="0" w:color="auto"/>
                          </w:divBdr>
                        </w:div>
                      </w:divsChild>
                    </w:div>
                    <w:div w:id="1753743842">
                      <w:marLeft w:val="0"/>
                      <w:marRight w:val="0"/>
                      <w:marTop w:val="0"/>
                      <w:marBottom w:val="0"/>
                      <w:divBdr>
                        <w:top w:val="none" w:sz="0" w:space="0" w:color="auto"/>
                        <w:left w:val="none" w:sz="0" w:space="0" w:color="auto"/>
                        <w:bottom w:val="none" w:sz="0" w:space="0" w:color="auto"/>
                        <w:right w:val="none" w:sz="0" w:space="0" w:color="auto"/>
                      </w:divBdr>
                      <w:divsChild>
                        <w:div w:id="109399402">
                          <w:marLeft w:val="0"/>
                          <w:marRight w:val="0"/>
                          <w:marTop w:val="0"/>
                          <w:marBottom w:val="0"/>
                          <w:divBdr>
                            <w:top w:val="none" w:sz="0" w:space="0" w:color="auto"/>
                            <w:left w:val="none" w:sz="0" w:space="0" w:color="auto"/>
                            <w:bottom w:val="none" w:sz="0" w:space="0" w:color="auto"/>
                            <w:right w:val="none" w:sz="0" w:space="0" w:color="auto"/>
                          </w:divBdr>
                        </w:div>
                      </w:divsChild>
                    </w:div>
                    <w:div w:id="1794670440">
                      <w:marLeft w:val="0"/>
                      <w:marRight w:val="0"/>
                      <w:marTop w:val="0"/>
                      <w:marBottom w:val="0"/>
                      <w:divBdr>
                        <w:top w:val="none" w:sz="0" w:space="0" w:color="auto"/>
                        <w:left w:val="none" w:sz="0" w:space="0" w:color="auto"/>
                        <w:bottom w:val="none" w:sz="0" w:space="0" w:color="auto"/>
                        <w:right w:val="none" w:sz="0" w:space="0" w:color="auto"/>
                      </w:divBdr>
                      <w:divsChild>
                        <w:div w:id="512106487">
                          <w:marLeft w:val="0"/>
                          <w:marRight w:val="0"/>
                          <w:marTop w:val="0"/>
                          <w:marBottom w:val="0"/>
                          <w:divBdr>
                            <w:top w:val="none" w:sz="0" w:space="0" w:color="auto"/>
                            <w:left w:val="none" w:sz="0" w:space="0" w:color="auto"/>
                            <w:bottom w:val="none" w:sz="0" w:space="0" w:color="auto"/>
                            <w:right w:val="none" w:sz="0" w:space="0" w:color="auto"/>
                          </w:divBdr>
                        </w:div>
                      </w:divsChild>
                    </w:div>
                    <w:div w:id="1817601762">
                      <w:marLeft w:val="0"/>
                      <w:marRight w:val="0"/>
                      <w:marTop w:val="0"/>
                      <w:marBottom w:val="0"/>
                      <w:divBdr>
                        <w:top w:val="none" w:sz="0" w:space="0" w:color="auto"/>
                        <w:left w:val="none" w:sz="0" w:space="0" w:color="auto"/>
                        <w:bottom w:val="none" w:sz="0" w:space="0" w:color="auto"/>
                        <w:right w:val="none" w:sz="0" w:space="0" w:color="auto"/>
                      </w:divBdr>
                      <w:divsChild>
                        <w:div w:id="1380011590">
                          <w:marLeft w:val="0"/>
                          <w:marRight w:val="0"/>
                          <w:marTop w:val="0"/>
                          <w:marBottom w:val="0"/>
                          <w:divBdr>
                            <w:top w:val="none" w:sz="0" w:space="0" w:color="auto"/>
                            <w:left w:val="none" w:sz="0" w:space="0" w:color="auto"/>
                            <w:bottom w:val="none" w:sz="0" w:space="0" w:color="auto"/>
                            <w:right w:val="none" w:sz="0" w:space="0" w:color="auto"/>
                          </w:divBdr>
                        </w:div>
                      </w:divsChild>
                    </w:div>
                    <w:div w:id="1837308928">
                      <w:marLeft w:val="0"/>
                      <w:marRight w:val="0"/>
                      <w:marTop w:val="0"/>
                      <w:marBottom w:val="0"/>
                      <w:divBdr>
                        <w:top w:val="none" w:sz="0" w:space="0" w:color="auto"/>
                        <w:left w:val="none" w:sz="0" w:space="0" w:color="auto"/>
                        <w:bottom w:val="none" w:sz="0" w:space="0" w:color="auto"/>
                        <w:right w:val="none" w:sz="0" w:space="0" w:color="auto"/>
                      </w:divBdr>
                      <w:divsChild>
                        <w:div w:id="109011714">
                          <w:marLeft w:val="0"/>
                          <w:marRight w:val="0"/>
                          <w:marTop w:val="0"/>
                          <w:marBottom w:val="0"/>
                          <w:divBdr>
                            <w:top w:val="none" w:sz="0" w:space="0" w:color="auto"/>
                            <w:left w:val="none" w:sz="0" w:space="0" w:color="auto"/>
                            <w:bottom w:val="none" w:sz="0" w:space="0" w:color="auto"/>
                            <w:right w:val="none" w:sz="0" w:space="0" w:color="auto"/>
                          </w:divBdr>
                        </w:div>
                      </w:divsChild>
                    </w:div>
                    <w:div w:id="1879463621">
                      <w:marLeft w:val="0"/>
                      <w:marRight w:val="0"/>
                      <w:marTop w:val="0"/>
                      <w:marBottom w:val="0"/>
                      <w:divBdr>
                        <w:top w:val="none" w:sz="0" w:space="0" w:color="auto"/>
                        <w:left w:val="none" w:sz="0" w:space="0" w:color="auto"/>
                        <w:bottom w:val="none" w:sz="0" w:space="0" w:color="auto"/>
                        <w:right w:val="none" w:sz="0" w:space="0" w:color="auto"/>
                      </w:divBdr>
                      <w:divsChild>
                        <w:div w:id="1350788810">
                          <w:marLeft w:val="0"/>
                          <w:marRight w:val="0"/>
                          <w:marTop w:val="0"/>
                          <w:marBottom w:val="0"/>
                          <w:divBdr>
                            <w:top w:val="none" w:sz="0" w:space="0" w:color="auto"/>
                            <w:left w:val="none" w:sz="0" w:space="0" w:color="auto"/>
                            <w:bottom w:val="none" w:sz="0" w:space="0" w:color="auto"/>
                            <w:right w:val="none" w:sz="0" w:space="0" w:color="auto"/>
                          </w:divBdr>
                        </w:div>
                      </w:divsChild>
                    </w:div>
                    <w:div w:id="1955362926">
                      <w:marLeft w:val="0"/>
                      <w:marRight w:val="0"/>
                      <w:marTop w:val="0"/>
                      <w:marBottom w:val="0"/>
                      <w:divBdr>
                        <w:top w:val="none" w:sz="0" w:space="0" w:color="auto"/>
                        <w:left w:val="none" w:sz="0" w:space="0" w:color="auto"/>
                        <w:bottom w:val="none" w:sz="0" w:space="0" w:color="auto"/>
                        <w:right w:val="none" w:sz="0" w:space="0" w:color="auto"/>
                      </w:divBdr>
                      <w:divsChild>
                        <w:div w:id="509372850">
                          <w:marLeft w:val="0"/>
                          <w:marRight w:val="0"/>
                          <w:marTop w:val="0"/>
                          <w:marBottom w:val="0"/>
                          <w:divBdr>
                            <w:top w:val="none" w:sz="0" w:space="0" w:color="auto"/>
                            <w:left w:val="none" w:sz="0" w:space="0" w:color="auto"/>
                            <w:bottom w:val="none" w:sz="0" w:space="0" w:color="auto"/>
                            <w:right w:val="none" w:sz="0" w:space="0" w:color="auto"/>
                          </w:divBdr>
                        </w:div>
                      </w:divsChild>
                    </w:div>
                    <w:div w:id="1990787545">
                      <w:marLeft w:val="0"/>
                      <w:marRight w:val="0"/>
                      <w:marTop w:val="0"/>
                      <w:marBottom w:val="0"/>
                      <w:divBdr>
                        <w:top w:val="none" w:sz="0" w:space="0" w:color="auto"/>
                        <w:left w:val="none" w:sz="0" w:space="0" w:color="auto"/>
                        <w:bottom w:val="none" w:sz="0" w:space="0" w:color="auto"/>
                        <w:right w:val="none" w:sz="0" w:space="0" w:color="auto"/>
                      </w:divBdr>
                      <w:divsChild>
                        <w:div w:id="143258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136516">
          <w:marLeft w:val="0"/>
          <w:marRight w:val="0"/>
          <w:marTop w:val="0"/>
          <w:marBottom w:val="0"/>
          <w:divBdr>
            <w:top w:val="none" w:sz="0" w:space="0" w:color="auto"/>
            <w:left w:val="none" w:sz="0" w:space="0" w:color="auto"/>
            <w:bottom w:val="none" w:sz="0" w:space="0" w:color="auto"/>
            <w:right w:val="none" w:sz="0" w:space="0" w:color="auto"/>
          </w:divBdr>
          <w:divsChild>
            <w:div w:id="2020963815">
              <w:marLeft w:val="0"/>
              <w:marRight w:val="0"/>
              <w:marTop w:val="0"/>
              <w:marBottom w:val="0"/>
              <w:divBdr>
                <w:top w:val="none" w:sz="0" w:space="0" w:color="auto"/>
                <w:left w:val="none" w:sz="0" w:space="0" w:color="auto"/>
                <w:bottom w:val="none" w:sz="0" w:space="0" w:color="auto"/>
                <w:right w:val="none" w:sz="0" w:space="0" w:color="auto"/>
              </w:divBdr>
              <w:divsChild>
                <w:div w:id="51853827">
                  <w:marLeft w:val="0"/>
                  <w:marRight w:val="0"/>
                  <w:marTop w:val="0"/>
                  <w:marBottom w:val="0"/>
                  <w:divBdr>
                    <w:top w:val="none" w:sz="0" w:space="0" w:color="auto"/>
                    <w:left w:val="none" w:sz="0" w:space="0" w:color="auto"/>
                    <w:bottom w:val="none" w:sz="0" w:space="0" w:color="auto"/>
                    <w:right w:val="none" w:sz="0" w:space="0" w:color="auto"/>
                  </w:divBdr>
                  <w:divsChild>
                    <w:div w:id="617490605">
                      <w:marLeft w:val="0"/>
                      <w:marRight w:val="0"/>
                      <w:marTop w:val="0"/>
                      <w:marBottom w:val="0"/>
                      <w:divBdr>
                        <w:top w:val="none" w:sz="0" w:space="0" w:color="auto"/>
                        <w:left w:val="none" w:sz="0" w:space="0" w:color="auto"/>
                        <w:bottom w:val="none" w:sz="0" w:space="0" w:color="auto"/>
                        <w:right w:val="none" w:sz="0" w:space="0" w:color="auto"/>
                      </w:divBdr>
                    </w:div>
                  </w:divsChild>
                </w:div>
                <w:div w:id="75589483">
                  <w:marLeft w:val="0"/>
                  <w:marRight w:val="0"/>
                  <w:marTop w:val="0"/>
                  <w:marBottom w:val="0"/>
                  <w:divBdr>
                    <w:top w:val="none" w:sz="0" w:space="0" w:color="auto"/>
                    <w:left w:val="none" w:sz="0" w:space="0" w:color="auto"/>
                    <w:bottom w:val="none" w:sz="0" w:space="0" w:color="auto"/>
                    <w:right w:val="none" w:sz="0" w:space="0" w:color="auto"/>
                  </w:divBdr>
                  <w:divsChild>
                    <w:div w:id="24984830">
                      <w:marLeft w:val="0"/>
                      <w:marRight w:val="0"/>
                      <w:marTop w:val="0"/>
                      <w:marBottom w:val="0"/>
                      <w:divBdr>
                        <w:top w:val="none" w:sz="0" w:space="0" w:color="auto"/>
                        <w:left w:val="none" w:sz="0" w:space="0" w:color="auto"/>
                        <w:bottom w:val="none" w:sz="0" w:space="0" w:color="auto"/>
                        <w:right w:val="none" w:sz="0" w:space="0" w:color="auto"/>
                      </w:divBdr>
                    </w:div>
                  </w:divsChild>
                </w:div>
                <w:div w:id="83846151">
                  <w:marLeft w:val="0"/>
                  <w:marRight w:val="0"/>
                  <w:marTop w:val="0"/>
                  <w:marBottom w:val="0"/>
                  <w:divBdr>
                    <w:top w:val="none" w:sz="0" w:space="0" w:color="auto"/>
                    <w:left w:val="none" w:sz="0" w:space="0" w:color="auto"/>
                    <w:bottom w:val="none" w:sz="0" w:space="0" w:color="auto"/>
                    <w:right w:val="none" w:sz="0" w:space="0" w:color="auto"/>
                  </w:divBdr>
                  <w:divsChild>
                    <w:div w:id="128279869">
                      <w:marLeft w:val="0"/>
                      <w:marRight w:val="0"/>
                      <w:marTop w:val="0"/>
                      <w:marBottom w:val="0"/>
                      <w:divBdr>
                        <w:top w:val="none" w:sz="0" w:space="0" w:color="auto"/>
                        <w:left w:val="none" w:sz="0" w:space="0" w:color="auto"/>
                        <w:bottom w:val="none" w:sz="0" w:space="0" w:color="auto"/>
                        <w:right w:val="none" w:sz="0" w:space="0" w:color="auto"/>
                      </w:divBdr>
                    </w:div>
                  </w:divsChild>
                </w:div>
                <w:div w:id="104038199">
                  <w:marLeft w:val="0"/>
                  <w:marRight w:val="0"/>
                  <w:marTop w:val="0"/>
                  <w:marBottom w:val="0"/>
                  <w:divBdr>
                    <w:top w:val="none" w:sz="0" w:space="0" w:color="auto"/>
                    <w:left w:val="none" w:sz="0" w:space="0" w:color="auto"/>
                    <w:bottom w:val="none" w:sz="0" w:space="0" w:color="auto"/>
                    <w:right w:val="none" w:sz="0" w:space="0" w:color="auto"/>
                  </w:divBdr>
                  <w:divsChild>
                    <w:div w:id="1228102419">
                      <w:marLeft w:val="0"/>
                      <w:marRight w:val="0"/>
                      <w:marTop w:val="0"/>
                      <w:marBottom w:val="0"/>
                      <w:divBdr>
                        <w:top w:val="none" w:sz="0" w:space="0" w:color="auto"/>
                        <w:left w:val="none" w:sz="0" w:space="0" w:color="auto"/>
                        <w:bottom w:val="none" w:sz="0" w:space="0" w:color="auto"/>
                        <w:right w:val="none" w:sz="0" w:space="0" w:color="auto"/>
                      </w:divBdr>
                    </w:div>
                  </w:divsChild>
                </w:div>
                <w:div w:id="183978053">
                  <w:marLeft w:val="0"/>
                  <w:marRight w:val="0"/>
                  <w:marTop w:val="0"/>
                  <w:marBottom w:val="0"/>
                  <w:divBdr>
                    <w:top w:val="none" w:sz="0" w:space="0" w:color="auto"/>
                    <w:left w:val="none" w:sz="0" w:space="0" w:color="auto"/>
                    <w:bottom w:val="none" w:sz="0" w:space="0" w:color="auto"/>
                    <w:right w:val="none" w:sz="0" w:space="0" w:color="auto"/>
                  </w:divBdr>
                  <w:divsChild>
                    <w:div w:id="2068187911">
                      <w:marLeft w:val="0"/>
                      <w:marRight w:val="0"/>
                      <w:marTop w:val="0"/>
                      <w:marBottom w:val="0"/>
                      <w:divBdr>
                        <w:top w:val="none" w:sz="0" w:space="0" w:color="auto"/>
                        <w:left w:val="none" w:sz="0" w:space="0" w:color="auto"/>
                        <w:bottom w:val="none" w:sz="0" w:space="0" w:color="auto"/>
                        <w:right w:val="none" w:sz="0" w:space="0" w:color="auto"/>
                      </w:divBdr>
                    </w:div>
                  </w:divsChild>
                </w:div>
                <w:div w:id="206600523">
                  <w:marLeft w:val="0"/>
                  <w:marRight w:val="0"/>
                  <w:marTop w:val="0"/>
                  <w:marBottom w:val="0"/>
                  <w:divBdr>
                    <w:top w:val="none" w:sz="0" w:space="0" w:color="auto"/>
                    <w:left w:val="none" w:sz="0" w:space="0" w:color="auto"/>
                    <w:bottom w:val="none" w:sz="0" w:space="0" w:color="auto"/>
                    <w:right w:val="none" w:sz="0" w:space="0" w:color="auto"/>
                  </w:divBdr>
                  <w:divsChild>
                    <w:div w:id="1176454002">
                      <w:marLeft w:val="0"/>
                      <w:marRight w:val="0"/>
                      <w:marTop w:val="0"/>
                      <w:marBottom w:val="0"/>
                      <w:divBdr>
                        <w:top w:val="none" w:sz="0" w:space="0" w:color="auto"/>
                        <w:left w:val="none" w:sz="0" w:space="0" w:color="auto"/>
                        <w:bottom w:val="none" w:sz="0" w:space="0" w:color="auto"/>
                        <w:right w:val="none" w:sz="0" w:space="0" w:color="auto"/>
                      </w:divBdr>
                    </w:div>
                  </w:divsChild>
                </w:div>
                <w:div w:id="296449404">
                  <w:marLeft w:val="0"/>
                  <w:marRight w:val="0"/>
                  <w:marTop w:val="0"/>
                  <w:marBottom w:val="0"/>
                  <w:divBdr>
                    <w:top w:val="none" w:sz="0" w:space="0" w:color="auto"/>
                    <w:left w:val="none" w:sz="0" w:space="0" w:color="auto"/>
                    <w:bottom w:val="none" w:sz="0" w:space="0" w:color="auto"/>
                    <w:right w:val="none" w:sz="0" w:space="0" w:color="auto"/>
                  </w:divBdr>
                  <w:divsChild>
                    <w:div w:id="1821340153">
                      <w:marLeft w:val="0"/>
                      <w:marRight w:val="0"/>
                      <w:marTop w:val="0"/>
                      <w:marBottom w:val="0"/>
                      <w:divBdr>
                        <w:top w:val="none" w:sz="0" w:space="0" w:color="auto"/>
                        <w:left w:val="none" w:sz="0" w:space="0" w:color="auto"/>
                        <w:bottom w:val="none" w:sz="0" w:space="0" w:color="auto"/>
                        <w:right w:val="none" w:sz="0" w:space="0" w:color="auto"/>
                      </w:divBdr>
                    </w:div>
                  </w:divsChild>
                </w:div>
                <w:div w:id="397747922">
                  <w:marLeft w:val="0"/>
                  <w:marRight w:val="0"/>
                  <w:marTop w:val="0"/>
                  <w:marBottom w:val="0"/>
                  <w:divBdr>
                    <w:top w:val="none" w:sz="0" w:space="0" w:color="auto"/>
                    <w:left w:val="none" w:sz="0" w:space="0" w:color="auto"/>
                    <w:bottom w:val="none" w:sz="0" w:space="0" w:color="auto"/>
                    <w:right w:val="none" w:sz="0" w:space="0" w:color="auto"/>
                  </w:divBdr>
                  <w:divsChild>
                    <w:div w:id="1775513671">
                      <w:marLeft w:val="0"/>
                      <w:marRight w:val="0"/>
                      <w:marTop w:val="0"/>
                      <w:marBottom w:val="0"/>
                      <w:divBdr>
                        <w:top w:val="none" w:sz="0" w:space="0" w:color="auto"/>
                        <w:left w:val="none" w:sz="0" w:space="0" w:color="auto"/>
                        <w:bottom w:val="none" w:sz="0" w:space="0" w:color="auto"/>
                        <w:right w:val="none" w:sz="0" w:space="0" w:color="auto"/>
                      </w:divBdr>
                    </w:div>
                  </w:divsChild>
                </w:div>
                <w:div w:id="481510153">
                  <w:marLeft w:val="0"/>
                  <w:marRight w:val="0"/>
                  <w:marTop w:val="0"/>
                  <w:marBottom w:val="0"/>
                  <w:divBdr>
                    <w:top w:val="none" w:sz="0" w:space="0" w:color="auto"/>
                    <w:left w:val="none" w:sz="0" w:space="0" w:color="auto"/>
                    <w:bottom w:val="none" w:sz="0" w:space="0" w:color="auto"/>
                    <w:right w:val="none" w:sz="0" w:space="0" w:color="auto"/>
                  </w:divBdr>
                  <w:divsChild>
                    <w:div w:id="432282019">
                      <w:marLeft w:val="0"/>
                      <w:marRight w:val="0"/>
                      <w:marTop w:val="0"/>
                      <w:marBottom w:val="0"/>
                      <w:divBdr>
                        <w:top w:val="none" w:sz="0" w:space="0" w:color="auto"/>
                        <w:left w:val="none" w:sz="0" w:space="0" w:color="auto"/>
                        <w:bottom w:val="none" w:sz="0" w:space="0" w:color="auto"/>
                        <w:right w:val="none" w:sz="0" w:space="0" w:color="auto"/>
                      </w:divBdr>
                    </w:div>
                  </w:divsChild>
                </w:div>
                <w:div w:id="924412601">
                  <w:marLeft w:val="0"/>
                  <w:marRight w:val="0"/>
                  <w:marTop w:val="0"/>
                  <w:marBottom w:val="0"/>
                  <w:divBdr>
                    <w:top w:val="none" w:sz="0" w:space="0" w:color="auto"/>
                    <w:left w:val="none" w:sz="0" w:space="0" w:color="auto"/>
                    <w:bottom w:val="none" w:sz="0" w:space="0" w:color="auto"/>
                    <w:right w:val="none" w:sz="0" w:space="0" w:color="auto"/>
                  </w:divBdr>
                  <w:divsChild>
                    <w:div w:id="14618553">
                      <w:marLeft w:val="0"/>
                      <w:marRight w:val="0"/>
                      <w:marTop w:val="0"/>
                      <w:marBottom w:val="0"/>
                      <w:divBdr>
                        <w:top w:val="none" w:sz="0" w:space="0" w:color="auto"/>
                        <w:left w:val="none" w:sz="0" w:space="0" w:color="auto"/>
                        <w:bottom w:val="none" w:sz="0" w:space="0" w:color="auto"/>
                        <w:right w:val="none" w:sz="0" w:space="0" w:color="auto"/>
                      </w:divBdr>
                    </w:div>
                    <w:div w:id="1046098178">
                      <w:marLeft w:val="0"/>
                      <w:marRight w:val="0"/>
                      <w:marTop w:val="0"/>
                      <w:marBottom w:val="0"/>
                      <w:divBdr>
                        <w:top w:val="none" w:sz="0" w:space="0" w:color="auto"/>
                        <w:left w:val="none" w:sz="0" w:space="0" w:color="auto"/>
                        <w:bottom w:val="none" w:sz="0" w:space="0" w:color="auto"/>
                        <w:right w:val="none" w:sz="0" w:space="0" w:color="auto"/>
                      </w:divBdr>
                    </w:div>
                    <w:div w:id="1888566923">
                      <w:marLeft w:val="0"/>
                      <w:marRight w:val="0"/>
                      <w:marTop w:val="0"/>
                      <w:marBottom w:val="0"/>
                      <w:divBdr>
                        <w:top w:val="none" w:sz="0" w:space="0" w:color="auto"/>
                        <w:left w:val="none" w:sz="0" w:space="0" w:color="auto"/>
                        <w:bottom w:val="none" w:sz="0" w:space="0" w:color="auto"/>
                        <w:right w:val="none" w:sz="0" w:space="0" w:color="auto"/>
                      </w:divBdr>
                    </w:div>
                  </w:divsChild>
                </w:div>
                <w:div w:id="1193957714">
                  <w:marLeft w:val="0"/>
                  <w:marRight w:val="0"/>
                  <w:marTop w:val="0"/>
                  <w:marBottom w:val="0"/>
                  <w:divBdr>
                    <w:top w:val="none" w:sz="0" w:space="0" w:color="auto"/>
                    <w:left w:val="none" w:sz="0" w:space="0" w:color="auto"/>
                    <w:bottom w:val="none" w:sz="0" w:space="0" w:color="auto"/>
                    <w:right w:val="none" w:sz="0" w:space="0" w:color="auto"/>
                  </w:divBdr>
                  <w:divsChild>
                    <w:div w:id="1946034257">
                      <w:marLeft w:val="0"/>
                      <w:marRight w:val="0"/>
                      <w:marTop w:val="0"/>
                      <w:marBottom w:val="0"/>
                      <w:divBdr>
                        <w:top w:val="none" w:sz="0" w:space="0" w:color="auto"/>
                        <w:left w:val="none" w:sz="0" w:space="0" w:color="auto"/>
                        <w:bottom w:val="none" w:sz="0" w:space="0" w:color="auto"/>
                        <w:right w:val="none" w:sz="0" w:space="0" w:color="auto"/>
                      </w:divBdr>
                    </w:div>
                  </w:divsChild>
                </w:div>
                <w:div w:id="1310479959">
                  <w:marLeft w:val="0"/>
                  <w:marRight w:val="0"/>
                  <w:marTop w:val="0"/>
                  <w:marBottom w:val="0"/>
                  <w:divBdr>
                    <w:top w:val="none" w:sz="0" w:space="0" w:color="auto"/>
                    <w:left w:val="none" w:sz="0" w:space="0" w:color="auto"/>
                    <w:bottom w:val="none" w:sz="0" w:space="0" w:color="auto"/>
                    <w:right w:val="none" w:sz="0" w:space="0" w:color="auto"/>
                  </w:divBdr>
                  <w:divsChild>
                    <w:div w:id="1449929693">
                      <w:marLeft w:val="0"/>
                      <w:marRight w:val="0"/>
                      <w:marTop w:val="0"/>
                      <w:marBottom w:val="0"/>
                      <w:divBdr>
                        <w:top w:val="none" w:sz="0" w:space="0" w:color="auto"/>
                        <w:left w:val="none" w:sz="0" w:space="0" w:color="auto"/>
                        <w:bottom w:val="none" w:sz="0" w:space="0" w:color="auto"/>
                        <w:right w:val="none" w:sz="0" w:space="0" w:color="auto"/>
                      </w:divBdr>
                    </w:div>
                  </w:divsChild>
                </w:div>
                <w:div w:id="1354838613">
                  <w:marLeft w:val="0"/>
                  <w:marRight w:val="0"/>
                  <w:marTop w:val="0"/>
                  <w:marBottom w:val="0"/>
                  <w:divBdr>
                    <w:top w:val="none" w:sz="0" w:space="0" w:color="auto"/>
                    <w:left w:val="none" w:sz="0" w:space="0" w:color="auto"/>
                    <w:bottom w:val="none" w:sz="0" w:space="0" w:color="auto"/>
                    <w:right w:val="none" w:sz="0" w:space="0" w:color="auto"/>
                  </w:divBdr>
                  <w:divsChild>
                    <w:div w:id="1474176215">
                      <w:marLeft w:val="0"/>
                      <w:marRight w:val="0"/>
                      <w:marTop w:val="0"/>
                      <w:marBottom w:val="0"/>
                      <w:divBdr>
                        <w:top w:val="none" w:sz="0" w:space="0" w:color="auto"/>
                        <w:left w:val="none" w:sz="0" w:space="0" w:color="auto"/>
                        <w:bottom w:val="none" w:sz="0" w:space="0" w:color="auto"/>
                        <w:right w:val="none" w:sz="0" w:space="0" w:color="auto"/>
                      </w:divBdr>
                    </w:div>
                  </w:divsChild>
                </w:div>
                <w:div w:id="1355615919">
                  <w:marLeft w:val="0"/>
                  <w:marRight w:val="0"/>
                  <w:marTop w:val="0"/>
                  <w:marBottom w:val="0"/>
                  <w:divBdr>
                    <w:top w:val="none" w:sz="0" w:space="0" w:color="auto"/>
                    <w:left w:val="none" w:sz="0" w:space="0" w:color="auto"/>
                    <w:bottom w:val="none" w:sz="0" w:space="0" w:color="auto"/>
                    <w:right w:val="none" w:sz="0" w:space="0" w:color="auto"/>
                  </w:divBdr>
                  <w:divsChild>
                    <w:div w:id="637303608">
                      <w:marLeft w:val="0"/>
                      <w:marRight w:val="0"/>
                      <w:marTop w:val="0"/>
                      <w:marBottom w:val="0"/>
                      <w:divBdr>
                        <w:top w:val="none" w:sz="0" w:space="0" w:color="auto"/>
                        <w:left w:val="none" w:sz="0" w:space="0" w:color="auto"/>
                        <w:bottom w:val="none" w:sz="0" w:space="0" w:color="auto"/>
                        <w:right w:val="none" w:sz="0" w:space="0" w:color="auto"/>
                      </w:divBdr>
                    </w:div>
                  </w:divsChild>
                </w:div>
                <w:div w:id="1417825031">
                  <w:marLeft w:val="0"/>
                  <w:marRight w:val="0"/>
                  <w:marTop w:val="0"/>
                  <w:marBottom w:val="0"/>
                  <w:divBdr>
                    <w:top w:val="none" w:sz="0" w:space="0" w:color="auto"/>
                    <w:left w:val="none" w:sz="0" w:space="0" w:color="auto"/>
                    <w:bottom w:val="none" w:sz="0" w:space="0" w:color="auto"/>
                    <w:right w:val="none" w:sz="0" w:space="0" w:color="auto"/>
                  </w:divBdr>
                  <w:divsChild>
                    <w:div w:id="325549487">
                      <w:marLeft w:val="0"/>
                      <w:marRight w:val="0"/>
                      <w:marTop w:val="0"/>
                      <w:marBottom w:val="0"/>
                      <w:divBdr>
                        <w:top w:val="none" w:sz="0" w:space="0" w:color="auto"/>
                        <w:left w:val="none" w:sz="0" w:space="0" w:color="auto"/>
                        <w:bottom w:val="none" w:sz="0" w:space="0" w:color="auto"/>
                        <w:right w:val="none" w:sz="0" w:space="0" w:color="auto"/>
                      </w:divBdr>
                    </w:div>
                  </w:divsChild>
                </w:div>
                <w:div w:id="1526559296">
                  <w:marLeft w:val="0"/>
                  <w:marRight w:val="0"/>
                  <w:marTop w:val="0"/>
                  <w:marBottom w:val="0"/>
                  <w:divBdr>
                    <w:top w:val="none" w:sz="0" w:space="0" w:color="auto"/>
                    <w:left w:val="none" w:sz="0" w:space="0" w:color="auto"/>
                    <w:bottom w:val="none" w:sz="0" w:space="0" w:color="auto"/>
                    <w:right w:val="none" w:sz="0" w:space="0" w:color="auto"/>
                  </w:divBdr>
                  <w:divsChild>
                    <w:div w:id="1908606408">
                      <w:marLeft w:val="0"/>
                      <w:marRight w:val="0"/>
                      <w:marTop w:val="0"/>
                      <w:marBottom w:val="0"/>
                      <w:divBdr>
                        <w:top w:val="none" w:sz="0" w:space="0" w:color="auto"/>
                        <w:left w:val="none" w:sz="0" w:space="0" w:color="auto"/>
                        <w:bottom w:val="none" w:sz="0" w:space="0" w:color="auto"/>
                        <w:right w:val="none" w:sz="0" w:space="0" w:color="auto"/>
                      </w:divBdr>
                    </w:div>
                  </w:divsChild>
                </w:div>
                <w:div w:id="1652979970">
                  <w:marLeft w:val="0"/>
                  <w:marRight w:val="0"/>
                  <w:marTop w:val="0"/>
                  <w:marBottom w:val="0"/>
                  <w:divBdr>
                    <w:top w:val="none" w:sz="0" w:space="0" w:color="auto"/>
                    <w:left w:val="none" w:sz="0" w:space="0" w:color="auto"/>
                    <w:bottom w:val="none" w:sz="0" w:space="0" w:color="auto"/>
                    <w:right w:val="none" w:sz="0" w:space="0" w:color="auto"/>
                  </w:divBdr>
                  <w:divsChild>
                    <w:div w:id="1165169114">
                      <w:marLeft w:val="0"/>
                      <w:marRight w:val="0"/>
                      <w:marTop w:val="0"/>
                      <w:marBottom w:val="0"/>
                      <w:divBdr>
                        <w:top w:val="none" w:sz="0" w:space="0" w:color="auto"/>
                        <w:left w:val="none" w:sz="0" w:space="0" w:color="auto"/>
                        <w:bottom w:val="none" w:sz="0" w:space="0" w:color="auto"/>
                        <w:right w:val="none" w:sz="0" w:space="0" w:color="auto"/>
                      </w:divBdr>
                    </w:div>
                  </w:divsChild>
                </w:div>
                <w:div w:id="1666283326">
                  <w:marLeft w:val="0"/>
                  <w:marRight w:val="0"/>
                  <w:marTop w:val="0"/>
                  <w:marBottom w:val="0"/>
                  <w:divBdr>
                    <w:top w:val="none" w:sz="0" w:space="0" w:color="auto"/>
                    <w:left w:val="none" w:sz="0" w:space="0" w:color="auto"/>
                    <w:bottom w:val="none" w:sz="0" w:space="0" w:color="auto"/>
                    <w:right w:val="none" w:sz="0" w:space="0" w:color="auto"/>
                  </w:divBdr>
                  <w:divsChild>
                    <w:div w:id="574246393">
                      <w:marLeft w:val="0"/>
                      <w:marRight w:val="0"/>
                      <w:marTop w:val="0"/>
                      <w:marBottom w:val="0"/>
                      <w:divBdr>
                        <w:top w:val="none" w:sz="0" w:space="0" w:color="auto"/>
                        <w:left w:val="none" w:sz="0" w:space="0" w:color="auto"/>
                        <w:bottom w:val="none" w:sz="0" w:space="0" w:color="auto"/>
                        <w:right w:val="none" w:sz="0" w:space="0" w:color="auto"/>
                      </w:divBdr>
                    </w:div>
                    <w:div w:id="856119151">
                      <w:marLeft w:val="0"/>
                      <w:marRight w:val="0"/>
                      <w:marTop w:val="0"/>
                      <w:marBottom w:val="0"/>
                      <w:divBdr>
                        <w:top w:val="none" w:sz="0" w:space="0" w:color="auto"/>
                        <w:left w:val="none" w:sz="0" w:space="0" w:color="auto"/>
                        <w:bottom w:val="none" w:sz="0" w:space="0" w:color="auto"/>
                        <w:right w:val="none" w:sz="0" w:space="0" w:color="auto"/>
                      </w:divBdr>
                    </w:div>
                    <w:div w:id="1591742777">
                      <w:marLeft w:val="0"/>
                      <w:marRight w:val="0"/>
                      <w:marTop w:val="0"/>
                      <w:marBottom w:val="0"/>
                      <w:divBdr>
                        <w:top w:val="none" w:sz="0" w:space="0" w:color="auto"/>
                        <w:left w:val="none" w:sz="0" w:space="0" w:color="auto"/>
                        <w:bottom w:val="none" w:sz="0" w:space="0" w:color="auto"/>
                        <w:right w:val="none" w:sz="0" w:space="0" w:color="auto"/>
                      </w:divBdr>
                    </w:div>
                  </w:divsChild>
                </w:div>
                <w:div w:id="1919552813">
                  <w:marLeft w:val="0"/>
                  <w:marRight w:val="0"/>
                  <w:marTop w:val="0"/>
                  <w:marBottom w:val="0"/>
                  <w:divBdr>
                    <w:top w:val="none" w:sz="0" w:space="0" w:color="auto"/>
                    <w:left w:val="none" w:sz="0" w:space="0" w:color="auto"/>
                    <w:bottom w:val="none" w:sz="0" w:space="0" w:color="auto"/>
                    <w:right w:val="none" w:sz="0" w:space="0" w:color="auto"/>
                  </w:divBdr>
                  <w:divsChild>
                    <w:div w:id="1763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61097">
          <w:marLeft w:val="0"/>
          <w:marRight w:val="0"/>
          <w:marTop w:val="0"/>
          <w:marBottom w:val="0"/>
          <w:divBdr>
            <w:top w:val="none" w:sz="0" w:space="0" w:color="auto"/>
            <w:left w:val="none" w:sz="0" w:space="0" w:color="auto"/>
            <w:bottom w:val="none" w:sz="0" w:space="0" w:color="auto"/>
            <w:right w:val="none" w:sz="0" w:space="0" w:color="auto"/>
          </w:divBdr>
          <w:divsChild>
            <w:div w:id="323120948">
              <w:marLeft w:val="0"/>
              <w:marRight w:val="0"/>
              <w:marTop w:val="0"/>
              <w:marBottom w:val="0"/>
              <w:divBdr>
                <w:top w:val="none" w:sz="0" w:space="0" w:color="auto"/>
                <w:left w:val="none" w:sz="0" w:space="0" w:color="auto"/>
                <w:bottom w:val="none" w:sz="0" w:space="0" w:color="auto"/>
                <w:right w:val="none" w:sz="0" w:space="0" w:color="auto"/>
              </w:divBdr>
              <w:divsChild>
                <w:div w:id="1052312626">
                  <w:marLeft w:val="0"/>
                  <w:marRight w:val="0"/>
                  <w:marTop w:val="0"/>
                  <w:marBottom w:val="0"/>
                  <w:divBdr>
                    <w:top w:val="none" w:sz="0" w:space="0" w:color="auto"/>
                    <w:left w:val="none" w:sz="0" w:space="0" w:color="auto"/>
                    <w:bottom w:val="none" w:sz="0" w:space="0" w:color="auto"/>
                    <w:right w:val="none" w:sz="0" w:space="0" w:color="auto"/>
                  </w:divBdr>
                </w:div>
                <w:div w:id="1866400368">
                  <w:marLeft w:val="0"/>
                  <w:marRight w:val="0"/>
                  <w:marTop w:val="0"/>
                  <w:marBottom w:val="0"/>
                  <w:divBdr>
                    <w:top w:val="none" w:sz="0" w:space="0" w:color="auto"/>
                    <w:left w:val="none" w:sz="0" w:space="0" w:color="auto"/>
                    <w:bottom w:val="none" w:sz="0" w:space="0" w:color="auto"/>
                    <w:right w:val="none" w:sz="0" w:space="0" w:color="auto"/>
                  </w:divBdr>
                </w:div>
              </w:divsChild>
            </w:div>
            <w:div w:id="1088766395">
              <w:marLeft w:val="0"/>
              <w:marRight w:val="0"/>
              <w:marTop w:val="0"/>
              <w:marBottom w:val="0"/>
              <w:divBdr>
                <w:top w:val="none" w:sz="0" w:space="0" w:color="auto"/>
                <w:left w:val="none" w:sz="0" w:space="0" w:color="auto"/>
                <w:bottom w:val="none" w:sz="0" w:space="0" w:color="auto"/>
                <w:right w:val="none" w:sz="0" w:space="0" w:color="auto"/>
              </w:divBdr>
              <w:divsChild>
                <w:div w:id="1042749450">
                  <w:marLeft w:val="0"/>
                  <w:marRight w:val="0"/>
                  <w:marTop w:val="0"/>
                  <w:marBottom w:val="0"/>
                  <w:divBdr>
                    <w:top w:val="none" w:sz="0" w:space="0" w:color="auto"/>
                    <w:left w:val="none" w:sz="0" w:space="0" w:color="auto"/>
                    <w:bottom w:val="none" w:sz="0" w:space="0" w:color="auto"/>
                    <w:right w:val="none" w:sz="0" w:space="0" w:color="auto"/>
                  </w:divBdr>
                </w:div>
              </w:divsChild>
            </w:div>
            <w:div w:id="1123382199">
              <w:marLeft w:val="0"/>
              <w:marRight w:val="0"/>
              <w:marTop w:val="0"/>
              <w:marBottom w:val="0"/>
              <w:divBdr>
                <w:top w:val="none" w:sz="0" w:space="0" w:color="auto"/>
                <w:left w:val="none" w:sz="0" w:space="0" w:color="auto"/>
                <w:bottom w:val="none" w:sz="0" w:space="0" w:color="auto"/>
                <w:right w:val="none" w:sz="0" w:space="0" w:color="auto"/>
              </w:divBdr>
              <w:divsChild>
                <w:div w:id="849291539">
                  <w:marLeft w:val="0"/>
                  <w:marRight w:val="0"/>
                  <w:marTop w:val="0"/>
                  <w:marBottom w:val="0"/>
                  <w:divBdr>
                    <w:top w:val="none" w:sz="0" w:space="0" w:color="auto"/>
                    <w:left w:val="none" w:sz="0" w:space="0" w:color="auto"/>
                    <w:bottom w:val="none" w:sz="0" w:space="0" w:color="auto"/>
                    <w:right w:val="none" w:sz="0" w:space="0" w:color="auto"/>
                  </w:divBdr>
                </w:div>
              </w:divsChild>
            </w:div>
            <w:div w:id="1621570168">
              <w:marLeft w:val="0"/>
              <w:marRight w:val="0"/>
              <w:marTop w:val="0"/>
              <w:marBottom w:val="0"/>
              <w:divBdr>
                <w:top w:val="none" w:sz="0" w:space="0" w:color="auto"/>
                <w:left w:val="none" w:sz="0" w:space="0" w:color="auto"/>
                <w:bottom w:val="none" w:sz="0" w:space="0" w:color="auto"/>
                <w:right w:val="none" w:sz="0" w:space="0" w:color="auto"/>
              </w:divBdr>
              <w:divsChild>
                <w:div w:id="1306281578">
                  <w:marLeft w:val="0"/>
                  <w:marRight w:val="0"/>
                  <w:marTop w:val="0"/>
                  <w:marBottom w:val="0"/>
                  <w:divBdr>
                    <w:top w:val="none" w:sz="0" w:space="0" w:color="auto"/>
                    <w:left w:val="none" w:sz="0" w:space="0" w:color="auto"/>
                    <w:bottom w:val="none" w:sz="0" w:space="0" w:color="auto"/>
                    <w:right w:val="none" w:sz="0" w:space="0" w:color="auto"/>
                  </w:divBdr>
                </w:div>
                <w:div w:id="1654796060">
                  <w:marLeft w:val="0"/>
                  <w:marRight w:val="0"/>
                  <w:marTop w:val="0"/>
                  <w:marBottom w:val="0"/>
                  <w:divBdr>
                    <w:top w:val="none" w:sz="0" w:space="0" w:color="auto"/>
                    <w:left w:val="none" w:sz="0" w:space="0" w:color="auto"/>
                    <w:bottom w:val="none" w:sz="0" w:space="0" w:color="auto"/>
                    <w:right w:val="none" w:sz="0" w:space="0" w:color="auto"/>
                  </w:divBdr>
                </w:div>
                <w:div w:id="19033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9932">
          <w:marLeft w:val="0"/>
          <w:marRight w:val="0"/>
          <w:marTop w:val="0"/>
          <w:marBottom w:val="0"/>
          <w:divBdr>
            <w:top w:val="none" w:sz="0" w:space="0" w:color="auto"/>
            <w:left w:val="none" w:sz="0" w:space="0" w:color="auto"/>
            <w:bottom w:val="none" w:sz="0" w:space="0" w:color="auto"/>
            <w:right w:val="none" w:sz="0" w:space="0" w:color="auto"/>
          </w:divBdr>
          <w:divsChild>
            <w:div w:id="1087000441">
              <w:marLeft w:val="0"/>
              <w:marRight w:val="0"/>
              <w:marTop w:val="0"/>
              <w:marBottom w:val="0"/>
              <w:divBdr>
                <w:top w:val="none" w:sz="0" w:space="0" w:color="auto"/>
                <w:left w:val="none" w:sz="0" w:space="0" w:color="auto"/>
                <w:bottom w:val="none" w:sz="0" w:space="0" w:color="auto"/>
                <w:right w:val="none" w:sz="0" w:space="0" w:color="auto"/>
              </w:divBdr>
              <w:divsChild>
                <w:div w:id="1425685566">
                  <w:marLeft w:val="0"/>
                  <w:marRight w:val="0"/>
                  <w:marTop w:val="0"/>
                  <w:marBottom w:val="0"/>
                  <w:divBdr>
                    <w:top w:val="none" w:sz="0" w:space="0" w:color="auto"/>
                    <w:left w:val="none" w:sz="0" w:space="0" w:color="auto"/>
                    <w:bottom w:val="none" w:sz="0" w:space="0" w:color="auto"/>
                    <w:right w:val="none" w:sz="0" w:space="0" w:color="auto"/>
                  </w:divBdr>
                </w:div>
              </w:divsChild>
            </w:div>
            <w:div w:id="1543247045">
              <w:marLeft w:val="0"/>
              <w:marRight w:val="0"/>
              <w:marTop w:val="0"/>
              <w:marBottom w:val="0"/>
              <w:divBdr>
                <w:top w:val="none" w:sz="0" w:space="0" w:color="auto"/>
                <w:left w:val="none" w:sz="0" w:space="0" w:color="auto"/>
                <w:bottom w:val="none" w:sz="0" w:space="0" w:color="auto"/>
                <w:right w:val="none" w:sz="0" w:space="0" w:color="auto"/>
              </w:divBdr>
              <w:divsChild>
                <w:div w:id="20509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60871">
          <w:marLeft w:val="0"/>
          <w:marRight w:val="0"/>
          <w:marTop w:val="0"/>
          <w:marBottom w:val="0"/>
          <w:divBdr>
            <w:top w:val="none" w:sz="0" w:space="0" w:color="auto"/>
            <w:left w:val="none" w:sz="0" w:space="0" w:color="auto"/>
            <w:bottom w:val="none" w:sz="0" w:space="0" w:color="auto"/>
            <w:right w:val="none" w:sz="0" w:space="0" w:color="auto"/>
          </w:divBdr>
          <w:divsChild>
            <w:div w:id="865219619">
              <w:marLeft w:val="0"/>
              <w:marRight w:val="0"/>
              <w:marTop w:val="0"/>
              <w:marBottom w:val="0"/>
              <w:divBdr>
                <w:top w:val="none" w:sz="0" w:space="0" w:color="auto"/>
                <w:left w:val="none" w:sz="0" w:space="0" w:color="auto"/>
                <w:bottom w:val="none" w:sz="0" w:space="0" w:color="auto"/>
                <w:right w:val="none" w:sz="0" w:space="0" w:color="auto"/>
              </w:divBdr>
              <w:divsChild>
                <w:div w:id="824277909">
                  <w:marLeft w:val="0"/>
                  <w:marRight w:val="0"/>
                  <w:marTop w:val="0"/>
                  <w:marBottom w:val="0"/>
                  <w:divBdr>
                    <w:top w:val="none" w:sz="0" w:space="0" w:color="auto"/>
                    <w:left w:val="none" w:sz="0" w:space="0" w:color="auto"/>
                    <w:bottom w:val="none" w:sz="0" w:space="0" w:color="auto"/>
                    <w:right w:val="none" w:sz="0" w:space="0" w:color="auto"/>
                  </w:divBdr>
                </w:div>
              </w:divsChild>
            </w:div>
            <w:div w:id="1079445597">
              <w:marLeft w:val="0"/>
              <w:marRight w:val="0"/>
              <w:marTop w:val="0"/>
              <w:marBottom w:val="0"/>
              <w:divBdr>
                <w:top w:val="none" w:sz="0" w:space="0" w:color="auto"/>
                <w:left w:val="none" w:sz="0" w:space="0" w:color="auto"/>
                <w:bottom w:val="none" w:sz="0" w:space="0" w:color="auto"/>
                <w:right w:val="none" w:sz="0" w:space="0" w:color="auto"/>
              </w:divBdr>
              <w:divsChild>
                <w:div w:id="95634702">
                  <w:marLeft w:val="0"/>
                  <w:marRight w:val="0"/>
                  <w:marTop w:val="0"/>
                  <w:marBottom w:val="0"/>
                  <w:divBdr>
                    <w:top w:val="none" w:sz="0" w:space="0" w:color="auto"/>
                    <w:left w:val="none" w:sz="0" w:space="0" w:color="auto"/>
                    <w:bottom w:val="none" w:sz="0" w:space="0" w:color="auto"/>
                    <w:right w:val="none" w:sz="0" w:space="0" w:color="auto"/>
                  </w:divBdr>
                </w:div>
              </w:divsChild>
            </w:div>
            <w:div w:id="1237473773">
              <w:marLeft w:val="0"/>
              <w:marRight w:val="0"/>
              <w:marTop w:val="0"/>
              <w:marBottom w:val="0"/>
              <w:divBdr>
                <w:top w:val="none" w:sz="0" w:space="0" w:color="auto"/>
                <w:left w:val="none" w:sz="0" w:space="0" w:color="auto"/>
                <w:bottom w:val="none" w:sz="0" w:space="0" w:color="auto"/>
                <w:right w:val="none" w:sz="0" w:space="0" w:color="auto"/>
              </w:divBdr>
              <w:divsChild>
                <w:div w:id="118478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42686">
      <w:bodyDiv w:val="1"/>
      <w:marLeft w:val="0"/>
      <w:marRight w:val="0"/>
      <w:marTop w:val="0"/>
      <w:marBottom w:val="0"/>
      <w:divBdr>
        <w:top w:val="none" w:sz="0" w:space="0" w:color="auto"/>
        <w:left w:val="none" w:sz="0" w:space="0" w:color="auto"/>
        <w:bottom w:val="none" w:sz="0" w:space="0" w:color="auto"/>
        <w:right w:val="none" w:sz="0" w:space="0" w:color="auto"/>
      </w:divBdr>
    </w:div>
    <w:div w:id="1127159775">
      <w:bodyDiv w:val="1"/>
      <w:marLeft w:val="0"/>
      <w:marRight w:val="0"/>
      <w:marTop w:val="0"/>
      <w:marBottom w:val="0"/>
      <w:divBdr>
        <w:top w:val="none" w:sz="0" w:space="0" w:color="auto"/>
        <w:left w:val="none" w:sz="0" w:space="0" w:color="auto"/>
        <w:bottom w:val="none" w:sz="0" w:space="0" w:color="auto"/>
        <w:right w:val="none" w:sz="0" w:space="0" w:color="auto"/>
      </w:divBdr>
    </w:div>
    <w:div w:id="1132020933">
      <w:bodyDiv w:val="1"/>
      <w:marLeft w:val="0"/>
      <w:marRight w:val="0"/>
      <w:marTop w:val="0"/>
      <w:marBottom w:val="0"/>
      <w:divBdr>
        <w:top w:val="none" w:sz="0" w:space="0" w:color="auto"/>
        <w:left w:val="none" w:sz="0" w:space="0" w:color="auto"/>
        <w:bottom w:val="none" w:sz="0" w:space="0" w:color="auto"/>
        <w:right w:val="none" w:sz="0" w:space="0" w:color="auto"/>
      </w:divBdr>
    </w:div>
    <w:div w:id="1133139320">
      <w:bodyDiv w:val="1"/>
      <w:marLeft w:val="0"/>
      <w:marRight w:val="0"/>
      <w:marTop w:val="0"/>
      <w:marBottom w:val="0"/>
      <w:divBdr>
        <w:top w:val="none" w:sz="0" w:space="0" w:color="auto"/>
        <w:left w:val="none" w:sz="0" w:space="0" w:color="auto"/>
        <w:bottom w:val="none" w:sz="0" w:space="0" w:color="auto"/>
        <w:right w:val="none" w:sz="0" w:space="0" w:color="auto"/>
      </w:divBdr>
    </w:div>
    <w:div w:id="1136534043">
      <w:bodyDiv w:val="1"/>
      <w:marLeft w:val="0"/>
      <w:marRight w:val="0"/>
      <w:marTop w:val="0"/>
      <w:marBottom w:val="0"/>
      <w:divBdr>
        <w:top w:val="none" w:sz="0" w:space="0" w:color="auto"/>
        <w:left w:val="none" w:sz="0" w:space="0" w:color="auto"/>
        <w:bottom w:val="none" w:sz="0" w:space="0" w:color="auto"/>
        <w:right w:val="none" w:sz="0" w:space="0" w:color="auto"/>
      </w:divBdr>
    </w:div>
    <w:div w:id="1144389738">
      <w:bodyDiv w:val="1"/>
      <w:marLeft w:val="0"/>
      <w:marRight w:val="0"/>
      <w:marTop w:val="0"/>
      <w:marBottom w:val="0"/>
      <w:divBdr>
        <w:top w:val="none" w:sz="0" w:space="0" w:color="auto"/>
        <w:left w:val="none" w:sz="0" w:space="0" w:color="auto"/>
        <w:bottom w:val="none" w:sz="0" w:space="0" w:color="auto"/>
        <w:right w:val="none" w:sz="0" w:space="0" w:color="auto"/>
      </w:divBdr>
    </w:div>
    <w:div w:id="1146509419">
      <w:bodyDiv w:val="1"/>
      <w:marLeft w:val="0"/>
      <w:marRight w:val="0"/>
      <w:marTop w:val="0"/>
      <w:marBottom w:val="0"/>
      <w:divBdr>
        <w:top w:val="none" w:sz="0" w:space="0" w:color="auto"/>
        <w:left w:val="none" w:sz="0" w:space="0" w:color="auto"/>
        <w:bottom w:val="none" w:sz="0" w:space="0" w:color="auto"/>
        <w:right w:val="none" w:sz="0" w:space="0" w:color="auto"/>
      </w:divBdr>
    </w:div>
    <w:div w:id="1148547737">
      <w:bodyDiv w:val="1"/>
      <w:marLeft w:val="0"/>
      <w:marRight w:val="0"/>
      <w:marTop w:val="0"/>
      <w:marBottom w:val="0"/>
      <w:divBdr>
        <w:top w:val="none" w:sz="0" w:space="0" w:color="auto"/>
        <w:left w:val="none" w:sz="0" w:space="0" w:color="auto"/>
        <w:bottom w:val="none" w:sz="0" w:space="0" w:color="auto"/>
        <w:right w:val="none" w:sz="0" w:space="0" w:color="auto"/>
      </w:divBdr>
    </w:div>
    <w:div w:id="1166365844">
      <w:bodyDiv w:val="1"/>
      <w:marLeft w:val="0"/>
      <w:marRight w:val="0"/>
      <w:marTop w:val="0"/>
      <w:marBottom w:val="0"/>
      <w:divBdr>
        <w:top w:val="none" w:sz="0" w:space="0" w:color="auto"/>
        <w:left w:val="none" w:sz="0" w:space="0" w:color="auto"/>
        <w:bottom w:val="none" w:sz="0" w:space="0" w:color="auto"/>
        <w:right w:val="none" w:sz="0" w:space="0" w:color="auto"/>
      </w:divBdr>
    </w:div>
    <w:div w:id="1176309802">
      <w:bodyDiv w:val="1"/>
      <w:marLeft w:val="0"/>
      <w:marRight w:val="0"/>
      <w:marTop w:val="0"/>
      <w:marBottom w:val="0"/>
      <w:divBdr>
        <w:top w:val="none" w:sz="0" w:space="0" w:color="auto"/>
        <w:left w:val="none" w:sz="0" w:space="0" w:color="auto"/>
        <w:bottom w:val="none" w:sz="0" w:space="0" w:color="auto"/>
        <w:right w:val="none" w:sz="0" w:space="0" w:color="auto"/>
      </w:divBdr>
    </w:div>
    <w:div w:id="1182822933">
      <w:bodyDiv w:val="1"/>
      <w:marLeft w:val="0"/>
      <w:marRight w:val="0"/>
      <w:marTop w:val="0"/>
      <w:marBottom w:val="0"/>
      <w:divBdr>
        <w:top w:val="none" w:sz="0" w:space="0" w:color="auto"/>
        <w:left w:val="none" w:sz="0" w:space="0" w:color="auto"/>
        <w:bottom w:val="none" w:sz="0" w:space="0" w:color="auto"/>
        <w:right w:val="none" w:sz="0" w:space="0" w:color="auto"/>
      </w:divBdr>
    </w:div>
    <w:div w:id="1211268329">
      <w:bodyDiv w:val="1"/>
      <w:marLeft w:val="0"/>
      <w:marRight w:val="0"/>
      <w:marTop w:val="0"/>
      <w:marBottom w:val="0"/>
      <w:divBdr>
        <w:top w:val="none" w:sz="0" w:space="0" w:color="auto"/>
        <w:left w:val="none" w:sz="0" w:space="0" w:color="auto"/>
        <w:bottom w:val="none" w:sz="0" w:space="0" w:color="auto"/>
        <w:right w:val="none" w:sz="0" w:space="0" w:color="auto"/>
      </w:divBdr>
    </w:div>
    <w:div w:id="1218661785">
      <w:bodyDiv w:val="1"/>
      <w:marLeft w:val="0"/>
      <w:marRight w:val="0"/>
      <w:marTop w:val="0"/>
      <w:marBottom w:val="0"/>
      <w:divBdr>
        <w:top w:val="none" w:sz="0" w:space="0" w:color="auto"/>
        <w:left w:val="none" w:sz="0" w:space="0" w:color="auto"/>
        <w:bottom w:val="none" w:sz="0" w:space="0" w:color="auto"/>
        <w:right w:val="none" w:sz="0" w:space="0" w:color="auto"/>
      </w:divBdr>
    </w:div>
    <w:div w:id="1231497572">
      <w:bodyDiv w:val="1"/>
      <w:marLeft w:val="0"/>
      <w:marRight w:val="0"/>
      <w:marTop w:val="0"/>
      <w:marBottom w:val="0"/>
      <w:divBdr>
        <w:top w:val="none" w:sz="0" w:space="0" w:color="auto"/>
        <w:left w:val="none" w:sz="0" w:space="0" w:color="auto"/>
        <w:bottom w:val="none" w:sz="0" w:space="0" w:color="auto"/>
        <w:right w:val="none" w:sz="0" w:space="0" w:color="auto"/>
      </w:divBdr>
    </w:div>
    <w:div w:id="1240596727">
      <w:bodyDiv w:val="1"/>
      <w:marLeft w:val="0"/>
      <w:marRight w:val="0"/>
      <w:marTop w:val="0"/>
      <w:marBottom w:val="0"/>
      <w:divBdr>
        <w:top w:val="none" w:sz="0" w:space="0" w:color="auto"/>
        <w:left w:val="none" w:sz="0" w:space="0" w:color="auto"/>
        <w:bottom w:val="none" w:sz="0" w:space="0" w:color="auto"/>
        <w:right w:val="none" w:sz="0" w:space="0" w:color="auto"/>
      </w:divBdr>
    </w:div>
    <w:div w:id="1244754058">
      <w:bodyDiv w:val="1"/>
      <w:marLeft w:val="0"/>
      <w:marRight w:val="0"/>
      <w:marTop w:val="0"/>
      <w:marBottom w:val="0"/>
      <w:divBdr>
        <w:top w:val="none" w:sz="0" w:space="0" w:color="auto"/>
        <w:left w:val="none" w:sz="0" w:space="0" w:color="auto"/>
        <w:bottom w:val="none" w:sz="0" w:space="0" w:color="auto"/>
        <w:right w:val="none" w:sz="0" w:space="0" w:color="auto"/>
      </w:divBdr>
    </w:div>
    <w:div w:id="1255817330">
      <w:bodyDiv w:val="1"/>
      <w:marLeft w:val="0"/>
      <w:marRight w:val="0"/>
      <w:marTop w:val="0"/>
      <w:marBottom w:val="0"/>
      <w:divBdr>
        <w:top w:val="none" w:sz="0" w:space="0" w:color="auto"/>
        <w:left w:val="none" w:sz="0" w:space="0" w:color="auto"/>
        <w:bottom w:val="none" w:sz="0" w:space="0" w:color="auto"/>
        <w:right w:val="none" w:sz="0" w:space="0" w:color="auto"/>
      </w:divBdr>
    </w:div>
    <w:div w:id="1267885586">
      <w:bodyDiv w:val="1"/>
      <w:marLeft w:val="0"/>
      <w:marRight w:val="0"/>
      <w:marTop w:val="0"/>
      <w:marBottom w:val="0"/>
      <w:divBdr>
        <w:top w:val="none" w:sz="0" w:space="0" w:color="auto"/>
        <w:left w:val="none" w:sz="0" w:space="0" w:color="auto"/>
        <w:bottom w:val="none" w:sz="0" w:space="0" w:color="auto"/>
        <w:right w:val="none" w:sz="0" w:space="0" w:color="auto"/>
      </w:divBdr>
    </w:div>
    <w:div w:id="1276206376">
      <w:bodyDiv w:val="1"/>
      <w:marLeft w:val="0"/>
      <w:marRight w:val="0"/>
      <w:marTop w:val="0"/>
      <w:marBottom w:val="0"/>
      <w:divBdr>
        <w:top w:val="none" w:sz="0" w:space="0" w:color="auto"/>
        <w:left w:val="none" w:sz="0" w:space="0" w:color="auto"/>
        <w:bottom w:val="none" w:sz="0" w:space="0" w:color="auto"/>
        <w:right w:val="none" w:sz="0" w:space="0" w:color="auto"/>
      </w:divBdr>
      <w:divsChild>
        <w:div w:id="1440374996">
          <w:marLeft w:val="0"/>
          <w:marRight w:val="0"/>
          <w:marTop w:val="0"/>
          <w:marBottom w:val="0"/>
          <w:divBdr>
            <w:top w:val="none" w:sz="0" w:space="0" w:color="auto"/>
            <w:left w:val="none" w:sz="0" w:space="0" w:color="auto"/>
            <w:bottom w:val="none" w:sz="0" w:space="0" w:color="auto"/>
            <w:right w:val="none" w:sz="0" w:space="0" w:color="auto"/>
          </w:divBdr>
          <w:divsChild>
            <w:div w:id="1980529701">
              <w:marLeft w:val="0"/>
              <w:marRight w:val="0"/>
              <w:marTop w:val="0"/>
              <w:marBottom w:val="0"/>
              <w:divBdr>
                <w:top w:val="none" w:sz="0" w:space="0" w:color="auto"/>
                <w:left w:val="none" w:sz="0" w:space="0" w:color="auto"/>
                <w:bottom w:val="none" w:sz="0" w:space="0" w:color="auto"/>
                <w:right w:val="none" w:sz="0" w:space="0" w:color="auto"/>
              </w:divBdr>
              <w:divsChild>
                <w:div w:id="120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6195">
          <w:marLeft w:val="0"/>
          <w:marRight w:val="0"/>
          <w:marTop w:val="0"/>
          <w:marBottom w:val="0"/>
          <w:divBdr>
            <w:top w:val="none" w:sz="0" w:space="0" w:color="auto"/>
            <w:left w:val="none" w:sz="0" w:space="0" w:color="auto"/>
            <w:bottom w:val="none" w:sz="0" w:space="0" w:color="auto"/>
            <w:right w:val="none" w:sz="0" w:space="0" w:color="auto"/>
          </w:divBdr>
          <w:divsChild>
            <w:div w:id="250360044">
              <w:marLeft w:val="0"/>
              <w:marRight w:val="0"/>
              <w:marTop w:val="0"/>
              <w:marBottom w:val="0"/>
              <w:divBdr>
                <w:top w:val="none" w:sz="0" w:space="0" w:color="auto"/>
                <w:left w:val="none" w:sz="0" w:space="0" w:color="auto"/>
                <w:bottom w:val="none" w:sz="0" w:space="0" w:color="auto"/>
                <w:right w:val="none" w:sz="0" w:space="0" w:color="auto"/>
              </w:divBdr>
              <w:divsChild>
                <w:div w:id="4231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3964">
      <w:bodyDiv w:val="1"/>
      <w:marLeft w:val="0"/>
      <w:marRight w:val="0"/>
      <w:marTop w:val="0"/>
      <w:marBottom w:val="0"/>
      <w:divBdr>
        <w:top w:val="none" w:sz="0" w:space="0" w:color="auto"/>
        <w:left w:val="none" w:sz="0" w:space="0" w:color="auto"/>
        <w:bottom w:val="none" w:sz="0" w:space="0" w:color="auto"/>
        <w:right w:val="none" w:sz="0" w:space="0" w:color="auto"/>
      </w:divBdr>
    </w:div>
    <w:div w:id="1312709840">
      <w:bodyDiv w:val="1"/>
      <w:marLeft w:val="0"/>
      <w:marRight w:val="0"/>
      <w:marTop w:val="0"/>
      <w:marBottom w:val="0"/>
      <w:divBdr>
        <w:top w:val="none" w:sz="0" w:space="0" w:color="auto"/>
        <w:left w:val="none" w:sz="0" w:space="0" w:color="auto"/>
        <w:bottom w:val="none" w:sz="0" w:space="0" w:color="auto"/>
        <w:right w:val="none" w:sz="0" w:space="0" w:color="auto"/>
      </w:divBdr>
    </w:div>
    <w:div w:id="1329283873">
      <w:bodyDiv w:val="1"/>
      <w:marLeft w:val="0"/>
      <w:marRight w:val="0"/>
      <w:marTop w:val="0"/>
      <w:marBottom w:val="0"/>
      <w:divBdr>
        <w:top w:val="none" w:sz="0" w:space="0" w:color="auto"/>
        <w:left w:val="none" w:sz="0" w:space="0" w:color="auto"/>
        <w:bottom w:val="none" w:sz="0" w:space="0" w:color="auto"/>
        <w:right w:val="none" w:sz="0" w:space="0" w:color="auto"/>
      </w:divBdr>
    </w:div>
    <w:div w:id="1331061541">
      <w:bodyDiv w:val="1"/>
      <w:marLeft w:val="0"/>
      <w:marRight w:val="0"/>
      <w:marTop w:val="0"/>
      <w:marBottom w:val="0"/>
      <w:divBdr>
        <w:top w:val="none" w:sz="0" w:space="0" w:color="auto"/>
        <w:left w:val="none" w:sz="0" w:space="0" w:color="auto"/>
        <w:bottom w:val="none" w:sz="0" w:space="0" w:color="auto"/>
        <w:right w:val="none" w:sz="0" w:space="0" w:color="auto"/>
      </w:divBdr>
    </w:div>
    <w:div w:id="1334382077">
      <w:bodyDiv w:val="1"/>
      <w:marLeft w:val="0"/>
      <w:marRight w:val="0"/>
      <w:marTop w:val="0"/>
      <w:marBottom w:val="0"/>
      <w:divBdr>
        <w:top w:val="none" w:sz="0" w:space="0" w:color="auto"/>
        <w:left w:val="none" w:sz="0" w:space="0" w:color="auto"/>
        <w:bottom w:val="none" w:sz="0" w:space="0" w:color="auto"/>
        <w:right w:val="none" w:sz="0" w:space="0" w:color="auto"/>
      </w:divBdr>
    </w:div>
    <w:div w:id="1339233652">
      <w:bodyDiv w:val="1"/>
      <w:marLeft w:val="0"/>
      <w:marRight w:val="0"/>
      <w:marTop w:val="0"/>
      <w:marBottom w:val="0"/>
      <w:divBdr>
        <w:top w:val="none" w:sz="0" w:space="0" w:color="auto"/>
        <w:left w:val="none" w:sz="0" w:space="0" w:color="auto"/>
        <w:bottom w:val="none" w:sz="0" w:space="0" w:color="auto"/>
        <w:right w:val="none" w:sz="0" w:space="0" w:color="auto"/>
      </w:divBdr>
    </w:div>
    <w:div w:id="1345665296">
      <w:bodyDiv w:val="1"/>
      <w:marLeft w:val="0"/>
      <w:marRight w:val="0"/>
      <w:marTop w:val="0"/>
      <w:marBottom w:val="0"/>
      <w:divBdr>
        <w:top w:val="none" w:sz="0" w:space="0" w:color="auto"/>
        <w:left w:val="none" w:sz="0" w:space="0" w:color="auto"/>
        <w:bottom w:val="none" w:sz="0" w:space="0" w:color="auto"/>
        <w:right w:val="none" w:sz="0" w:space="0" w:color="auto"/>
      </w:divBdr>
    </w:div>
    <w:div w:id="1363240385">
      <w:bodyDiv w:val="1"/>
      <w:marLeft w:val="0"/>
      <w:marRight w:val="0"/>
      <w:marTop w:val="0"/>
      <w:marBottom w:val="0"/>
      <w:divBdr>
        <w:top w:val="none" w:sz="0" w:space="0" w:color="auto"/>
        <w:left w:val="none" w:sz="0" w:space="0" w:color="auto"/>
        <w:bottom w:val="none" w:sz="0" w:space="0" w:color="auto"/>
        <w:right w:val="none" w:sz="0" w:space="0" w:color="auto"/>
      </w:divBdr>
    </w:div>
    <w:div w:id="1400863510">
      <w:bodyDiv w:val="1"/>
      <w:marLeft w:val="0"/>
      <w:marRight w:val="0"/>
      <w:marTop w:val="0"/>
      <w:marBottom w:val="0"/>
      <w:divBdr>
        <w:top w:val="none" w:sz="0" w:space="0" w:color="auto"/>
        <w:left w:val="none" w:sz="0" w:space="0" w:color="auto"/>
        <w:bottom w:val="none" w:sz="0" w:space="0" w:color="auto"/>
        <w:right w:val="none" w:sz="0" w:space="0" w:color="auto"/>
      </w:divBdr>
    </w:div>
    <w:div w:id="1400903715">
      <w:bodyDiv w:val="1"/>
      <w:marLeft w:val="0"/>
      <w:marRight w:val="0"/>
      <w:marTop w:val="0"/>
      <w:marBottom w:val="0"/>
      <w:divBdr>
        <w:top w:val="none" w:sz="0" w:space="0" w:color="auto"/>
        <w:left w:val="none" w:sz="0" w:space="0" w:color="auto"/>
        <w:bottom w:val="none" w:sz="0" w:space="0" w:color="auto"/>
        <w:right w:val="none" w:sz="0" w:space="0" w:color="auto"/>
      </w:divBdr>
    </w:div>
    <w:div w:id="1404713734">
      <w:bodyDiv w:val="1"/>
      <w:marLeft w:val="0"/>
      <w:marRight w:val="0"/>
      <w:marTop w:val="0"/>
      <w:marBottom w:val="0"/>
      <w:divBdr>
        <w:top w:val="none" w:sz="0" w:space="0" w:color="auto"/>
        <w:left w:val="none" w:sz="0" w:space="0" w:color="auto"/>
        <w:bottom w:val="none" w:sz="0" w:space="0" w:color="auto"/>
        <w:right w:val="none" w:sz="0" w:space="0" w:color="auto"/>
      </w:divBdr>
    </w:div>
    <w:div w:id="1417289521">
      <w:bodyDiv w:val="1"/>
      <w:marLeft w:val="0"/>
      <w:marRight w:val="0"/>
      <w:marTop w:val="0"/>
      <w:marBottom w:val="0"/>
      <w:divBdr>
        <w:top w:val="none" w:sz="0" w:space="0" w:color="auto"/>
        <w:left w:val="none" w:sz="0" w:space="0" w:color="auto"/>
        <w:bottom w:val="none" w:sz="0" w:space="0" w:color="auto"/>
        <w:right w:val="none" w:sz="0" w:space="0" w:color="auto"/>
      </w:divBdr>
    </w:div>
    <w:div w:id="1428161406">
      <w:bodyDiv w:val="1"/>
      <w:marLeft w:val="0"/>
      <w:marRight w:val="0"/>
      <w:marTop w:val="0"/>
      <w:marBottom w:val="0"/>
      <w:divBdr>
        <w:top w:val="none" w:sz="0" w:space="0" w:color="auto"/>
        <w:left w:val="none" w:sz="0" w:space="0" w:color="auto"/>
        <w:bottom w:val="none" w:sz="0" w:space="0" w:color="auto"/>
        <w:right w:val="none" w:sz="0" w:space="0" w:color="auto"/>
      </w:divBdr>
    </w:div>
    <w:div w:id="1453667001">
      <w:bodyDiv w:val="1"/>
      <w:marLeft w:val="0"/>
      <w:marRight w:val="0"/>
      <w:marTop w:val="0"/>
      <w:marBottom w:val="0"/>
      <w:divBdr>
        <w:top w:val="none" w:sz="0" w:space="0" w:color="auto"/>
        <w:left w:val="none" w:sz="0" w:space="0" w:color="auto"/>
        <w:bottom w:val="none" w:sz="0" w:space="0" w:color="auto"/>
        <w:right w:val="none" w:sz="0" w:space="0" w:color="auto"/>
      </w:divBdr>
    </w:div>
    <w:div w:id="1470392102">
      <w:bodyDiv w:val="1"/>
      <w:marLeft w:val="0"/>
      <w:marRight w:val="0"/>
      <w:marTop w:val="0"/>
      <w:marBottom w:val="0"/>
      <w:divBdr>
        <w:top w:val="none" w:sz="0" w:space="0" w:color="auto"/>
        <w:left w:val="none" w:sz="0" w:space="0" w:color="auto"/>
        <w:bottom w:val="none" w:sz="0" w:space="0" w:color="auto"/>
        <w:right w:val="none" w:sz="0" w:space="0" w:color="auto"/>
      </w:divBdr>
    </w:div>
    <w:div w:id="1475947178">
      <w:bodyDiv w:val="1"/>
      <w:marLeft w:val="0"/>
      <w:marRight w:val="0"/>
      <w:marTop w:val="0"/>
      <w:marBottom w:val="0"/>
      <w:divBdr>
        <w:top w:val="none" w:sz="0" w:space="0" w:color="auto"/>
        <w:left w:val="none" w:sz="0" w:space="0" w:color="auto"/>
        <w:bottom w:val="none" w:sz="0" w:space="0" w:color="auto"/>
        <w:right w:val="none" w:sz="0" w:space="0" w:color="auto"/>
      </w:divBdr>
    </w:div>
    <w:div w:id="1563173890">
      <w:bodyDiv w:val="1"/>
      <w:marLeft w:val="0"/>
      <w:marRight w:val="0"/>
      <w:marTop w:val="0"/>
      <w:marBottom w:val="0"/>
      <w:divBdr>
        <w:top w:val="none" w:sz="0" w:space="0" w:color="auto"/>
        <w:left w:val="none" w:sz="0" w:space="0" w:color="auto"/>
        <w:bottom w:val="none" w:sz="0" w:space="0" w:color="auto"/>
        <w:right w:val="none" w:sz="0" w:space="0" w:color="auto"/>
      </w:divBdr>
    </w:div>
    <w:div w:id="1609973122">
      <w:bodyDiv w:val="1"/>
      <w:marLeft w:val="0"/>
      <w:marRight w:val="0"/>
      <w:marTop w:val="0"/>
      <w:marBottom w:val="0"/>
      <w:divBdr>
        <w:top w:val="none" w:sz="0" w:space="0" w:color="auto"/>
        <w:left w:val="none" w:sz="0" w:space="0" w:color="auto"/>
        <w:bottom w:val="none" w:sz="0" w:space="0" w:color="auto"/>
        <w:right w:val="none" w:sz="0" w:space="0" w:color="auto"/>
      </w:divBdr>
    </w:div>
    <w:div w:id="1637443056">
      <w:bodyDiv w:val="1"/>
      <w:marLeft w:val="0"/>
      <w:marRight w:val="0"/>
      <w:marTop w:val="0"/>
      <w:marBottom w:val="0"/>
      <w:divBdr>
        <w:top w:val="none" w:sz="0" w:space="0" w:color="auto"/>
        <w:left w:val="none" w:sz="0" w:space="0" w:color="auto"/>
        <w:bottom w:val="none" w:sz="0" w:space="0" w:color="auto"/>
        <w:right w:val="none" w:sz="0" w:space="0" w:color="auto"/>
      </w:divBdr>
    </w:div>
    <w:div w:id="1638149585">
      <w:bodyDiv w:val="1"/>
      <w:marLeft w:val="0"/>
      <w:marRight w:val="0"/>
      <w:marTop w:val="0"/>
      <w:marBottom w:val="0"/>
      <w:divBdr>
        <w:top w:val="none" w:sz="0" w:space="0" w:color="auto"/>
        <w:left w:val="none" w:sz="0" w:space="0" w:color="auto"/>
        <w:bottom w:val="none" w:sz="0" w:space="0" w:color="auto"/>
        <w:right w:val="none" w:sz="0" w:space="0" w:color="auto"/>
      </w:divBdr>
    </w:div>
    <w:div w:id="1661081867">
      <w:bodyDiv w:val="1"/>
      <w:marLeft w:val="0"/>
      <w:marRight w:val="0"/>
      <w:marTop w:val="0"/>
      <w:marBottom w:val="0"/>
      <w:divBdr>
        <w:top w:val="none" w:sz="0" w:space="0" w:color="auto"/>
        <w:left w:val="none" w:sz="0" w:space="0" w:color="auto"/>
        <w:bottom w:val="none" w:sz="0" w:space="0" w:color="auto"/>
        <w:right w:val="none" w:sz="0" w:space="0" w:color="auto"/>
      </w:divBdr>
    </w:div>
    <w:div w:id="1667827568">
      <w:bodyDiv w:val="1"/>
      <w:marLeft w:val="0"/>
      <w:marRight w:val="0"/>
      <w:marTop w:val="0"/>
      <w:marBottom w:val="0"/>
      <w:divBdr>
        <w:top w:val="none" w:sz="0" w:space="0" w:color="auto"/>
        <w:left w:val="none" w:sz="0" w:space="0" w:color="auto"/>
        <w:bottom w:val="none" w:sz="0" w:space="0" w:color="auto"/>
        <w:right w:val="none" w:sz="0" w:space="0" w:color="auto"/>
      </w:divBdr>
      <w:divsChild>
        <w:div w:id="374432670">
          <w:marLeft w:val="0"/>
          <w:marRight w:val="0"/>
          <w:marTop w:val="0"/>
          <w:marBottom w:val="0"/>
          <w:divBdr>
            <w:top w:val="none" w:sz="0" w:space="0" w:color="auto"/>
            <w:left w:val="none" w:sz="0" w:space="0" w:color="auto"/>
            <w:bottom w:val="none" w:sz="0" w:space="0" w:color="auto"/>
            <w:right w:val="none" w:sz="0" w:space="0" w:color="auto"/>
          </w:divBdr>
          <w:divsChild>
            <w:div w:id="237793245">
              <w:marLeft w:val="0"/>
              <w:marRight w:val="0"/>
              <w:marTop w:val="0"/>
              <w:marBottom w:val="0"/>
              <w:divBdr>
                <w:top w:val="none" w:sz="0" w:space="0" w:color="auto"/>
                <w:left w:val="none" w:sz="0" w:space="0" w:color="auto"/>
                <w:bottom w:val="none" w:sz="0" w:space="0" w:color="auto"/>
                <w:right w:val="none" w:sz="0" w:space="0" w:color="auto"/>
              </w:divBdr>
              <w:divsChild>
                <w:div w:id="129656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49364">
          <w:marLeft w:val="0"/>
          <w:marRight w:val="0"/>
          <w:marTop w:val="0"/>
          <w:marBottom w:val="0"/>
          <w:divBdr>
            <w:top w:val="none" w:sz="0" w:space="0" w:color="auto"/>
            <w:left w:val="none" w:sz="0" w:space="0" w:color="auto"/>
            <w:bottom w:val="none" w:sz="0" w:space="0" w:color="auto"/>
            <w:right w:val="none" w:sz="0" w:space="0" w:color="auto"/>
          </w:divBdr>
          <w:divsChild>
            <w:div w:id="352807185">
              <w:marLeft w:val="0"/>
              <w:marRight w:val="0"/>
              <w:marTop w:val="0"/>
              <w:marBottom w:val="0"/>
              <w:divBdr>
                <w:top w:val="none" w:sz="0" w:space="0" w:color="auto"/>
                <w:left w:val="none" w:sz="0" w:space="0" w:color="auto"/>
                <w:bottom w:val="none" w:sz="0" w:space="0" w:color="auto"/>
                <w:right w:val="none" w:sz="0" w:space="0" w:color="auto"/>
              </w:divBdr>
              <w:divsChild>
                <w:div w:id="115803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96087">
          <w:marLeft w:val="0"/>
          <w:marRight w:val="0"/>
          <w:marTop w:val="0"/>
          <w:marBottom w:val="0"/>
          <w:divBdr>
            <w:top w:val="none" w:sz="0" w:space="0" w:color="auto"/>
            <w:left w:val="none" w:sz="0" w:space="0" w:color="auto"/>
            <w:bottom w:val="none" w:sz="0" w:space="0" w:color="auto"/>
            <w:right w:val="none" w:sz="0" w:space="0" w:color="auto"/>
          </w:divBdr>
          <w:divsChild>
            <w:div w:id="1080175254">
              <w:marLeft w:val="0"/>
              <w:marRight w:val="0"/>
              <w:marTop w:val="0"/>
              <w:marBottom w:val="0"/>
              <w:divBdr>
                <w:top w:val="none" w:sz="0" w:space="0" w:color="auto"/>
                <w:left w:val="none" w:sz="0" w:space="0" w:color="auto"/>
                <w:bottom w:val="none" w:sz="0" w:space="0" w:color="auto"/>
                <w:right w:val="none" w:sz="0" w:space="0" w:color="auto"/>
              </w:divBdr>
              <w:divsChild>
                <w:div w:id="20124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293">
          <w:marLeft w:val="0"/>
          <w:marRight w:val="0"/>
          <w:marTop w:val="0"/>
          <w:marBottom w:val="0"/>
          <w:divBdr>
            <w:top w:val="none" w:sz="0" w:space="0" w:color="auto"/>
            <w:left w:val="none" w:sz="0" w:space="0" w:color="auto"/>
            <w:bottom w:val="none" w:sz="0" w:space="0" w:color="auto"/>
            <w:right w:val="none" w:sz="0" w:space="0" w:color="auto"/>
          </w:divBdr>
          <w:divsChild>
            <w:div w:id="1332947873">
              <w:marLeft w:val="0"/>
              <w:marRight w:val="0"/>
              <w:marTop w:val="0"/>
              <w:marBottom w:val="0"/>
              <w:divBdr>
                <w:top w:val="none" w:sz="0" w:space="0" w:color="auto"/>
                <w:left w:val="none" w:sz="0" w:space="0" w:color="auto"/>
                <w:bottom w:val="none" w:sz="0" w:space="0" w:color="auto"/>
                <w:right w:val="none" w:sz="0" w:space="0" w:color="auto"/>
              </w:divBdr>
              <w:divsChild>
                <w:div w:id="6137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26071">
          <w:marLeft w:val="0"/>
          <w:marRight w:val="0"/>
          <w:marTop w:val="0"/>
          <w:marBottom w:val="0"/>
          <w:divBdr>
            <w:top w:val="none" w:sz="0" w:space="0" w:color="auto"/>
            <w:left w:val="none" w:sz="0" w:space="0" w:color="auto"/>
            <w:bottom w:val="none" w:sz="0" w:space="0" w:color="auto"/>
            <w:right w:val="none" w:sz="0" w:space="0" w:color="auto"/>
          </w:divBdr>
          <w:divsChild>
            <w:div w:id="979844514">
              <w:marLeft w:val="0"/>
              <w:marRight w:val="0"/>
              <w:marTop w:val="0"/>
              <w:marBottom w:val="0"/>
              <w:divBdr>
                <w:top w:val="none" w:sz="0" w:space="0" w:color="auto"/>
                <w:left w:val="none" w:sz="0" w:space="0" w:color="auto"/>
                <w:bottom w:val="none" w:sz="0" w:space="0" w:color="auto"/>
                <w:right w:val="none" w:sz="0" w:space="0" w:color="auto"/>
              </w:divBdr>
              <w:divsChild>
                <w:div w:id="94149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65322">
      <w:bodyDiv w:val="1"/>
      <w:marLeft w:val="0"/>
      <w:marRight w:val="0"/>
      <w:marTop w:val="0"/>
      <w:marBottom w:val="0"/>
      <w:divBdr>
        <w:top w:val="none" w:sz="0" w:space="0" w:color="auto"/>
        <w:left w:val="none" w:sz="0" w:space="0" w:color="auto"/>
        <w:bottom w:val="none" w:sz="0" w:space="0" w:color="auto"/>
        <w:right w:val="none" w:sz="0" w:space="0" w:color="auto"/>
      </w:divBdr>
    </w:div>
    <w:div w:id="1697584066">
      <w:bodyDiv w:val="1"/>
      <w:marLeft w:val="0"/>
      <w:marRight w:val="0"/>
      <w:marTop w:val="0"/>
      <w:marBottom w:val="0"/>
      <w:divBdr>
        <w:top w:val="none" w:sz="0" w:space="0" w:color="auto"/>
        <w:left w:val="none" w:sz="0" w:space="0" w:color="auto"/>
        <w:bottom w:val="none" w:sz="0" w:space="0" w:color="auto"/>
        <w:right w:val="none" w:sz="0" w:space="0" w:color="auto"/>
      </w:divBdr>
    </w:div>
    <w:div w:id="1699233359">
      <w:bodyDiv w:val="1"/>
      <w:marLeft w:val="0"/>
      <w:marRight w:val="0"/>
      <w:marTop w:val="0"/>
      <w:marBottom w:val="0"/>
      <w:divBdr>
        <w:top w:val="none" w:sz="0" w:space="0" w:color="auto"/>
        <w:left w:val="none" w:sz="0" w:space="0" w:color="auto"/>
        <w:bottom w:val="none" w:sz="0" w:space="0" w:color="auto"/>
        <w:right w:val="none" w:sz="0" w:space="0" w:color="auto"/>
      </w:divBdr>
    </w:div>
    <w:div w:id="1706560143">
      <w:bodyDiv w:val="1"/>
      <w:marLeft w:val="0"/>
      <w:marRight w:val="0"/>
      <w:marTop w:val="0"/>
      <w:marBottom w:val="0"/>
      <w:divBdr>
        <w:top w:val="none" w:sz="0" w:space="0" w:color="auto"/>
        <w:left w:val="none" w:sz="0" w:space="0" w:color="auto"/>
        <w:bottom w:val="none" w:sz="0" w:space="0" w:color="auto"/>
        <w:right w:val="none" w:sz="0" w:space="0" w:color="auto"/>
      </w:divBdr>
    </w:div>
    <w:div w:id="1709527359">
      <w:bodyDiv w:val="1"/>
      <w:marLeft w:val="0"/>
      <w:marRight w:val="0"/>
      <w:marTop w:val="0"/>
      <w:marBottom w:val="0"/>
      <w:divBdr>
        <w:top w:val="none" w:sz="0" w:space="0" w:color="auto"/>
        <w:left w:val="none" w:sz="0" w:space="0" w:color="auto"/>
        <w:bottom w:val="none" w:sz="0" w:space="0" w:color="auto"/>
        <w:right w:val="none" w:sz="0" w:space="0" w:color="auto"/>
      </w:divBdr>
    </w:div>
    <w:div w:id="1721055375">
      <w:bodyDiv w:val="1"/>
      <w:marLeft w:val="0"/>
      <w:marRight w:val="0"/>
      <w:marTop w:val="0"/>
      <w:marBottom w:val="0"/>
      <w:divBdr>
        <w:top w:val="none" w:sz="0" w:space="0" w:color="auto"/>
        <w:left w:val="none" w:sz="0" w:space="0" w:color="auto"/>
        <w:bottom w:val="none" w:sz="0" w:space="0" w:color="auto"/>
        <w:right w:val="none" w:sz="0" w:space="0" w:color="auto"/>
      </w:divBdr>
    </w:div>
    <w:div w:id="1723795405">
      <w:bodyDiv w:val="1"/>
      <w:marLeft w:val="0"/>
      <w:marRight w:val="0"/>
      <w:marTop w:val="0"/>
      <w:marBottom w:val="0"/>
      <w:divBdr>
        <w:top w:val="none" w:sz="0" w:space="0" w:color="auto"/>
        <w:left w:val="none" w:sz="0" w:space="0" w:color="auto"/>
        <w:bottom w:val="none" w:sz="0" w:space="0" w:color="auto"/>
        <w:right w:val="none" w:sz="0" w:space="0" w:color="auto"/>
      </w:divBdr>
    </w:div>
    <w:div w:id="1724986390">
      <w:bodyDiv w:val="1"/>
      <w:marLeft w:val="0"/>
      <w:marRight w:val="0"/>
      <w:marTop w:val="0"/>
      <w:marBottom w:val="0"/>
      <w:divBdr>
        <w:top w:val="none" w:sz="0" w:space="0" w:color="auto"/>
        <w:left w:val="none" w:sz="0" w:space="0" w:color="auto"/>
        <w:bottom w:val="none" w:sz="0" w:space="0" w:color="auto"/>
        <w:right w:val="none" w:sz="0" w:space="0" w:color="auto"/>
      </w:divBdr>
    </w:div>
    <w:div w:id="1726484543">
      <w:bodyDiv w:val="1"/>
      <w:marLeft w:val="0"/>
      <w:marRight w:val="0"/>
      <w:marTop w:val="0"/>
      <w:marBottom w:val="0"/>
      <w:divBdr>
        <w:top w:val="none" w:sz="0" w:space="0" w:color="auto"/>
        <w:left w:val="none" w:sz="0" w:space="0" w:color="auto"/>
        <w:bottom w:val="none" w:sz="0" w:space="0" w:color="auto"/>
        <w:right w:val="none" w:sz="0" w:space="0" w:color="auto"/>
      </w:divBdr>
    </w:div>
    <w:div w:id="1731686266">
      <w:bodyDiv w:val="1"/>
      <w:marLeft w:val="0"/>
      <w:marRight w:val="0"/>
      <w:marTop w:val="0"/>
      <w:marBottom w:val="0"/>
      <w:divBdr>
        <w:top w:val="none" w:sz="0" w:space="0" w:color="auto"/>
        <w:left w:val="none" w:sz="0" w:space="0" w:color="auto"/>
        <w:bottom w:val="none" w:sz="0" w:space="0" w:color="auto"/>
        <w:right w:val="none" w:sz="0" w:space="0" w:color="auto"/>
      </w:divBdr>
    </w:div>
    <w:div w:id="1736125010">
      <w:bodyDiv w:val="1"/>
      <w:marLeft w:val="0"/>
      <w:marRight w:val="0"/>
      <w:marTop w:val="0"/>
      <w:marBottom w:val="0"/>
      <w:divBdr>
        <w:top w:val="none" w:sz="0" w:space="0" w:color="auto"/>
        <w:left w:val="none" w:sz="0" w:space="0" w:color="auto"/>
        <w:bottom w:val="none" w:sz="0" w:space="0" w:color="auto"/>
        <w:right w:val="none" w:sz="0" w:space="0" w:color="auto"/>
      </w:divBdr>
    </w:div>
    <w:div w:id="1749767038">
      <w:bodyDiv w:val="1"/>
      <w:marLeft w:val="0"/>
      <w:marRight w:val="0"/>
      <w:marTop w:val="0"/>
      <w:marBottom w:val="0"/>
      <w:divBdr>
        <w:top w:val="none" w:sz="0" w:space="0" w:color="auto"/>
        <w:left w:val="none" w:sz="0" w:space="0" w:color="auto"/>
        <w:bottom w:val="none" w:sz="0" w:space="0" w:color="auto"/>
        <w:right w:val="none" w:sz="0" w:space="0" w:color="auto"/>
      </w:divBdr>
    </w:div>
    <w:div w:id="1762918873">
      <w:bodyDiv w:val="1"/>
      <w:marLeft w:val="0"/>
      <w:marRight w:val="0"/>
      <w:marTop w:val="0"/>
      <w:marBottom w:val="0"/>
      <w:divBdr>
        <w:top w:val="none" w:sz="0" w:space="0" w:color="auto"/>
        <w:left w:val="none" w:sz="0" w:space="0" w:color="auto"/>
        <w:bottom w:val="none" w:sz="0" w:space="0" w:color="auto"/>
        <w:right w:val="none" w:sz="0" w:space="0" w:color="auto"/>
      </w:divBdr>
    </w:div>
    <w:div w:id="1794975994">
      <w:bodyDiv w:val="1"/>
      <w:marLeft w:val="0"/>
      <w:marRight w:val="0"/>
      <w:marTop w:val="0"/>
      <w:marBottom w:val="0"/>
      <w:divBdr>
        <w:top w:val="none" w:sz="0" w:space="0" w:color="auto"/>
        <w:left w:val="none" w:sz="0" w:space="0" w:color="auto"/>
        <w:bottom w:val="none" w:sz="0" w:space="0" w:color="auto"/>
        <w:right w:val="none" w:sz="0" w:space="0" w:color="auto"/>
      </w:divBdr>
    </w:div>
    <w:div w:id="1819572766">
      <w:bodyDiv w:val="1"/>
      <w:marLeft w:val="0"/>
      <w:marRight w:val="0"/>
      <w:marTop w:val="0"/>
      <w:marBottom w:val="0"/>
      <w:divBdr>
        <w:top w:val="none" w:sz="0" w:space="0" w:color="auto"/>
        <w:left w:val="none" w:sz="0" w:space="0" w:color="auto"/>
        <w:bottom w:val="none" w:sz="0" w:space="0" w:color="auto"/>
        <w:right w:val="none" w:sz="0" w:space="0" w:color="auto"/>
      </w:divBdr>
      <w:divsChild>
        <w:div w:id="467548537">
          <w:marLeft w:val="0"/>
          <w:marRight w:val="0"/>
          <w:marTop w:val="0"/>
          <w:marBottom w:val="0"/>
          <w:divBdr>
            <w:top w:val="none" w:sz="0" w:space="0" w:color="auto"/>
            <w:left w:val="none" w:sz="0" w:space="0" w:color="auto"/>
            <w:bottom w:val="none" w:sz="0" w:space="0" w:color="auto"/>
            <w:right w:val="none" w:sz="0" w:space="0" w:color="auto"/>
          </w:divBdr>
          <w:divsChild>
            <w:div w:id="1416051573">
              <w:marLeft w:val="0"/>
              <w:marRight w:val="0"/>
              <w:marTop w:val="0"/>
              <w:marBottom w:val="0"/>
              <w:divBdr>
                <w:top w:val="none" w:sz="0" w:space="0" w:color="auto"/>
                <w:left w:val="none" w:sz="0" w:space="0" w:color="auto"/>
                <w:bottom w:val="none" w:sz="0" w:space="0" w:color="auto"/>
                <w:right w:val="none" w:sz="0" w:space="0" w:color="auto"/>
              </w:divBdr>
              <w:divsChild>
                <w:div w:id="138394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27383">
      <w:bodyDiv w:val="1"/>
      <w:marLeft w:val="0"/>
      <w:marRight w:val="0"/>
      <w:marTop w:val="0"/>
      <w:marBottom w:val="0"/>
      <w:divBdr>
        <w:top w:val="none" w:sz="0" w:space="0" w:color="auto"/>
        <w:left w:val="none" w:sz="0" w:space="0" w:color="auto"/>
        <w:bottom w:val="none" w:sz="0" w:space="0" w:color="auto"/>
        <w:right w:val="none" w:sz="0" w:space="0" w:color="auto"/>
      </w:divBdr>
    </w:div>
    <w:div w:id="1822773549">
      <w:bodyDiv w:val="1"/>
      <w:marLeft w:val="0"/>
      <w:marRight w:val="0"/>
      <w:marTop w:val="0"/>
      <w:marBottom w:val="0"/>
      <w:divBdr>
        <w:top w:val="none" w:sz="0" w:space="0" w:color="auto"/>
        <w:left w:val="none" w:sz="0" w:space="0" w:color="auto"/>
        <w:bottom w:val="none" w:sz="0" w:space="0" w:color="auto"/>
        <w:right w:val="none" w:sz="0" w:space="0" w:color="auto"/>
      </w:divBdr>
    </w:div>
    <w:div w:id="1831601965">
      <w:bodyDiv w:val="1"/>
      <w:marLeft w:val="0"/>
      <w:marRight w:val="0"/>
      <w:marTop w:val="0"/>
      <w:marBottom w:val="0"/>
      <w:divBdr>
        <w:top w:val="none" w:sz="0" w:space="0" w:color="auto"/>
        <w:left w:val="none" w:sz="0" w:space="0" w:color="auto"/>
        <w:bottom w:val="none" w:sz="0" w:space="0" w:color="auto"/>
        <w:right w:val="none" w:sz="0" w:space="0" w:color="auto"/>
      </w:divBdr>
    </w:div>
    <w:div w:id="1835218694">
      <w:bodyDiv w:val="1"/>
      <w:marLeft w:val="0"/>
      <w:marRight w:val="0"/>
      <w:marTop w:val="0"/>
      <w:marBottom w:val="0"/>
      <w:divBdr>
        <w:top w:val="none" w:sz="0" w:space="0" w:color="auto"/>
        <w:left w:val="none" w:sz="0" w:space="0" w:color="auto"/>
        <w:bottom w:val="none" w:sz="0" w:space="0" w:color="auto"/>
        <w:right w:val="none" w:sz="0" w:space="0" w:color="auto"/>
      </w:divBdr>
    </w:div>
    <w:div w:id="1849370896">
      <w:bodyDiv w:val="1"/>
      <w:marLeft w:val="0"/>
      <w:marRight w:val="0"/>
      <w:marTop w:val="0"/>
      <w:marBottom w:val="0"/>
      <w:divBdr>
        <w:top w:val="none" w:sz="0" w:space="0" w:color="auto"/>
        <w:left w:val="none" w:sz="0" w:space="0" w:color="auto"/>
        <w:bottom w:val="none" w:sz="0" w:space="0" w:color="auto"/>
        <w:right w:val="none" w:sz="0" w:space="0" w:color="auto"/>
      </w:divBdr>
    </w:div>
    <w:div w:id="1854144780">
      <w:bodyDiv w:val="1"/>
      <w:marLeft w:val="0"/>
      <w:marRight w:val="0"/>
      <w:marTop w:val="0"/>
      <w:marBottom w:val="0"/>
      <w:divBdr>
        <w:top w:val="none" w:sz="0" w:space="0" w:color="auto"/>
        <w:left w:val="none" w:sz="0" w:space="0" w:color="auto"/>
        <w:bottom w:val="none" w:sz="0" w:space="0" w:color="auto"/>
        <w:right w:val="none" w:sz="0" w:space="0" w:color="auto"/>
      </w:divBdr>
    </w:div>
    <w:div w:id="1854999335">
      <w:bodyDiv w:val="1"/>
      <w:marLeft w:val="0"/>
      <w:marRight w:val="0"/>
      <w:marTop w:val="0"/>
      <w:marBottom w:val="0"/>
      <w:divBdr>
        <w:top w:val="none" w:sz="0" w:space="0" w:color="auto"/>
        <w:left w:val="none" w:sz="0" w:space="0" w:color="auto"/>
        <w:bottom w:val="none" w:sz="0" w:space="0" w:color="auto"/>
        <w:right w:val="none" w:sz="0" w:space="0" w:color="auto"/>
      </w:divBdr>
    </w:div>
    <w:div w:id="1867980247">
      <w:bodyDiv w:val="1"/>
      <w:marLeft w:val="0"/>
      <w:marRight w:val="0"/>
      <w:marTop w:val="0"/>
      <w:marBottom w:val="0"/>
      <w:divBdr>
        <w:top w:val="none" w:sz="0" w:space="0" w:color="auto"/>
        <w:left w:val="none" w:sz="0" w:space="0" w:color="auto"/>
        <w:bottom w:val="none" w:sz="0" w:space="0" w:color="auto"/>
        <w:right w:val="none" w:sz="0" w:space="0" w:color="auto"/>
      </w:divBdr>
    </w:div>
    <w:div w:id="1919098480">
      <w:bodyDiv w:val="1"/>
      <w:marLeft w:val="0"/>
      <w:marRight w:val="0"/>
      <w:marTop w:val="0"/>
      <w:marBottom w:val="0"/>
      <w:divBdr>
        <w:top w:val="none" w:sz="0" w:space="0" w:color="auto"/>
        <w:left w:val="none" w:sz="0" w:space="0" w:color="auto"/>
        <w:bottom w:val="none" w:sz="0" w:space="0" w:color="auto"/>
        <w:right w:val="none" w:sz="0" w:space="0" w:color="auto"/>
      </w:divBdr>
    </w:div>
    <w:div w:id="1920671131">
      <w:bodyDiv w:val="1"/>
      <w:marLeft w:val="0"/>
      <w:marRight w:val="0"/>
      <w:marTop w:val="0"/>
      <w:marBottom w:val="0"/>
      <w:divBdr>
        <w:top w:val="none" w:sz="0" w:space="0" w:color="auto"/>
        <w:left w:val="none" w:sz="0" w:space="0" w:color="auto"/>
        <w:bottom w:val="none" w:sz="0" w:space="0" w:color="auto"/>
        <w:right w:val="none" w:sz="0" w:space="0" w:color="auto"/>
      </w:divBdr>
    </w:div>
    <w:div w:id="1944217330">
      <w:bodyDiv w:val="1"/>
      <w:marLeft w:val="0"/>
      <w:marRight w:val="0"/>
      <w:marTop w:val="0"/>
      <w:marBottom w:val="0"/>
      <w:divBdr>
        <w:top w:val="none" w:sz="0" w:space="0" w:color="auto"/>
        <w:left w:val="none" w:sz="0" w:space="0" w:color="auto"/>
        <w:bottom w:val="none" w:sz="0" w:space="0" w:color="auto"/>
        <w:right w:val="none" w:sz="0" w:space="0" w:color="auto"/>
      </w:divBdr>
    </w:div>
    <w:div w:id="1946762052">
      <w:bodyDiv w:val="1"/>
      <w:marLeft w:val="0"/>
      <w:marRight w:val="0"/>
      <w:marTop w:val="0"/>
      <w:marBottom w:val="0"/>
      <w:divBdr>
        <w:top w:val="none" w:sz="0" w:space="0" w:color="auto"/>
        <w:left w:val="none" w:sz="0" w:space="0" w:color="auto"/>
        <w:bottom w:val="none" w:sz="0" w:space="0" w:color="auto"/>
        <w:right w:val="none" w:sz="0" w:space="0" w:color="auto"/>
      </w:divBdr>
    </w:div>
    <w:div w:id="1952008179">
      <w:bodyDiv w:val="1"/>
      <w:marLeft w:val="0"/>
      <w:marRight w:val="0"/>
      <w:marTop w:val="0"/>
      <w:marBottom w:val="0"/>
      <w:divBdr>
        <w:top w:val="none" w:sz="0" w:space="0" w:color="auto"/>
        <w:left w:val="none" w:sz="0" w:space="0" w:color="auto"/>
        <w:bottom w:val="none" w:sz="0" w:space="0" w:color="auto"/>
        <w:right w:val="none" w:sz="0" w:space="0" w:color="auto"/>
      </w:divBdr>
    </w:div>
    <w:div w:id="1958680899">
      <w:bodyDiv w:val="1"/>
      <w:marLeft w:val="0"/>
      <w:marRight w:val="0"/>
      <w:marTop w:val="0"/>
      <w:marBottom w:val="0"/>
      <w:divBdr>
        <w:top w:val="none" w:sz="0" w:space="0" w:color="auto"/>
        <w:left w:val="none" w:sz="0" w:space="0" w:color="auto"/>
        <w:bottom w:val="none" w:sz="0" w:space="0" w:color="auto"/>
        <w:right w:val="none" w:sz="0" w:space="0" w:color="auto"/>
      </w:divBdr>
    </w:div>
    <w:div w:id="1973822626">
      <w:bodyDiv w:val="1"/>
      <w:marLeft w:val="0"/>
      <w:marRight w:val="0"/>
      <w:marTop w:val="0"/>
      <w:marBottom w:val="0"/>
      <w:divBdr>
        <w:top w:val="none" w:sz="0" w:space="0" w:color="auto"/>
        <w:left w:val="none" w:sz="0" w:space="0" w:color="auto"/>
        <w:bottom w:val="none" w:sz="0" w:space="0" w:color="auto"/>
        <w:right w:val="none" w:sz="0" w:space="0" w:color="auto"/>
      </w:divBdr>
      <w:divsChild>
        <w:div w:id="1343973383">
          <w:marLeft w:val="0"/>
          <w:marRight w:val="0"/>
          <w:marTop w:val="0"/>
          <w:marBottom w:val="0"/>
          <w:divBdr>
            <w:top w:val="none" w:sz="0" w:space="0" w:color="auto"/>
            <w:left w:val="none" w:sz="0" w:space="0" w:color="auto"/>
            <w:bottom w:val="none" w:sz="0" w:space="0" w:color="auto"/>
            <w:right w:val="none" w:sz="0" w:space="0" w:color="auto"/>
          </w:divBdr>
          <w:divsChild>
            <w:div w:id="18550273">
              <w:marLeft w:val="0"/>
              <w:marRight w:val="0"/>
              <w:marTop w:val="0"/>
              <w:marBottom w:val="0"/>
              <w:divBdr>
                <w:top w:val="none" w:sz="0" w:space="0" w:color="auto"/>
                <w:left w:val="none" w:sz="0" w:space="0" w:color="auto"/>
                <w:bottom w:val="none" w:sz="0" w:space="0" w:color="auto"/>
                <w:right w:val="none" w:sz="0" w:space="0" w:color="auto"/>
              </w:divBdr>
              <w:divsChild>
                <w:div w:id="51465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785">
      <w:bodyDiv w:val="1"/>
      <w:marLeft w:val="0"/>
      <w:marRight w:val="0"/>
      <w:marTop w:val="0"/>
      <w:marBottom w:val="0"/>
      <w:divBdr>
        <w:top w:val="none" w:sz="0" w:space="0" w:color="auto"/>
        <w:left w:val="none" w:sz="0" w:space="0" w:color="auto"/>
        <w:bottom w:val="none" w:sz="0" w:space="0" w:color="auto"/>
        <w:right w:val="none" w:sz="0" w:space="0" w:color="auto"/>
      </w:divBdr>
    </w:div>
    <w:div w:id="2015256215">
      <w:bodyDiv w:val="1"/>
      <w:marLeft w:val="0"/>
      <w:marRight w:val="0"/>
      <w:marTop w:val="0"/>
      <w:marBottom w:val="0"/>
      <w:divBdr>
        <w:top w:val="none" w:sz="0" w:space="0" w:color="auto"/>
        <w:left w:val="none" w:sz="0" w:space="0" w:color="auto"/>
        <w:bottom w:val="none" w:sz="0" w:space="0" w:color="auto"/>
        <w:right w:val="none" w:sz="0" w:space="0" w:color="auto"/>
      </w:divBdr>
    </w:div>
    <w:div w:id="2032106303">
      <w:bodyDiv w:val="1"/>
      <w:marLeft w:val="0"/>
      <w:marRight w:val="0"/>
      <w:marTop w:val="0"/>
      <w:marBottom w:val="0"/>
      <w:divBdr>
        <w:top w:val="none" w:sz="0" w:space="0" w:color="auto"/>
        <w:left w:val="none" w:sz="0" w:space="0" w:color="auto"/>
        <w:bottom w:val="none" w:sz="0" w:space="0" w:color="auto"/>
        <w:right w:val="none" w:sz="0" w:space="0" w:color="auto"/>
      </w:divBdr>
    </w:div>
    <w:div w:id="2041738376">
      <w:bodyDiv w:val="1"/>
      <w:marLeft w:val="0"/>
      <w:marRight w:val="0"/>
      <w:marTop w:val="0"/>
      <w:marBottom w:val="0"/>
      <w:divBdr>
        <w:top w:val="none" w:sz="0" w:space="0" w:color="auto"/>
        <w:left w:val="none" w:sz="0" w:space="0" w:color="auto"/>
        <w:bottom w:val="none" w:sz="0" w:space="0" w:color="auto"/>
        <w:right w:val="none" w:sz="0" w:space="0" w:color="auto"/>
      </w:divBdr>
    </w:div>
    <w:div w:id="2046902599">
      <w:bodyDiv w:val="1"/>
      <w:marLeft w:val="0"/>
      <w:marRight w:val="0"/>
      <w:marTop w:val="0"/>
      <w:marBottom w:val="0"/>
      <w:divBdr>
        <w:top w:val="none" w:sz="0" w:space="0" w:color="auto"/>
        <w:left w:val="none" w:sz="0" w:space="0" w:color="auto"/>
        <w:bottom w:val="none" w:sz="0" w:space="0" w:color="auto"/>
        <w:right w:val="none" w:sz="0" w:space="0" w:color="auto"/>
      </w:divBdr>
    </w:div>
    <w:div w:id="2050370315">
      <w:bodyDiv w:val="1"/>
      <w:marLeft w:val="0"/>
      <w:marRight w:val="0"/>
      <w:marTop w:val="0"/>
      <w:marBottom w:val="0"/>
      <w:divBdr>
        <w:top w:val="none" w:sz="0" w:space="0" w:color="auto"/>
        <w:left w:val="none" w:sz="0" w:space="0" w:color="auto"/>
        <w:bottom w:val="none" w:sz="0" w:space="0" w:color="auto"/>
        <w:right w:val="none" w:sz="0" w:space="0" w:color="auto"/>
      </w:divBdr>
    </w:div>
    <w:div w:id="2076269937">
      <w:bodyDiv w:val="1"/>
      <w:marLeft w:val="0"/>
      <w:marRight w:val="0"/>
      <w:marTop w:val="0"/>
      <w:marBottom w:val="0"/>
      <w:divBdr>
        <w:top w:val="none" w:sz="0" w:space="0" w:color="auto"/>
        <w:left w:val="none" w:sz="0" w:space="0" w:color="auto"/>
        <w:bottom w:val="none" w:sz="0" w:space="0" w:color="auto"/>
        <w:right w:val="none" w:sz="0" w:space="0" w:color="auto"/>
      </w:divBdr>
    </w:div>
    <w:div w:id="2088527944">
      <w:bodyDiv w:val="1"/>
      <w:marLeft w:val="0"/>
      <w:marRight w:val="0"/>
      <w:marTop w:val="0"/>
      <w:marBottom w:val="0"/>
      <w:divBdr>
        <w:top w:val="none" w:sz="0" w:space="0" w:color="auto"/>
        <w:left w:val="none" w:sz="0" w:space="0" w:color="auto"/>
        <w:bottom w:val="none" w:sz="0" w:space="0" w:color="auto"/>
        <w:right w:val="none" w:sz="0" w:space="0" w:color="auto"/>
      </w:divBdr>
    </w:div>
    <w:div w:id="2102680016">
      <w:bodyDiv w:val="1"/>
      <w:marLeft w:val="0"/>
      <w:marRight w:val="0"/>
      <w:marTop w:val="0"/>
      <w:marBottom w:val="0"/>
      <w:divBdr>
        <w:top w:val="none" w:sz="0" w:space="0" w:color="auto"/>
        <w:left w:val="none" w:sz="0" w:space="0" w:color="auto"/>
        <w:bottom w:val="none" w:sz="0" w:space="0" w:color="auto"/>
        <w:right w:val="none" w:sz="0" w:space="0" w:color="auto"/>
      </w:divBdr>
    </w:div>
    <w:div w:id="2104296384">
      <w:bodyDiv w:val="1"/>
      <w:marLeft w:val="0"/>
      <w:marRight w:val="0"/>
      <w:marTop w:val="0"/>
      <w:marBottom w:val="0"/>
      <w:divBdr>
        <w:top w:val="none" w:sz="0" w:space="0" w:color="auto"/>
        <w:left w:val="none" w:sz="0" w:space="0" w:color="auto"/>
        <w:bottom w:val="none" w:sz="0" w:space="0" w:color="auto"/>
        <w:right w:val="none" w:sz="0" w:space="0" w:color="auto"/>
      </w:divBdr>
    </w:div>
    <w:div w:id="2112506188">
      <w:bodyDiv w:val="1"/>
      <w:marLeft w:val="0"/>
      <w:marRight w:val="0"/>
      <w:marTop w:val="0"/>
      <w:marBottom w:val="0"/>
      <w:divBdr>
        <w:top w:val="none" w:sz="0" w:space="0" w:color="auto"/>
        <w:left w:val="none" w:sz="0" w:space="0" w:color="auto"/>
        <w:bottom w:val="none" w:sz="0" w:space="0" w:color="auto"/>
        <w:right w:val="none" w:sz="0" w:space="0" w:color="auto"/>
      </w:divBdr>
      <w:divsChild>
        <w:div w:id="501898510">
          <w:marLeft w:val="0"/>
          <w:marRight w:val="0"/>
          <w:marTop w:val="0"/>
          <w:marBottom w:val="0"/>
          <w:divBdr>
            <w:top w:val="none" w:sz="0" w:space="0" w:color="auto"/>
            <w:left w:val="none" w:sz="0" w:space="0" w:color="auto"/>
            <w:bottom w:val="none" w:sz="0" w:space="0" w:color="auto"/>
            <w:right w:val="none" w:sz="0" w:space="0" w:color="auto"/>
          </w:divBdr>
          <w:divsChild>
            <w:div w:id="101807247">
              <w:marLeft w:val="0"/>
              <w:marRight w:val="0"/>
              <w:marTop w:val="0"/>
              <w:marBottom w:val="0"/>
              <w:divBdr>
                <w:top w:val="none" w:sz="0" w:space="0" w:color="auto"/>
                <w:left w:val="none" w:sz="0" w:space="0" w:color="auto"/>
                <w:bottom w:val="none" w:sz="0" w:space="0" w:color="auto"/>
                <w:right w:val="none" w:sz="0" w:space="0" w:color="auto"/>
              </w:divBdr>
              <w:divsChild>
                <w:div w:id="1452700600">
                  <w:marLeft w:val="0"/>
                  <w:marRight w:val="0"/>
                  <w:marTop w:val="0"/>
                  <w:marBottom w:val="0"/>
                  <w:divBdr>
                    <w:top w:val="none" w:sz="0" w:space="0" w:color="auto"/>
                    <w:left w:val="none" w:sz="0" w:space="0" w:color="auto"/>
                    <w:bottom w:val="none" w:sz="0" w:space="0" w:color="auto"/>
                    <w:right w:val="none" w:sz="0" w:space="0" w:color="auto"/>
                  </w:divBdr>
                </w:div>
              </w:divsChild>
            </w:div>
            <w:div w:id="426779970">
              <w:marLeft w:val="0"/>
              <w:marRight w:val="0"/>
              <w:marTop w:val="0"/>
              <w:marBottom w:val="0"/>
              <w:divBdr>
                <w:top w:val="none" w:sz="0" w:space="0" w:color="auto"/>
                <w:left w:val="none" w:sz="0" w:space="0" w:color="auto"/>
                <w:bottom w:val="none" w:sz="0" w:space="0" w:color="auto"/>
                <w:right w:val="none" w:sz="0" w:space="0" w:color="auto"/>
              </w:divBdr>
              <w:divsChild>
                <w:div w:id="1469518286">
                  <w:marLeft w:val="0"/>
                  <w:marRight w:val="0"/>
                  <w:marTop w:val="0"/>
                  <w:marBottom w:val="0"/>
                  <w:divBdr>
                    <w:top w:val="none" w:sz="0" w:space="0" w:color="auto"/>
                    <w:left w:val="none" w:sz="0" w:space="0" w:color="auto"/>
                    <w:bottom w:val="none" w:sz="0" w:space="0" w:color="auto"/>
                    <w:right w:val="none" w:sz="0" w:space="0" w:color="auto"/>
                  </w:divBdr>
                </w:div>
              </w:divsChild>
            </w:div>
            <w:div w:id="910046216">
              <w:marLeft w:val="0"/>
              <w:marRight w:val="0"/>
              <w:marTop w:val="0"/>
              <w:marBottom w:val="0"/>
              <w:divBdr>
                <w:top w:val="none" w:sz="0" w:space="0" w:color="auto"/>
                <w:left w:val="none" w:sz="0" w:space="0" w:color="auto"/>
                <w:bottom w:val="none" w:sz="0" w:space="0" w:color="auto"/>
                <w:right w:val="none" w:sz="0" w:space="0" w:color="auto"/>
              </w:divBdr>
              <w:divsChild>
                <w:div w:id="98235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10028">
      <w:bodyDiv w:val="1"/>
      <w:marLeft w:val="0"/>
      <w:marRight w:val="0"/>
      <w:marTop w:val="0"/>
      <w:marBottom w:val="0"/>
      <w:divBdr>
        <w:top w:val="none" w:sz="0" w:space="0" w:color="auto"/>
        <w:left w:val="none" w:sz="0" w:space="0" w:color="auto"/>
        <w:bottom w:val="none" w:sz="0" w:space="0" w:color="auto"/>
        <w:right w:val="none" w:sz="0" w:space="0" w:color="auto"/>
      </w:divBdr>
    </w:div>
    <w:div w:id="2134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wm.com/publication-15" TargetMode="External"/><Relationship Id="rId21" Type="http://schemas.openxmlformats.org/officeDocument/2006/relationships/hyperlink" Target="https://www.ecfr.gov/current/title-40/chapter-I/subchapter-U/part-1090/subpart-L/section-1090.1110" TargetMode="External"/><Relationship Id="rId42" Type="http://schemas.openxmlformats.org/officeDocument/2006/relationships/hyperlink" Target="https://www.ncwm.com/publication-15" TargetMode="External"/><Relationship Id="rId47" Type="http://schemas.openxmlformats.org/officeDocument/2006/relationships/image" Target="media/image1.png"/><Relationship Id="rId63" Type="http://schemas.openxmlformats.org/officeDocument/2006/relationships/image" Target="media/image15.jpeg"/><Relationship Id="rId68" Type="http://schemas.openxmlformats.org/officeDocument/2006/relationships/image" Target="media/image20.png"/><Relationship Id="rId84" Type="http://schemas.openxmlformats.org/officeDocument/2006/relationships/image" Target="media/image36.png"/><Relationship Id="rId89" Type="http://schemas.openxmlformats.org/officeDocument/2006/relationships/hyperlink" Target="https://www.ftc.gov/legal-library/browse/rules/fair-packaging-labeling-act-regulations-under-section-4-fair-packaging-labeling-act" TargetMode="External"/><Relationship Id="rId16" Type="http://schemas.openxmlformats.org/officeDocument/2006/relationships/hyperlink" Target="https://www.ecfr.gov/current/title-49/subtitle-B/chapter-I/subchapter-C/part-178" TargetMode="External"/><Relationship Id="rId11" Type="http://schemas.openxmlformats.org/officeDocument/2006/relationships/endnotes" Target="endnotes.xml"/><Relationship Id="rId32" Type="http://schemas.openxmlformats.org/officeDocument/2006/relationships/hyperlink" Target="file:///C:\Users\DonOnwiler\Downloads\3-LR-UPR-26.1.docx" TargetMode="External"/><Relationship Id="rId37" Type="http://schemas.openxmlformats.org/officeDocument/2006/relationships/hyperlink" Target="mailto:" TargetMode="External"/><Relationship Id="rId53" Type="http://schemas.openxmlformats.org/officeDocument/2006/relationships/image" Target="media/image7.jpeg"/><Relationship Id="rId58" Type="http://schemas.openxmlformats.org/officeDocument/2006/relationships/hyperlink" Target="https://www.ftc.gov/legal-library/browse/ftc-policy-statement-deception" TargetMode="External"/><Relationship Id="rId74" Type="http://schemas.openxmlformats.org/officeDocument/2006/relationships/image" Target="media/image26.png"/><Relationship Id="rId79" Type="http://schemas.openxmlformats.org/officeDocument/2006/relationships/image" Target="media/image31.png"/><Relationship Id="rId5" Type="http://schemas.openxmlformats.org/officeDocument/2006/relationships/customXml" Target="../customXml/item5.xml"/><Relationship Id="rId90" Type="http://schemas.openxmlformats.org/officeDocument/2006/relationships/hyperlink" Target="https://www.nist.gov/pml/owm/owm-products-and-services/publications-and-documentary-standards/handbooks" TargetMode="External"/><Relationship Id="rId95" Type="http://schemas.openxmlformats.org/officeDocument/2006/relationships/header" Target="header3.xml"/><Relationship Id="rId22" Type="http://schemas.openxmlformats.org/officeDocument/2006/relationships/hyperlink" Target="https://www.nist.gov/pml/owm/weights-and-measures-economic-index" TargetMode="External"/><Relationship Id="rId27" Type="http://schemas.openxmlformats.org/officeDocument/2006/relationships/hyperlink" Target="https://doi.org/10.6028/NIST.SP.1181" TargetMode="External"/><Relationship Id="rId43" Type="http://schemas.openxmlformats.org/officeDocument/2006/relationships/header" Target="header1.xml"/><Relationship Id="rId48" Type="http://schemas.openxmlformats.org/officeDocument/2006/relationships/image" Target="media/image2.png"/><Relationship Id="rId64" Type="http://schemas.openxmlformats.org/officeDocument/2006/relationships/image" Target="media/image16.jpeg"/><Relationship Id="rId69" Type="http://schemas.openxmlformats.org/officeDocument/2006/relationships/image" Target="media/image21.png"/><Relationship Id="rId80" Type="http://schemas.openxmlformats.org/officeDocument/2006/relationships/image" Target="media/image32.png"/><Relationship Id="rId85"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hyperlink" Target="https://www.ncwm.com/publication-15" TargetMode="External"/><Relationship Id="rId17" Type="http://schemas.openxmlformats.org/officeDocument/2006/relationships/hyperlink" Target="https://www.ecfr.gov/current/title-49/subtitle-B/chapter-I/subchapter-C/part-178" TargetMode="External"/><Relationship Id="rId25" Type="http://schemas.openxmlformats.org/officeDocument/2006/relationships/hyperlink" Target="https://www.ecfr.gov/current/title-40/section-1090.1100" TargetMode="External"/><Relationship Id="rId33" Type="http://schemas.openxmlformats.org/officeDocument/2006/relationships/hyperlink" Target="file:///C:\Users\DonOnwiler\Downloads\3-LR-UPR-26.1.docx" TargetMode="External"/><Relationship Id="rId38" Type="http://schemas.openxmlformats.org/officeDocument/2006/relationships/hyperlink" Target="mailto:mkofford@utah.gov" TargetMode="External"/><Relationship Id="rId46" Type="http://schemas.openxmlformats.org/officeDocument/2006/relationships/footer" Target="footer2.xml"/><Relationship Id="rId59" Type="http://schemas.openxmlformats.org/officeDocument/2006/relationships/hyperlink" Target="https://www.ftc.gov/legal-library/browse/ftc-policy-statement-regarding-advertising-substantiation" TargetMode="External"/><Relationship Id="rId67" Type="http://schemas.openxmlformats.org/officeDocument/2006/relationships/image" Target="media/image19.png"/><Relationship Id="rId20" Type="http://schemas.openxmlformats.org/officeDocument/2006/relationships/hyperlink" Target="https://www.ecfr.gov/current/title-40/chapter-I/subchapter-U/part-1090/subpart-L/section-1090.1110" TargetMode="External"/><Relationship Id="rId41" Type="http://schemas.openxmlformats.org/officeDocument/2006/relationships/hyperlink" Target="https://www.ncwm.com/publication-15" TargetMode="External"/><Relationship Id="rId54" Type="http://schemas.openxmlformats.org/officeDocument/2006/relationships/image" Target="media/image8.tmp"/><Relationship Id="rId62" Type="http://schemas.openxmlformats.org/officeDocument/2006/relationships/image" Target="media/image14.jpeg"/><Relationship Id="rId70" Type="http://schemas.openxmlformats.org/officeDocument/2006/relationships/image" Target="media/image22.png"/><Relationship Id="rId75" Type="http://schemas.openxmlformats.org/officeDocument/2006/relationships/image" Target="media/image27.emf"/><Relationship Id="rId83" Type="http://schemas.openxmlformats.org/officeDocument/2006/relationships/image" Target="media/image35.png"/><Relationship Id="rId88" Type="http://schemas.openxmlformats.org/officeDocument/2006/relationships/hyperlink" Target="http://uscode.house.gov/view.xhtml?req=granuleid%3AUSC-prelim-title15-chapter2-subchapter1&amp;edition=prelim" TargetMode="External"/><Relationship Id="rId91" Type="http://schemas.openxmlformats.org/officeDocument/2006/relationships/hyperlink" Target="https://www.fda.gov/foodlabelingguide" TargetMode="Externa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cfr.gov/current/title-49/subtitle-B/chapter-I/subchapter-C/part-178" TargetMode="External"/><Relationship Id="rId23" Type="http://schemas.openxmlformats.org/officeDocument/2006/relationships/hyperlink" Target="https://www.ecfr.gov/current/title-40/chapter-I/subchapter-U/part-1090/subpart-L/section-1090.1110" TargetMode="External"/><Relationship Id="rId28" Type="http://schemas.openxmlformats.org/officeDocument/2006/relationships/hyperlink" Target="file:///C:\Users\DonOnwiler\Downloads\3-LR-UPR-26.1.docx" TargetMode="External"/><Relationship Id="rId36" Type="http://schemas.openxmlformats.org/officeDocument/2006/relationships/hyperlink" Target="https://www.ncwm.com/publication-15" TargetMode="External"/><Relationship Id="rId49" Type="http://schemas.openxmlformats.org/officeDocument/2006/relationships/image" Target="media/image3.png"/><Relationship Id="rId57" Type="http://schemas.openxmlformats.org/officeDocument/2006/relationships/image" Target="media/image11.jpeg"/><Relationship Id="rId10" Type="http://schemas.openxmlformats.org/officeDocument/2006/relationships/footnotes" Target="footnotes.xml"/><Relationship Id="rId31" Type="http://schemas.openxmlformats.org/officeDocument/2006/relationships/hyperlink" Target="file:///C:\Users\DonOnwiler\Downloads\3-LR-UPR-26.1.docx" TargetMode="External"/><Relationship Id="rId44" Type="http://schemas.openxmlformats.org/officeDocument/2006/relationships/header" Target="header2.xml"/><Relationship Id="rId52" Type="http://schemas.openxmlformats.org/officeDocument/2006/relationships/image" Target="media/image6.png"/><Relationship Id="rId60" Type="http://schemas.openxmlformats.org/officeDocument/2006/relationships/image" Target="media/image12.jpeg"/><Relationship Id="rId65" Type="http://schemas.openxmlformats.org/officeDocument/2006/relationships/image" Target="media/image17.jpeg"/><Relationship Id="rId73" Type="http://schemas.openxmlformats.org/officeDocument/2006/relationships/image" Target="media/image25.tmp"/><Relationship Id="rId78" Type="http://schemas.openxmlformats.org/officeDocument/2006/relationships/image" Target="media/image30.jpeg"/><Relationship Id="rId81" Type="http://schemas.openxmlformats.org/officeDocument/2006/relationships/image" Target="media/image33.png"/><Relationship Id="rId86" Type="http://schemas.openxmlformats.org/officeDocument/2006/relationships/image" Target="media/image38.png"/><Relationship Id="rId94" Type="http://schemas.openxmlformats.org/officeDocument/2006/relationships/hyperlink" Target="https://www.fda.gov/cosmetics/cosmetics-labeling-regulations/cosmetics-labeling-guide"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cfr.gov/current/title-49/subtitle-B/chapter-I/subchapter-C/part-178" TargetMode="External"/><Relationship Id="rId18" Type="http://schemas.openxmlformats.org/officeDocument/2006/relationships/hyperlink" Target="https://gcc02.safelinks.protection.outlook.com/?url=https%3A%2F%2Fwww.ecfr.gov%2Fcurrent%2Ftitle-49%2Fsection-107.221&amp;data=05%7C02%7Ckristin.walter%40agriculture.arkansas.gov%7Cce90546dc61a467cdf0d08de1496ba8f%7C5ec1d8f0cb624000b3278e63b0547048%7C0%7C0%7C638970834821713929%7CUnknown%7CTWFpbGZsb3d8eyJFbXB0eU1hcGkiOnRydWUsIlYiOiIwLjAuMDAwMCIsIlAiOiJXaW4zMiIsIkFOIjoiTWFpbCIsIldUIjoyfQ%3D%3D%7C0%7C%7C%7C&amp;sdata=yZI4jZwJKnSFFwY5u1WmgOblz08%2FPgP2dGU9aWvi3cw%3D&amp;reserved=0" TargetMode="External"/><Relationship Id="rId39" Type="http://schemas.openxmlformats.org/officeDocument/2006/relationships/hyperlink" Target="mailto:Vanessa.Benchea@fdacs.gov" TargetMode="External"/><Relationship Id="rId34" Type="http://schemas.openxmlformats.org/officeDocument/2006/relationships/hyperlink" Target="https://www.ncwm.com/publication-15" TargetMode="External"/><Relationship Id="rId50" Type="http://schemas.openxmlformats.org/officeDocument/2006/relationships/image" Target="media/image4.png"/><Relationship Id="rId55" Type="http://schemas.openxmlformats.org/officeDocument/2006/relationships/image" Target="media/image9.png"/><Relationship Id="rId76" Type="http://schemas.openxmlformats.org/officeDocument/2006/relationships/image" Target="media/image28.emf"/><Relationship Id="rId97" Type="http://schemas.openxmlformats.org/officeDocument/2006/relationships/footer" Target="footer3.xml"/><Relationship Id="rId7" Type="http://schemas.openxmlformats.org/officeDocument/2006/relationships/styles" Target="styles.xml"/><Relationship Id="rId71" Type="http://schemas.openxmlformats.org/officeDocument/2006/relationships/image" Target="media/image23.tmp"/><Relationship Id="rId92" Type="http://schemas.openxmlformats.org/officeDocument/2006/relationships/hyperlink" Target="https://www.fda.gov/media/99151/download" TargetMode="External"/><Relationship Id="rId2" Type="http://schemas.openxmlformats.org/officeDocument/2006/relationships/customXml" Target="../customXml/item2.xml"/><Relationship Id="rId29" Type="http://schemas.openxmlformats.org/officeDocument/2006/relationships/hyperlink" Target="file:///C:\Users\DonOnwiler\Downloads\3-LR-UPR-26.1.docx" TargetMode="External"/><Relationship Id="rId24" Type="http://schemas.openxmlformats.org/officeDocument/2006/relationships/hyperlink" Target="https://www.ecfr.gov/current/title-40/section-1090.1100" TargetMode="External"/><Relationship Id="rId40" Type="http://schemas.openxmlformats.org/officeDocument/2006/relationships/hyperlink" Target="mailto:guay.cb@gmail.com" TargetMode="External"/><Relationship Id="rId45" Type="http://schemas.openxmlformats.org/officeDocument/2006/relationships/footer" Target="footer1.xml"/><Relationship Id="rId66" Type="http://schemas.openxmlformats.org/officeDocument/2006/relationships/image" Target="media/image18.png"/><Relationship Id="rId87" Type="http://schemas.openxmlformats.org/officeDocument/2006/relationships/hyperlink" Target="https://www.ftc.gov/legal-library/browse/statutes/federal-trade-commission-act" TargetMode="External"/><Relationship Id="rId61" Type="http://schemas.openxmlformats.org/officeDocument/2006/relationships/image" Target="media/image13.jpeg"/><Relationship Id="rId82" Type="http://schemas.openxmlformats.org/officeDocument/2006/relationships/image" Target="media/image34.png"/><Relationship Id="rId19" Type="http://schemas.openxmlformats.org/officeDocument/2006/relationships/hyperlink" Target="https://www.ncwm.com/publication-15" TargetMode="External"/><Relationship Id="rId14" Type="http://schemas.openxmlformats.org/officeDocument/2006/relationships/hyperlink" Target="https://www.ecfr.gov/current/title-49/subtitle-B/chapter-I/subchapter-C/part-178" TargetMode="External"/><Relationship Id="rId30" Type="http://schemas.openxmlformats.org/officeDocument/2006/relationships/hyperlink" Target="file:///C:\Users\DonOnwiler\Downloads\3-LR-UPR-26.1.docx" TargetMode="External"/><Relationship Id="rId35" Type="http://schemas.openxmlformats.org/officeDocument/2006/relationships/hyperlink" Target="https://www.ncwm.com/publication-15" TargetMode="External"/><Relationship Id="rId56" Type="http://schemas.openxmlformats.org/officeDocument/2006/relationships/image" Target="media/image10.png"/><Relationship Id="rId77" Type="http://schemas.openxmlformats.org/officeDocument/2006/relationships/image" Target="media/image29.png"/><Relationship Id="rId100"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5.jpeg"/><Relationship Id="rId72" Type="http://schemas.openxmlformats.org/officeDocument/2006/relationships/image" Target="media/image24.png"/><Relationship Id="rId93" Type="http://schemas.openxmlformats.org/officeDocument/2006/relationships/hyperlink" Target="https://www.fda.gov/cosmetics/cosmetics-laws-regulations/regulations-related-cosmetics-title-21-code-federal-regulations-21-cfr" TargetMode="External"/><Relationship Id="rId98"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api.org/-/media/files/publications/2024-catalog/2024-publication-catalo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2960CD-B37C-4FEA-94B1-261FF8106706}">
  <we:reference id="wa104380526" version="1.2.0.0" store="en-US" storeType="OMEX"/>
  <we:alternateReferences>
    <we:reference id="WA104380526" version="1.2.0.0" store="WA1043805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\\ncwmlnkts01\Shared\Pub 15\2017\Master\3-LR-Report-Master.doc</MigrationSourceURL>
    <TaxCatchAll xmlns="e821e515-2ed6-42dc-8244-a8315a5cc19a" xsi:nil="true"/>
    <lcf76f155ced4ddcb4097134ff3c332f xmlns="e1c729d5-d8dd-4ccd-87aa-46ea52ddd4a6">
      <Terms xmlns="http://schemas.microsoft.com/office/infopath/2007/PartnerControls"/>
    </lcf76f155ced4ddcb4097134ff3c332f>
    <Person xmlns="e1c729d5-d8dd-4ccd-87aa-46ea52ddd4a6">
      <UserInfo>
        <DisplayName/>
        <AccountId xsi:nil="true"/>
        <AccountType/>
      </UserInfo>
    </Pers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23" ma:contentTypeDescription="Create a new document." ma:contentTypeScope="" ma:versionID="144f8a8f512e91006147cfd330c67433">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00a65d016bc4f1aa332191edd9fd78d4"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TaxCatchAll" ma:index="26" nillable="true" ma:displayName="Taxonomy Catch All Column" ma:hidden="true" ma:list="{a0de06aa-230a-41a3-a587-8f6872d495ab}" ma:internalName="TaxCatchAll" ma:showField="CatchAllData" ma:web="e821e515-2ed6-42dc-8244-a8315a5cc1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82bce29-4b9a-4a84-ab75-f0ea1c3771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erson" ma:index="30"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4EEB07-89E9-4345-8E37-925F353109EB}">
  <ds:schemaRefs>
    <ds:schemaRef ds:uri="http://schemas.microsoft.com/office/2006/metadata/properties"/>
    <ds:schemaRef ds:uri="http://schemas.microsoft.com/office/infopath/2007/PartnerControls"/>
    <ds:schemaRef ds:uri="e1c729d5-d8dd-4ccd-87aa-46ea52ddd4a6"/>
    <ds:schemaRef ds:uri="e821e515-2ed6-42dc-8244-a8315a5cc19a"/>
  </ds:schemaRefs>
</ds:datastoreItem>
</file>

<file path=customXml/itemProps2.xml><?xml version="1.0" encoding="utf-8"?>
<ds:datastoreItem xmlns:ds="http://schemas.openxmlformats.org/officeDocument/2006/customXml" ds:itemID="{FABF8602-1EF1-404F-AACE-D4E4F2E727AF}">
  <ds:schemaRefs>
    <ds:schemaRef ds:uri="http://schemas.openxmlformats.org/officeDocument/2006/bibliography"/>
  </ds:schemaRefs>
</ds:datastoreItem>
</file>

<file path=customXml/itemProps3.xml><?xml version="1.0" encoding="utf-8"?>
<ds:datastoreItem xmlns:ds="http://schemas.openxmlformats.org/officeDocument/2006/customXml" ds:itemID="{EDE2D752-7DF2-4469-9673-CE6E620DCE85}">
  <ds:schemaRefs>
    <ds:schemaRef ds:uri="http://schemas.microsoft.com/sharepoint/v3/contenttype/forms"/>
  </ds:schemaRefs>
</ds:datastoreItem>
</file>

<file path=customXml/itemProps4.xml><?xml version="1.0" encoding="utf-8"?>
<ds:datastoreItem xmlns:ds="http://schemas.openxmlformats.org/officeDocument/2006/customXml" ds:itemID="{29F4CFB4-B4B7-484B-88D8-688D98F20D8E}">
  <ds:schemaRefs>
    <ds:schemaRef ds:uri="http://schemas.microsoft.com/office/2006/metadata/longProperties"/>
  </ds:schemaRefs>
</ds:datastoreItem>
</file>

<file path=customXml/itemProps5.xml><?xml version="1.0" encoding="utf-8"?>
<ds:datastoreItem xmlns:ds="http://schemas.openxmlformats.org/officeDocument/2006/customXml" ds:itemID="{284421FE-BABD-4073-B3EE-1B41667B2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119</Pages>
  <Words>42987</Words>
  <Characters>235569</Characters>
  <Application>Microsoft Office Word</Application>
  <DocSecurity>0</DocSecurity>
  <Lines>4807</Lines>
  <Paragraphs>2228</Paragraphs>
  <ScaleCrop>false</ScaleCrop>
  <HeadingPairs>
    <vt:vector size="2" baseType="variant">
      <vt:variant>
        <vt:lpstr>Title</vt:lpstr>
      </vt:variant>
      <vt:variant>
        <vt:i4>1</vt:i4>
      </vt:variant>
    </vt:vector>
  </HeadingPairs>
  <TitlesOfParts>
    <vt:vector size="1" baseType="lpstr">
      <vt:lpstr>2021 L&amp;R Carryover Report</vt:lpstr>
    </vt:vector>
  </TitlesOfParts>
  <Manager>lisa.warfield@nist.gov</Manager>
  <Company/>
  <LinksUpToDate>false</LinksUpToDate>
  <CharactersWithSpaces>276328</CharactersWithSpaces>
  <SharedDoc>false</SharedDoc>
  <HLinks>
    <vt:vector size="228" baseType="variant">
      <vt:variant>
        <vt:i4>6553723</vt:i4>
      </vt:variant>
      <vt:variant>
        <vt:i4>191</vt:i4>
      </vt:variant>
      <vt:variant>
        <vt:i4>0</vt:i4>
      </vt:variant>
      <vt:variant>
        <vt:i4>5</vt:i4>
      </vt:variant>
      <vt:variant>
        <vt:lpwstr>https://www.ncwm.com/publication-15</vt:lpwstr>
      </vt:variant>
      <vt:variant>
        <vt:lpwstr/>
      </vt:variant>
      <vt:variant>
        <vt:i4>524406</vt:i4>
      </vt:variant>
      <vt:variant>
        <vt:i4>188</vt:i4>
      </vt:variant>
      <vt:variant>
        <vt:i4>0</vt:i4>
      </vt:variant>
      <vt:variant>
        <vt:i4>5</vt:i4>
      </vt:variant>
      <vt:variant>
        <vt:lpwstr>mailto:Vanessa.Benchea@fdacs.gov</vt:lpwstr>
      </vt:variant>
      <vt:variant>
        <vt:lpwstr/>
      </vt:variant>
      <vt:variant>
        <vt:i4>4980768</vt:i4>
      </vt:variant>
      <vt:variant>
        <vt:i4>185</vt:i4>
      </vt:variant>
      <vt:variant>
        <vt:i4>0</vt:i4>
      </vt:variant>
      <vt:variant>
        <vt:i4>5</vt:i4>
      </vt:variant>
      <vt:variant>
        <vt:lpwstr>mailto:guay.cb@gmail.com</vt:lpwstr>
      </vt:variant>
      <vt:variant>
        <vt:lpwstr/>
      </vt:variant>
      <vt:variant>
        <vt:i4>524406</vt:i4>
      </vt:variant>
      <vt:variant>
        <vt:i4>182</vt:i4>
      </vt:variant>
      <vt:variant>
        <vt:i4>0</vt:i4>
      </vt:variant>
      <vt:variant>
        <vt:i4>5</vt:i4>
      </vt:variant>
      <vt:variant>
        <vt:lpwstr>mailto:Vanessa.Benchea@fdacs.gov</vt:lpwstr>
      </vt:variant>
      <vt:variant>
        <vt:lpwstr/>
      </vt:variant>
      <vt:variant>
        <vt:i4>6029341</vt:i4>
      </vt:variant>
      <vt:variant>
        <vt:i4>179</vt:i4>
      </vt:variant>
      <vt:variant>
        <vt:i4>0</vt:i4>
      </vt:variant>
      <vt:variant>
        <vt:i4>5</vt:i4>
      </vt:variant>
      <vt:variant>
        <vt:lpwstr>https://www.pfeuffer.com/product/contador</vt:lpwstr>
      </vt:variant>
      <vt:variant>
        <vt:lpwstr/>
      </vt:variant>
      <vt:variant>
        <vt:i4>4718622</vt:i4>
      </vt:variant>
      <vt:variant>
        <vt:i4>176</vt:i4>
      </vt:variant>
      <vt:variant>
        <vt:i4>0</vt:i4>
      </vt:variant>
      <vt:variant>
        <vt:i4>5</vt:i4>
      </vt:variant>
      <vt:variant>
        <vt:lpwstr>http://www.seedcounters.com/index.php/counting/summary?id=148</vt:lpwstr>
      </vt:variant>
      <vt:variant>
        <vt:lpwstr/>
      </vt:variant>
      <vt:variant>
        <vt:i4>2424850</vt:i4>
      </vt:variant>
      <vt:variant>
        <vt:i4>173</vt:i4>
      </vt:variant>
      <vt:variant>
        <vt:i4>0</vt:i4>
      </vt:variant>
      <vt:variant>
        <vt:i4>5</vt:i4>
      </vt:variant>
      <vt:variant>
        <vt:lpwstr>https://cdn.shopify.com/s/files/1/0070/8041/1191/files/801_Manual.pdf?v=1614276180</vt:lpwstr>
      </vt:variant>
      <vt:variant>
        <vt:lpwstr/>
      </vt:variant>
      <vt:variant>
        <vt:i4>6684722</vt:i4>
      </vt:variant>
      <vt:variant>
        <vt:i4>170</vt:i4>
      </vt:variant>
      <vt:variant>
        <vt:i4>0</vt:i4>
      </vt:variant>
      <vt:variant>
        <vt:i4>5</vt:i4>
      </vt:variant>
      <vt:variant>
        <vt:lpwstr>https://data-technologies.com/wp-content/uploads/2017/09/Seed-Counter-S-25.pdf</vt:lpwstr>
      </vt:variant>
      <vt:variant>
        <vt:lpwstr/>
      </vt:variant>
      <vt:variant>
        <vt:i4>262208</vt:i4>
      </vt:variant>
      <vt:variant>
        <vt:i4>167</vt:i4>
      </vt:variant>
      <vt:variant>
        <vt:i4>0</vt:i4>
      </vt:variant>
      <vt:variant>
        <vt:i4>5</vt:i4>
      </vt:variant>
      <vt:variant>
        <vt:lpwstr>https://www.agri-instrument.com/wp-content/uploads/2018/05/SLY-E-High-Accuracy-Automatic-Seed-Counter.pdf</vt:lpwstr>
      </vt:variant>
      <vt:variant>
        <vt:lpwstr/>
      </vt:variant>
      <vt:variant>
        <vt:i4>4784211</vt:i4>
      </vt:variant>
      <vt:variant>
        <vt:i4>164</vt:i4>
      </vt:variant>
      <vt:variant>
        <vt:i4>0</vt:i4>
      </vt:variant>
      <vt:variant>
        <vt:i4>5</vt:i4>
      </vt:variant>
      <vt:variant>
        <vt:lpwstr>https://www.wintersteiger.com/us/Plant-Breeding-and-Research/Products/Product-range/Laboratory-preparation/66-Seed-Count-S-25plus</vt:lpwstr>
      </vt:variant>
      <vt:variant>
        <vt:lpwstr/>
      </vt:variant>
      <vt:variant>
        <vt:i4>6357052</vt:i4>
      </vt:variant>
      <vt:variant>
        <vt:i4>161</vt:i4>
      </vt:variant>
      <vt:variant>
        <vt:i4>0</vt:i4>
      </vt:variant>
      <vt:variant>
        <vt:i4>5</vt:i4>
      </vt:variant>
      <vt:variant>
        <vt:lpwstr>https://www.govinfo.gov/app/details/CFR-2009-title40-vol23/CFR-2009-title40-vol23-sec156-10</vt:lpwstr>
      </vt:variant>
      <vt:variant>
        <vt:lpwstr/>
      </vt:variant>
      <vt:variant>
        <vt:i4>6553723</vt:i4>
      </vt:variant>
      <vt:variant>
        <vt:i4>158</vt:i4>
      </vt:variant>
      <vt:variant>
        <vt:i4>0</vt:i4>
      </vt:variant>
      <vt:variant>
        <vt:i4>5</vt:i4>
      </vt:variant>
      <vt:variant>
        <vt:lpwstr>https://www.ncwm.com/publication-15</vt:lpwstr>
      </vt:variant>
      <vt:variant>
        <vt:lpwstr/>
      </vt:variant>
      <vt:variant>
        <vt:i4>7143549</vt:i4>
      </vt:variant>
      <vt:variant>
        <vt:i4>155</vt:i4>
      </vt:variant>
      <vt:variant>
        <vt:i4>0</vt:i4>
      </vt:variant>
      <vt:variant>
        <vt:i4>5</vt:i4>
      </vt:variant>
      <vt:variant>
        <vt:lpwstr>https://www.dfcr.org/universal-cannabis-symbol</vt:lpwstr>
      </vt:variant>
      <vt:variant>
        <vt:lpwstr/>
      </vt:variant>
      <vt:variant>
        <vt:i4>1507384</vt:i4>
      </vt:variant>
      <vt:variant>
        <vt:i4>146</vt:i4>
      </vt:variant>
      <vt:variant>
        <vt:i4>0</vt:i4>
      </vt:variant>
      <vt:variant>
        <vt:i4>5</vt:i4>
      </vt:variant>
      <vt:variant>
        <vt:lpwstr/>
      </vt:variant>
      <vt:variant>
        <vt:lpwstr>_Toc144284525</vt:lpwstr>
      </vt:variant>
      <vt:variant>
        <vt:i4>1507384</vt:i4>
      </vt:variant>
      <vt:variant>
        <vt:i4>140</vt:i4>
      </vt:variant>
      <vt:variant>
        <vt:i4>0</vt:i4>
      </vt:variant>
      <vt:variant>
        <vt:i4>5</vt:i4>
      </vt:variant>
      <vt:variant>
        <vt:lpwstr/>
      </vt:variant>
      <vt:variant>
        <vt:lpwstr>_Toc144284524</vt:lpwstr>
      </vt:variant>
      <vt:variant>
        <vt:i4>1507384</vt:i4>
      </vt:variant>
      <vt:variant>
        <vt:i4>134</vt:i4>
      </vt:variant>
      <vt:variant>
        <vt:i4>0</vt:i4>
      </vt:variant>
      <vt:variant>
        <vt:i4>5</vt:i4>
      </vt:variant>
      <vt:variant>
        <vt:lpwstr/>
      </vt:variant>
      <vt:variant>
        <vt:lpwstr>_Toc144284523</vt:lpwstr>
      </vt:variant>
      <vt:variant>
        <vt:i4>1507384</vt:i4>
      </vt:variant>
      <vt:variant>
        <vt:i4>128</vt:i4>
      </vt:variant>
      <vt:variant>
        <vt:i4>0</vt:i4>
      </vt:variant>
      <vt:variant>
        <vt:i4>5</vt:i4>
      </vt:variant>
      <vt:variant>
        <vt:lpwstr/>
      </vt:variant>
      <vt:variant>
        <vt:lpwstr>_Toc144284522</vt:lpwstr>
      </vt:variant>
      <vt:variant>
        <vt:i4>1507384</vt:i4>
      </vt:variant>
      <vt:variant>
        <vt:i4>122</vt:i4>
      </vt:variant>
      <vt:variant>
        <vt:i4>0</vt:i4>
      </vt:variant>
      <vt:variant>
        <vt:i4>5</vt:i4>
      </vt:variant>
      <vt:variant>
        <vt:lpwstr/>
      </vt:variant>
      <vt:variant>
        <vt:lpwstr>_Toc144284521</vt:lpwstr>
      </vt:variant>
      <vt:variant>
        <vt:i4>1507384</vt:i4>
      </vt:variant>
      <vt:variant>
        <vt:i4>116</vt:i4>
      </vt:variant>
      <vt:variant>
        <vt:i4>0</vt:i4>
      </vt:variant>
      <vt:variant>
        <vt:i4>5</vt:i4>
      </vt:variant>
      <vt:variant>
        <vt:lpwstr/>
      </vt:variant>
      <vt:variant>
        <vt:lpwstr>_Toc144284520</vt:lpwstr>
      </vt:variant>
      <vt:variant>
        <vt:i4>1310776</vt:i4>
      </vt:variant>
      <vt:variant>
        <vt:i4>110</vt:i4>
      </vt:variant>
      <vt:variant>
        <vt:i4>0</vt:i4>
      </vt:variant>
      <vt:variant>
        <vt:i4>5</vt:i4>
      </vt:variant>
      <vt:variant>
        <vt:lpwstr/>
      </vt:variant>
      <vt:variant>
        <vt:lpwstr>_Toc144284519</vt:lpwstr>
      </vt:variant>
      <vt:variant>
        <vt:i4>1310776</vt:i4>
      </vt:variant>
      <vt:variant>
        <vt:i4>104</vt:i4>
      </vt:variant>
      <vt:variant>
        <vt:i4>0</vt:i4>
      </vt:variant>
      <vt:variant>
        <vt:i4>5</vt:i4>
      </vt:variant>
      <vt:variant>
        <vt:lpwstr/>
      </vt:variant>
      <vt:variant>
        <vt:lpwstr>_Toc144284518</vt:lpwstr>
      </vt:variant>
      <vt:variant>
        <vt:i4>1310776</vt:i4>
      </vt:variant>
      <vt:variant>
        <vt:i4>98</vt:i4>
      </vt:variant>
      <vt:variant>
        <vt:i4>0</vt:i4>
      </vt:variant>
      <vt:variant>
        <vt:i4>5</vt:i4>
      </vt:variant>
      <vt:variant>
        <vt:lpwstr/>
      </vt:variant>
      <vt:variant>
        <vt:lpwstr>_Toc144284517</vt:lpwstr>
      </vt:variant>
      <vt:variant>
        <vt:i4>1310776</vt:i4>
      </vt:variant>
      <vt:variant>
        <vt:i4>92</vt:i4>
      </vt:variant>
      <vt:variant>
        <vt:i4>0</vt:i4>
      </vt:variant>
      <vt:variant>
        <vt:i4>5</vt:i4>
      </vt:variant>
      <vt:variant>
        <vt:lpwstr/>
      </vt:variant>
      <vt:variant>
        <vt:lpwstr>_Toc144284516</vt:lpwstr>
      </vt:variant>
      <vt:variant>
        <vt:i4>1310776</vt:i4>
      </vt:variant>
      <vt:variant>
        <vt:i4>86</vt:i4>
      </vt:variant>
      <vt:variant>
        <vt:i4>0</vt:i4>
      </vt:variant>
      <vt:variant>
        <vt:i4>5</vt:i4>
      </vt:variant>
      <vt:variant>
        <vt:lpwstr/>
      </vt:variant>
      <vt:variant>
        <vt:lpwstr>_Toc144284515</vt:lpwstr>
      </vt:variant>
      <vt:variant>
        <vt:i4>1310776</vt:i4>
      </vt:variant>
      <vt:variant>
        <vt:i4>80</vt:i4>
      </vt:variant>
      <vt:variant>
        <vt:i4>0</vt:i4>
      </vt:variant>
      <vt:variant>
        <vt:i4>5</vt:i4>
      </vt:variant>
      <vt:variant>
        <vt:lpwstr/>
      </vt:variant>
      <vt:variant>
        <vt:lpwstr>_Toc144284514</vt:lpwstr>
      </vt:variant>
      <vt:variant>
        <vt:i4>1310776</vt:i4>
      </vt:variant>
      <vt:variant>
        <vt:i4>74</vt:i4>
      </vt:variant>
      <vt:variant>
        <vt:i4>0</vt:i4>
      </vt:variant>
      <vt:variant>
        <vt:i4>5</vt:i4>
      </vt:variant>
      <vt:variant>
        <vt:lpwstr/>
      </vt:variant>
      <vt:variant>
        <vt:lpwstr>_Toc144284513</vt:lpwstr>
      </vt:variant>
      <vt:variant>
        <vt:i4>1310776</vt:i4>
      </vt:variant>
      <vt:variant>
        <vt:i4>68</vt:i4>
      </vt:variant>
      <vt:variant>
        <vt:i4>0</vt:i4>
      </vt:variant>
      <vt:variant>
        <vt:i4>5</vt:i4>
      </vt:variant>
      <vt:variant>
        <vt:lpwstr/>
      </vt:variant>
      <vt:variant>
        <vt:lpwstr>_Toc144284512</vt:lpwstr>
      </vt:variant>
      <vt:variant>
        <vt:i4>1310776</vt:i4>
      </vt:variant>
      <vt:variant>
        <vt:i4>62</vt:i4>
      </vt:variant>
      <vt:variant>
        <vt:i4>0</vt:i4>
      </vt:variant>
      <vt:variant>
        <vt:i4>5</vt:i4>
      </vt:variant>
      <vt:variant>
        <vt:lpwstr/>
      </vt:variant>
      <vt:variant>
        <vt:lpwstr>_Toc144284511</vt:lpwstr>
      </vt:variant>
      <vt:variant>
        <vt:i4>1310776</vt:i4>
      </vt:variant>
      <vt:variant>
        <vt:i4>56</vt:i4>
      </vt:variant>
      <vt:variant>
        <vt:i4>0</vt:i4>
      </vt:variant>
      <vt:variant>
        <vt:i4>5</vt:i4>
      </vt:variant>
      <vt:variant>
        <vt:lpwstr/>
      </vt:variant>
      <vt:variant>
        <vt:lpwstr>_Toc144284510</vt:lpwstr>
      </vt:variant>
      <vt:variant>
        <vt:i4>1376312</vt:i4>
      </vt:variant>
      <vt:variant>
        <vt:i4>50</vt:i4>
      </vt:variant>
      <vt:variant>
        <vt:i4>0</vt:i4>
      </vt:variant>
      <vt:variant>
        <vt:i4>5</vt:i4>
      </vt:variant>
      <vt:variant>
        <vt:lpwstr/>
      </vt:variant>
      <vt:variant>
        <vt:lpwstr>_Toc144284509</vt:lpwstr>
      </vt:variant>
      <vt:variant>
        <vt:i4>1376312</vt:i4>
      </vt:variant>
      <vt:variant>
        <vt:i4>44</vt:i4>
      </vt:variant>
      <vt:variant>
        <vt:i4>0</vt:i4>
      </vt:variant>
      <vt:variant>
        <vt:i4>5</vt:i4>
      </vt:variant>
      <vt:variant>
        <vt:lpwstr/>
      </vt:variant>
      <vt:variant>
        <vt:lpwstr>_Toc144284508</vt:lpwstr>
      </vt:variant>
      <vt:variant>
        <vt:i4>1376312</vt:i4>
      </vt:variant>
      <vt:variant>
        <vt:i4>38</vt:i4>
      </vt:variant>
      <vt:variant>
        <vt:i4>0</vt:i4>
      </vt:variant>
      <vt:variant>
        <vt:i4>5</vt:i4>
      </vt:variant>
      <vt:variant>
        <vt:lpwstr/>
      </vt:variant>
      <vt:variant>
        <vt:lpwstr>_Toc144284507</vt:lpwstr>
      </vt:variant>
      <vt:variant>
        <vt:i4>1376312</vt:i4>
      </vt:variant>
      <vt:variant>
        <vt:i4>32</vt:i4>
      </vt:variant>
      <vt:variant>
        <vt:i4>0</vt:i4>
      </vt:variant>
      <vt:variant>
        <vt:i4>5</vt:i4>
      </vt:variant>
      <vt:variant>
        <vt:lpwstr/>
      </vt:variant>
      <vt:variant>
        <vt:lpwstr>_Toc144284506</vt:lpwstr>
      </vt:variant>
      <vt:variant>
        <vt:i4>1376312</vt:i4>
      </vt:variant>
      <vt:variant>
        <vt:i4>26</vt:i4>
      </vt:variant>
      <vt:variant>
        <vt:i4>0</vt:i4>
      </vt:variant>
      <vt:variant>
        <vt:i4>5</vt:i4>
      </vt:variant>
      <vt:variant>
        <vt:lpwstr/>
      </vt:variant>
      <vt:variant>
        <vt:lpwstr>_Toc144284505</vt:lpwstr>
      </vt:variant>
      <vt:variant>
        <vt:i4>1376312</vt:i4>
      </vt:variant>
      <vt:variant>
        <vt:i4>20</vt:i4>
      </vt:variant>
      <vt:variant>
        <vt:i4>0</vt:i4>
      </vt:variant>
      <vt:variant>
        <vt:i4>5</vt:i4>
      </vt:variant>
      <vt:variant>
        <vt:lpwstr/>
      </vt:variant>
      <vt:variant>
        <vt:lpwstr>_Toc144284504</vt:lpwstr>
      </vt:variant>
      <vt:variant>
        <vt:i4>1376312</vt:i4>
      </vt:variant>
      <vt:variant>
        <vt:i4>14</vt:i4>
      </vt:variant>
      <vt:variant>
        <vt:i4>0</vt:i4>
      </vt:variant>
      <vt:variant>
        <vt:i4>5</vt:i4>
      </vt:variant>
      <vt:variant>
        <vt:lpwstr/>
      </vt:variant>
      <vt:variant>
        <vt:lpwstr>_Toc144284503</vt:lpwstr>
      </vt:variant>
      <vt:variant>
        <vt:i4>1376312</vt:i4>
      </vt:variant>
      <vt:variant>
        <vt:i4>8</vt:i4>
      </vt:variant>
      <vt:variant>
        <vt:i4>0</vt:i4>
      </vt:variant>
      <vt:variant>
        <vt:i4>5</vt:i4>
      </vt:variant>
      <vt:variant>
        <vt:lpwstr/>
      </vt:variant>
      <vt:variant>
        <vt:lpwstr>_Toc144284502</vt:lpwstr>
      </vt:variant>
      <vt:variant>
        <vt:i4>1376312</vt:i4>
      </vt:variant>
      <vt:variant>
        <vt:i4>2</vt:i4>
      </vt:variant>
      <vt:variant>
        <vt:i4>0</vt:i4>
      </vt:variant>
      <vt:variant>
        <vt:i4>5</vt:i4>
      </vt:variant>
      <vt:variant>
        <vt:lpwstr/>
      </vt:variant>
      <vt:variant>
        <vt:lpwstr>_Toc144284501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L&amp;R Carryover Report</dc:title>
  <dc:subject/>
  <dc:creator/>
  <cp:keywords>2021 L&amp;R Carryover Report</cp:keywords>
  <dc:description/>
  <cp:lastModifiedBy>Danyelle Dolan</cp:lastModifiedBy>
  <cp:revision>55</cp:revision>
  <cp:lastPrinted>2025-06-11T16:21:00Z</cp:lastPrinted>
  <dcterms:created xsi:type="dcterms:W3CDTF">2026-04-13T17:04:00Z</dcterms:created>
  <dcterms:modified xsi:type="dcterms:W3CDTF">2026-07-14T15:34:00Z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y fmtid="{D5CDD505-2E9C-101B-9397-08002B2CF9AE}" pid="3" name="AuthorIds_UIVersion_5120">
    <vt:lpwstr>20</vt:lpwstr>
  </property>
  <property fmtid="{D5CDD505-2E9C-101B-9397-08002B2CF9AE}" pid="4" name="MediaServiceImageTags">
    <vt:lpwstr/>
  </property>
  <property fmtid="{D5CDD505-2E9C-101B-9397-08002B2CF9AE}" pid="5" name="GrammarlyDocumentId">
    <vt:lpwstr>b677e056ad93b043766d439dee779eb4172d0726a0af45ce1362c9a2d788fcc3</vt:lpwstr>
  </property>
  <property fmtid="{D5CDD505-2E9C-101B-9397-08002B2CF9AE}" pid="6" name="_NewReviewCycle">
    <vt:lpwstr/>
  </property>
</Properties>
</file>