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39F7" w14:textId="670F532F" w:rsidR="00271406" w:rsidRDefault="00271406" w:rsidP="00CA3413">
      <w:pPr>
        <w:pStyle w:val="HeadingSection"/>
        <w:suppressLineNumbers/>
        <w:tabs>
          <w:tab w:val="center" w:pos="4680"/>
          <w:tab w:val="right" w:pos="9360"/>
        </w:tabs>
        <w:spacing w:after="0" w:line="240" w:lineRule="auto"/>
      </w:pPr>
      <w:bookmarkStart w:id="0" w:name="_Toc301773537"/>
      <w:bookmarkStart w:id="1" w:name="_Toc301773708"/>
      <w:bookmarkStart w:id="2" w:name="_Toc301773938"/>
      <w:bookmarkStart w:id="3" w:name="_Toc301774070"/>
      <w:bookmarkStart w:id="4" w:name="_Hlk65077192"/>
      <w:r w:rsidRPr="00BC30C9">
        <w:t>Laws and Regulations (L&amp;R) Committee</w:t>
      </w:r>
    </w:p>
    <w:p w14:paraId="6CB707EA" w14:textId="7E06BF00" w:rsidR="008B5A5A" w:rsidRPr="00BC30C9" w:rsidRDefault="008B5A5A" w:rsidP="00CA3413">
      <w:pPr>
        <w:pStyle w:val="HeadingSection"/>
        <w:suppressLineNumbers/>
        <w:tabs>
          <w:tab w:val="center" w:pos="4680"/>
          <w:tab w:val="right" w:pos="9360"/>
        </w:tabs>
        <w:spacing w:after="0" w:line="240" w:lineRule="auto"/>
        <w:rPr>
          <w:b w:val="0"/>
        </w:rPr>
      </w:pPr>
      <w:r>
        <w:t>2026 Annual Meeting Agenda</w:t>
      </w:r>
    </w:p>
    <w:p w14:paraId="1F2232D4" w14:textId="4FC1571D" w:rsidR="00271406" w:rsidRPr="00935F1C" w:rsidRDefault="009B00E5" w:rsidP="00271406">
      <w:pPr>
        <w:suppressLineNumbers/>
        <w:spacing w:after="0"/>
        <w:jc w:val="center"/>
        <w:rPr>
          <w:rFonts w:eastAsia="Times New Roman"/>
          <w:szCs w:val="20"/>
        </w:rPr>
      </w:pPr>
      <w:r w:rsidRPr="00935F1C">
        <w:rPr>
          <w:b/>
          <w:szCs w:val="20"/>
        </w:rPr>
        <w:br/>
      </w:r>
      <w:r w:rsidR="007E48F3" w:rsidRPr="00935F1C">
        <w:rPr>
          <w:rFonts w:eastAsia="Times New Roman"/>
          <w:szCs w:val="20"/>
        </w:rPr>
        <w:t>Mauricio</w:t>
      </w:r>
      <w:r w:rsidR="006B39F0" w:rsidRPr="00935F1C">
        <w:rPr>
          <w:rFonts w:eastAsia="Times New Roman"/>
          <w:szCs w:val="20"/>
        </w:rPr>
        <w:t xml:space="preserve"> Mejia</w:t>
      </w:r>
      <w:r w:rsidR="00271406" w:rsidRPr="00935F1C">
        <w:rPr>
          <w:rFonts w:eastAsia="Times New Roman"/>
          <w:szCs w:val="20"/>
        </w:rPr>
        <w:t>, Committee Chair</w:t>
      </w:r>
    </w:p>
    <w:p w14:paraId="7E04B033" w14:textId="41D8BD49" w:rsidR="00271406" w:rsidRPr="00935F1C" w:rsidRDefault="006B39F0" w:rsidP="00271406">
      <w:pPr>
        <w:suppressLineNumbers/>
        <w:spacing w:after="0"/>
        <w:jc w:val="center"/>
        <w:rPr>
          <w:rFonts w:eastAsia="Times New Roman"/>
          <w:szCs w:val="20"/>
        </w:rPr>
      </w:pPr>
      <w:r w:rsidRPr="00935F1C">
        <w:rPr>
          <w:rFonts w:eastAsia="Times New Roman"/>
          <w:szCs w:val="20"/>
        </w:rPr>
        <w:t>Florida</w:t>
      </w:r>
    </w:p>
    <w:p w14:paraId="0BDE78FF" w14:textId="77777777" w:rsidR="00D72188" w:rsidRDefault="00D72188" w:rsidP="00271406">
      <w:pPr>
        <w:suppressLineNumbers/>
        <w:spacing w:after="0"/>
        <w:jc w:val="left"/>
        <w:rPr>
          <w:rFonts w:eastAsia="Times New Roman"/>
          <w:b/>
          <w:bCs/>
          <w:sz w:val="24"/>
          <w:szCs w:val="24"/>
        </w:rPr>
      </w:pPr>
    </w:p>
    <w:p w14:paraId="14E895C8" w14:textId="565EBF51" w:rsidR="00271406" w:rsidRDefault="00271406" w:rsidP="00271406">
      <w:pPr>
        <w:suppressLineNumbers/>
        <w:spacing w:after="0"/>
        <w:jc w:val="left"/>
        <w:rPr>
          <w:rFonts w:eastAsia="Times New Roman"/>
          <w:b/>
          <w:bCs/>
          <w:sz w:val="24"/>
          <w:szCs w:val="24"/>
        </w:rPr>
      </w:pPr>
      <w:r w:rsidRPr="00BC30C9">
        <w:rPr>
          <w:rFonts w:eastAsia="Times New Roman"/>
          <w:b/>
          <w:bCs/>
          <w:sz w:val="24"/>
          <w:szCs w:val="24"/>
        </w:rPr>
        <w:t>INTRODUCTION</w:t>
      </w:r>
    </w:p>
    <w:p w14:paraId="39C6D9DF" w14:textId="77777777" w:rsidR="00271406" w:rsidRPr="00BC30C9" w:rsidRDefault="00271406" w:rsidP="00271406">
      <w:pPr>
        <w:suppressLineNumbers/>
        <w:spacing w:after="0"/>
        <w:jc w:val="left"/>
        <w:rPr>
          <w:rFonts w:eastAsia="Times New Roman"/>
          <w:b/>
          <w:sz w:val="24"/>
          <w:szCs w:val="24"/>
        </w:rPr>
      </w:pPr>
    </w:p>
    <w:p w14:paraId="0E9DC4C4" w14:textId="047D13F0" w:rsidR="009051B5" w:rsidRPr="00A334F9" w:rsidRDefault="009051B5" w:rsidP="009051B5">
      <w:pPr>
        <w:suppressLineNumbers/>
        <w:autoSpaceDE w:val="0"/>
        <w:autoSpaceDN w:val="0"/>
        <w:adjustRightInd w:val="0"/>
        <w:rPr>
          <w:color w:val="000000"/>
          <w:szCs w:val="20"/>
        </w:rPr>
      </w:pPr>
      <w:bookmarkStart w:id="5" w:name="_Hlk65077087"/>
      <w:bookmarkEnd w:id="0"/>
      <w:bookmarkEnd w:id="1"/>
      <w:bookmarkEnd w:id="2"/>
      <w:bookmarkEnd w:id="3"/>
      <w:r w:rsidRPr="00A334F9">
        <w:rPr>
          <w:color w:val="000000"/>
          <w:szCs w:val="20"/>
        </w:rPr>
        <w:t xml:space="preserve">This is the </w:t>
      </w:r>
      <w:r>
        <w:rPr>
          <w:color w:val="000000"/>
          <w:szCs w:val="20"/>
        </w:rPr>
        <w:t>agenda</w:t>
      </w:r>
      <w:r w:rsidRPr="00A334F9">
        <w:rPr>
          <w:color w:val="000000"/>
          <w:szCs w:val="20"/>
        </w:rPr>
        <w:t xml:space="preserve"> of the </w:t>
      </w:r>
      <w:r w:rsidR="00133389">
        <w:rPr>
          <w:color w:val="000000"/>
          <w:szCs w:val="20"/>
        </w:rPr>
        <w:t>Laws and Regulations Committee</w:t>
      </w:r>
      <w:r w:rsidRPr="00A334F9">
        <w:rPr>
          <w:color w:val="000000"/>
          <w:szCs w:val="20"/>
        </w:rPr>
        <w:t xml:space="preserve"> (hereinafter referred to as the “</w:t>
      </w:r>
      <w:r w:rsidR="00133389">
        <w:rPr>
          <w:color w:val="000000"/>
          <w:szCs w:val="20"/>
        </w:rPr>
        <w:t>Committee</w:t>
      </w:r>
      <w:r w:rsidRPr="00A334F9">
        <w:rPr>
          <w:color w:val="000000"/>
          <w:szCs w:val="20"/>
        </w:rPr>
        <w:t>”) for the</w:t>
      </w:r>
      <w:r>
        <w:rPr>
          <w:color w:val="000000"/>
          <w:szCs w:val="20"/>
        </w:rPr>
        <w:t xml:space="preserve"> 111</w:t>
      </w:r>
      <w:r w:rsidRPr="007F1C29">
        <w:rPr>
          <w:color w:val="000000"/>
          <w:szCs w:val="20"/>
          <w:vertAlign w:val="superscript"/>
        </w:rPr>
        <w:t>th</w:t>
      </w:r>
      <w:r>
        <w:rPr>
          <w:color w:val="000000"/>
          <w:szCs w:val="20"/>
        </w:rPr>
        <w:t xml:space="preserve"> </w:t>
      </w:r>
      <w:r w:rsidRPr="00A334F9">
        <w:rPr>
          <w:color w:val="000000"/>
          <w:szCs w:val="20"/>
        </w:rPr>
        <w:t>Annual Meeting of the National Co</w:t>
      </w:r>
      <w:r>
        <w:rPr>
          <w:color w:val="000000"/>
          <w:szCs w:val="20"/>
        </w:rPr>
        <w:t>uncil</w:t>
      </w:r>
      <w:r w:rsidRPr="00A334F9">
        <w:rPr>
          <w:color w:val="000000"/>
          <w:szCs w:val="20"/>
        </w:rPr>
        <w:t xml:space="preserve"> on Weights and Measures (NCWM). This report is based on the Interim Report offered in the NCWM Publication 16, testimony heard at public hearings, comments received from the regional weights and measures associations and other parties, the addendum sheets issued at the Annual Meeting, and actions taken by the membership at the voting session of the Annual Meeting. The Informational items presented below were adopted as presented when the </w:t>
      </w:r>
      <w:r>
        <w:rPr>
          <w:color w:val="000000"/>
          <w:szCs w:val="20"/>
        </w:rPr>
        <w:t>Board</w:t>
      </w:r>
      <w:r w:rsidRPr="00A334F9">
        <w:rPr>
          <w:color w:val="000000"/>
          <w:szCs w:val="20"/>
        </w:rPr>
        <w:t xml:space="preserve">’s report was approved. </w:t>
      </w:r>
    </w:p>
    <w:p w14:paraId="55924A33" w14:textId="77777777" w:rsidR="009051B5" w:rsidRDefault="009051B5" w:rsidP="009051B5">
      <w:pPr>
        <w:suppressLineNumbers/>
        <w:autoSpaceDE w:val="0"/>
        <w:autoSpaceDN w:val="0"/>
        <w:adjustRightInd w:val="0"/>
        <w:rPr>
          <w:color w:val="000000"/>
          <w:szCs w:val="20"/>
        </w:rPr>
      </w:pPr>
      <w:r w:rsidRPr="00A334F9">
        <w:rPr>
          <w:color w:val="000000"/>
          <w:szCs w:val="20"/>
        </w:rPr>
        <w:t>Table A identifies the agenda and appendix items. Agenda items are identified in the Report by Reference Key Number, Item Title, and Page Number. Item numbers are those assigned in the Interim Meeting agenda. A Voting item is indicated with a “</w:t>
      </w:r>
      <w:r w:rsidRPr="00A334F9">
        <w:rPr>
          <w:b/>
          <w:bCs/>
          <w:color w:val="000000"/>
          <w:szCs w:val="20"/>
        </w:rPr>
        <w:t>V</w:t>
      </w:r>
      <w:r w:rsidRPr="00A334F9">
        <w:rPr>
          <w:color w:val="000000"/>
          <w:szCs w:val="20"/>
        </w:rPr>
        <w:t>” after the item number. An item marked with an “</w:t>
      </w:r>
      <w:r w:rsidRPr="00A334F9">
        <w:rPr>
          <w:b/>
          <w:bCs/>
          <w:color w:val="000000"/>
          <w:szCs w:val="20"/>
        </w:rPr>
        <w:t>I</w:t>
      </w:r>
      <w:r w:rsidRPr="00A334F9">
        <w:rPr>
          <w:color w:val="000000"/>
          <w:szCs w:val="20"/>
        </w:rPr>
        <w:t>” after the reference key number is an Informational item. An item marked with a “</w:t>
      </w:r>
      <w:r w:rsidRPr="00A334F9">
        <w:rPr>
          <w:b/>
          <w:bCs/>
          <w:color w:val="000000"/>
          <w:szCs w:val="20"/>
        </w:rPr>
        <w:t>D</w:t>
      </w:r>
      <w:r w:rsidRPr="00A334F9">
        <w:rPr>
          <w:color w:val="000000"/>
          <w:szCs w:val="20"/>
        </w:rPr>
        <w:t xml:space="preserve">” after the reference key number is a Developing item. The developing designation indicates an item has merit; however, the item was returned to the submitter for further development before any action can be taken at the national level. An agenda “Item Under Consideration” is a statement of proposal and not necessarily a recommendation of the BOD. Suggested revisions are shown in </w:t>
      </w:r>
      <w:r w:rsidRPr="00A334F9">
        <w:rPr>
          <w:b/>
          <w:bCs/>
          <w:color w:val="000000"/>
          <w:szCs w:val="20"/>
        </w:rPr>
        <w:t xml:space="preserve">bold </w:t>
      </w:r>
      <w:r w:rsidRPr="00A334F9">
        <w:rPr>
          <w:color w:val="000000"/>
          <w:szCs w:val="20"/>
        </w:rPr>
        <w:t xml:space="preserve">face print by </w:t>
      </w:r>
      <w:r w:rsidRPr="00A334F9">
        <w:rPr>
          <w:b/>
          <w:bCs/>
          <w:color w:val="000000"/>
          <w:szCs w:val="20"/>
        </w:rPr>
        <w:t xml:space="preserve">striking out </w:t>
      </w:r>
      <w:r w:rsidRPr="00A334F9">
        <w:rPr>
          <w:color w:val="000000"/>
          <w:szCs w:val="20"/>
        </w:rPr>
        <w:t xml:space="preserve">information to be deleted and </w:t>
      </w:r>
      <w:r w:rsidRPr="00A334F9">
        <w:rPr>
          <w:b/>
          <w:bCs/>
          <w:color w:val="000000"/>
          <w:szCs w:val="20"/>
          <w:u w:val="single"/>
        </w:rPr>
        <w:t xml:space="preserve">underlining </w:t>
      </w:r>
      <w:r w:rsidRPr="00A334F9">
        <w:rPr>
          <w:color w:val="000000"/>
          <w:szCs w:val="20"/>
        </w:rPr>
        <w:t xml:space="preserve">information to be added. Table B lists the results of any Voting Items. </w:t>
      </w:r>
    </w:p>
    <w:p w14:paraId="68356CCD" w14:textId="77777777" w:rsidR="009051B5" w:rsidRDefault="009051B5" w:rsidP="009051B5">
      <w:pPr>
        <w:suppressLineNumbers/>
        <w:spacing w:after="0"/>
      </w:pPr>
      <w:r>
        <w:t xml:space="preserve">Items may be grouped into “Blocks” if they are: </w:t>
      </w:r>
    </w:p>
    <w:p w14:paraId="649BF25A" w14:textId="77777777" w:rsidR="009051B5" w:rsidRDefault="009051B5" w:rsidP="009051B5">
      <w:pPr>
        <w:pStyle w:val="ListParagraph"/>
        <w:numPr>
          <w:ilvl w:val="0"/>
          <w:numId w:val="45"/>
        </w:numPr>
        <w:suppressLineNumbers/>
        <w:spacing w:after="0"/>
      </w:pPr>
      <w:r>
        <w:rPr>
          <w:b/>
          <w:bCs/>
        </w:rPr>
        <w:t xml:space="preserve">Opposing Items: </w:t>
      </w:r>
      <w:r>
        <w:t xml:space="preserve">Items in direct conflict with each other, and only one may be adopted, </w:t>
      </w:r>
    </w:p>
    <w:p w14:paraId="4DAD4687" w14:textId="77777777" w:rsidR="009051B5" w:rsidRPr="00FE29EA" w:rsidRDefault="009051B5" w:rsidP="009051B5">
      <w:pPr>
        <w:pStyle w:val="ListParagraph"/>
        <w:numPr>
          <w:ilvl w:val="0"/>
          <w:numId w:val="45"/>
        </w:numPr>
        <w:suppressLineNumbers/>
        <w:autoSpaceDE w:val="0"/>
        <w:autoSpaceDN w:val="0"/>
        <w:adjustRightInd w:val="0"/>
        <w:spacing w:after="0"/>
        <w:rPr>
          <w:color w:val="000000"/>
          <w:szCs w:val="20"/>
        </w:rPr>
      </w:pPr>
      <w:r w:rsidRPr="00FE29EA">
        <w:rPr>
          <w:b/>
          <w:bCs/>
        </w:rPr>
        <w:t>Interdependent Items:</w:t>
      </w:r>
      <w:r>
        <w:t xml:space="preserve"> Items addressing a similar topic where, if one is adopted, all need to be adopted, and </w:t>
      </w:r>
    </w:p>
    <w:p w14:paraId="0B778F19" w14:textId="77777777" w:rsidR="009051B5" w:rsidRPr="00FE29EA" w:rsidRDefault="009051B5" w:rsidP="009051B5">
      <w:pPr>
        <w:pStyle w:val="ListParagraph"/>
        <w:numPr>
          <w:ilvl w:val="0"/>
          <w:numId w:val="45"/>
        </w:numPr>
        <w:suppressLineNumbers/>
        <w:autoSpaceDE w:val="0"/>
        <w:autoSpaceDN w:val="0"/>
        <w:adjustRightInd w:val="0"/>
        <w:spacing w:after="0"/>
        <w:rPr>
          <w:color w:val="000000"/>
          <w:szCs w:val="20"/>
        </w:rPr>
      </w:pPr>
      <w:r w:rsidRPr="00FE29EA">
        <w:rPr>
          <w:b/>
          <w:bCs/>
        </w:rPr>
        <w:t xml:space="preserve">Related Items: </w:t>
      </w:r>
      <w:r w:rsidRPr="00080C30">
        <w:t>Items addressing a similar topic across multiple codes or regulations.</w:t>
      </w:r>
    </w:p>
    <w:p w14:paraId="04B974B2" w14:textId="77777777" w:rsidR="009051B5" w:rsidRDefault="009051B5" w:rsidP="009051B5">
      <w:pPr>
        <w:suppressLineNumbers/>
        <w:autoSpaceDE w:val="0"/>
        <w:autoSpaceDN w:val="0"/>
        <w:adjustRightInd w:val="0"/>
        <w:spacing w:after="0"/>
        <w:rPr>
          <w:color w:val="000000"/>
          <w:szCs w:val="20"/>
        </w:rPr>
      </w:pPr>
    </w:p>
    <w:p w14:paraId="59BE967F" w14:textId="77777777" w:rsidR="009051B5" w:rsidRPr="00D81E1A" w:rsidRDefault="009051B5" w:rsidP="009051B5">
      <w:pPr>
        <w:suppressLineNumbers/>
      </w:pPr>
      <w:r w:rsidRPr="00D81E1A">
        <w:t xml:space="preserve">Some Voting Items are considered individually; others may be grouped in a consent calendar. Consent calendar items are Voting Items that the </w:t>
      </w:r>
      <w:r>
        <w:t>Board</w:t>
      </w:r>
      <w:r w:rsidRPr="00D81E1A">
        <w:t xml:space="preserve"> has assembled as a single Voting Item during their deliberation after the Open Hearings</w:t>
      </w:r>
      <w:r>
        <w:t>, assuming</w:t>
      </w:r>
      <w:r w:rsidRPr="00D81E1A">
        <w:t xml:space="preserve"> that the items are without opposition and will not require discussion.  The Voting Items that have been grouped into consent calendar items will be listed on the addendum sheets.  Prior to adoption of the consent calendar, the </w:t>
      </w:r>
      <w:r>
        <w:t xml:space="preserve">Board </w:t>
      </w:r>
      <w:r w:rsidRPr="00D81E1A">
        <w:t>will remove specific items from the consent calendar upon request to be discussed and voted upon individually.</w:t>
      </w:r>
    </w:p>
    <w:p w14:paraId="7FA06B10" w14:textId="77777777" w:rsidR="009051B5" w:rsidRPr="00D81E1A" w:rsidRDefault="009051B5" w:rsidP="009051B5">
      <w:pPr>
        <w:suppressLineNumbers/>
      </w:pPr>
      <w:r>
        <w:t>The Board</w:t>
      </w:r>
      <w:r w:rsidRPr="00D81E1A">
        <w:t xml:space="preserve"> may change the status designation of agenda items (Developing, Informational, </w:t>
      </w:r>
      <w:r>
        <w:t>Assigned,</w:t>
      </w:r>
      <w:r w:rsidRPr="00D81E1A">
        <w:t xml:space="preserve"> Voting and Withdrawn) up until the report is adopted, except those items which are marked Developing, Informational</w:t>
      </w:r>
      <w:r>
        <w:t xml:space="preserve">, Assigned </w:t>
      </w:r>
      <w:r w:rsidRPr="00D81E1A">
        <w:t xml:space="preserve">or Withdrawn cannot be changed to Voting Status.  Any change from the </w:t>
      </w:r>
      <w:r>
        <w:t>Board</w:t>
      </w:r>
      <w:r w:rsidRPr="00D81E1A">
        <w:t xml:space="preserve"> Interim Report (as contained in this publication) or from what appears on the addendum sheets will be explained to the attendees prior to a motion and will be acted upon by the active members of NCWM prior to calling for the vote.  </w:t>
      </w:r>
    </w:p>
    <w:p w14:paraId="4838385A" w14:textId="77777777" w:rsidR="009051B5" w:rsidRPr="00D81E1A" w:rsidRDefault="009051B5" w:rsidP="009051B5">
      <w:pPr>
        <w:suppressLineNumbers/>
      </w:pPr>
      <w:r>
        <w:t xml:space="preserve">An “Item under Consideration” is a statement of proposal and not necessarily a recommendation of the Board.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7B2189">
        <w:rPr>
          <w:u w:val="single"/>
        </w:rPr>
        <w:t>https://www.ncwm.com/publication-16</w:t>
      </w:r>
      <w:r w:rsidRPr="007B2189">
        <w:t xml:space="preserve"> </w:t>
      </w:r>
      <w:r w:rsidRPr="0055637C">
        <w:t>to review these documents</w:t>
      </w:r>
      <w:r w:rsidRPr="00D81E1A">
        <w:t xml:space="preserve">. </w:t>
      </w:r>
    </w:p>
    <w:p w14:paraId="26E66B42" w14:textId="2FD6B222" w:rsidR="00BC30C9" w:rsidRPr="00956090" w:rsidRDefault="009051B5" w:rsidP="009051B5">
      <w:pPr>
        <w:suppressLineNumbers/>
        <w:spacing w:after="200"/>
        <w:jc w:val="left"/>
        <w:rPr>
          <w:rFonts w:eastAsia="Times New Roman"/>
          <w:i/>
          <w:szCs w:val="20"/>
        </w:rPr>
      </w:pPr>
      <w:r>
        <w:t>All sessions are open to registered meeting attendees.  If the Board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made at least a day before the planned closed session.</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403E9B3B" w14:textId="16EA2A08" w:rsidR="007D304D" w:rsidRPr="00281428" w:rsidRDefault="007D304D" w:rsidP="000803DF">
      <w:pPr>
        <w:pStyle w:val="SubjectSeriesLevel3"/>
        <w:keepNext/>
        <w:suppressLineNumbers/>
        <w:ind w:left="972"/>
      </w:pPr>
      <w:r>
        <w:t>Uniform E-commerce Regulation</w:t>
      </w:r>
      <w:r>
        <w:tab/>
        <w:t>ECM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6E3315D6" w14:textId="182C9E4E" w:rsidR="005412A3" w:rsidRDefault="00214C38">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793645">
        <w:fldChar w:fldCharType="begin"/>
      </w:r>
      <w:r w:rsidRPr="00793645">
        <w:instrText xml:space="preserve"> TOC \o "1-1" \h \z \t "Appendix Heading,3,Item Heading,2,Roman Item Heading,4" </w:instrText>
      </w:r>
      <w:r w:rsidR="00F20174">
        <w:instrText xml:space="preserve">\W </w:instrText>
      </w:r>
      <w:r w:rsidRPr="00793645">
        <w:fldChar w:fldCharType="separate"/>
      </w:r>
      <w:hyperlink w:anchor="_Toc224019612" w:history="1">
        <w:r w:rsidR="005412A3" w:rsidRPr="00592990">
          <w:rPr>
            <w:rStyle w:val="Hyperlink"/>
          </w:rPr>
          <w:t>pal – uniform packaging and labeling regulation</w:t>
        </w:r>
        <w:r w:rsidR="005412A3">
          <w:rPr>
            <w:noProof/>
            <w:webHidden/>
          </w:rPr>
          <w:tab/>
        </w:r>
        <w:r w:rsidR="005412A3">
          <w:rPr>
            <w:noProof/>
            <w:webHidden/>
          </w:rPr>
          <w:fldChar w:fldCharType="begin"/>
        </w:r>
        <w:r w:rsidR="005412A3">
          <w:rPr>
            <w:noProof/>
            <w:webHidden/>
          </w:rPr>
          <w:instrText xml:space="preserve"> PAGEREF _Toc224019612 \h </w:instrText>
        </w:r>
        <w:r w:rsidR="005412A3">
          <w:rPr>
            <w:noProof/>
            <w:webHidden/>
          </w:rPr>
        </w:r>
        <w:r w:rsidR="005412A3">
          <w:rPr>
            <w:noProof/>
            <w:webHidden/>
          </w:rPr>
          <w:fldChar w:fldCharType="separate"/>
        </w:r>
        <w:r w:rsidR="00616608">
          <w:rPr>
            <w:noProof/>
            <w:webHidden/>
          </w:rPr>
          <w:t>31</w:t>
        </w:r>
        <w:r w:rsidR="005412A3">
          <w:rPr>
            <w:noProof/>
            <w:webHidden/>
          </w:rPr>
          <w:fldChar w:fldCharType="end"/>
        </w:r>
      </w:hyperlink>
    </w:p>
    <w:p w14:paraId="38D9AAC7" w14:textId="454A11F6"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13" w:history="1">
        <w:r w:rsidRPr="00592990">
          <w:rPr>
            <w:rStyle w:val="Hyperlink"/>
            <w:lang w:val="fr-FR"/>
          </w:rPr>
          <w:t>PAL-26.1</w:t>
        </w:r>
        <w:r w:rsidRPr="00592990">
          <w:rPr>
            <w:rStyle w:val="Hyperlink"/>
            <w:lang w:val="fr-FR"/>
          </w:rPr>
          <w:tab/>
          <w:t>W</w:t>
        </w:r>
        <w:r w:rsidRPr="00592990">
          <w:rPr>
            <w:rStyle w:val="Hyperlink"/>
            <w:lang w:val="fr-FR"/>
          </w:rPr>
          <w:tab/>
          <w:t>6.3. Net Quantity.</w:t>
        </w:r>
        <w:r>
          <w:rPr>
            <w:noProof/>
            <w:webHidden/>
          </w:rPr>
          <w:tab/>
        </w:r>
        <w:r>
          <w:rPr>
            <w:noProof/>
            <w:webHidden/>
          </w:rPr>
          <w:fldChar w:fldCharType="begin"/>
        </w:r>
        <w:r>
          <w:rPr>
            <w:noProof/>
            <w:webHidden/>
          </w:rPr>
          <w:instrText xml:space="preserve"> PAGEREF _Toc224019613 \h </w:instrText>
        </w:r>
        <w:r>
          <w:rPr>
            <w:noProof/>
            <w:webHidden/>
          </w:rPr>
        </w:r>
        <w:r>
          <w:rPr>
            <w:noProof/>
            <w:webHidden/>
          </w:rPr>
          <w:fldChar w:fldCharType="separate"/>
        </w:r>
        <w:r w:rsidR="00616608">
          <w:rPr>
            <w:noProof/>
            <w:webHidden/>
          </w:rPr>
          <w:t>31</w:t>
        </w:r>
        <w:r>
          <w:rPr>
            <w:noProof/>
            <w:webHidden/>
          </w:rPr>
          <w:fldChar w:fldCharType="end"/>
        </w:r>
      </w:hyperlink>
    </w:p>
    <w:p w14:paraId="11796DD6" w14:textId="1D1B6F54"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14" w:history="1">
        <w:r w:rsidRPr="00592990">
          <w:rPr>
            <w:rStyle w:val="Hyperlink"/>
          </w:rPr>
          <w:t>MOS – uniform regulation for the Method of Sale of commodities</w:t>
        </w:r>
        <w:r>
          <w:rPr>
            <w:noProof/>
            <w:webHidden/>
          </w:rPr>
          <w:tab/>
        </w:r>
        <w:r>
          <w:rPr>
            <w:noProof/>
            <w:webHidden/>
          </w:rPr>
          <w:fldChar w:fldCharType="begin"/>
        </w:r>
        <w:r>
          <w:rPr>
            <w:noProof/>
            <w:webHidden/>
          </w:rPr>
          <w:instrText xml:space="preserve"> PAGEREF _Toc224019614 \h </w:instrText>
        </w:r>
        <w:r>
          <w:rPr>
            <w:noProof/>
            <w:webHidden/>
          </w:rPr>
        </w:r>
        <w:r>
          <w:rPr>
            <w:noProof/>
            <w:webHidden/>
          </w:rPr>
          <w:fldChar w:fldCharType="separate"/>
        </w:r>
        <w:r w:rsidR="00616608">
          <w:rPr>
            <w:noProof/>
            <w:webHidden/>
          </w:rPr>
          <w:t>36</w:t>
        </w:r>
        <w:r>
          <w:rPr>
            <w:noProof/>
            <w:webHidden/>
          </w:rPr>
          <w:fldChar w:fldCharType="end"/>
        </w:r>
      </w:hyperlink>
    </w:p>
    <w:p w14:paraId="7A77608A" w14:textId="2BFF8B38"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15" w:history="1">
        <w:r w:rsidRPr="00592990">
          <w:rPr>
            <w:rStyle w:val="Hyperlink"/>
          </w:rPr>
          <w:t xml:space="preserve">MOS-24.2 </w:t>
        </w:r>
        <w:r w:rsidRPr="00592990">
          <w:rPr>
            <w:rStyle w:val="Hyperlink"/>
          </w:rPr>
          <w:tab/>
          <w:t>V</w:t>
        </w:r>
        <w:r w:rsidRPr="00592990">
          <w:rPr>
            <w:rStyle w:val="Hyperlink"/>
          </w:rPr>
          <w:tab/>
          <w:t>2.16.3.1. Tare Weights, Part (c) Allowable difference.</w:t>
        </w:r>
        <w:r>
          <w:rPr>
            <w:noProof/>
            <w:webHidden/>
          </w:rPr>
          <w:tab/>
        </w:r>
        <w:r>
          <w:rPr>
            <w:noProof/>
            <w:webHidden/>
          </w:rPr>
          <w:fldChar w:fldCharType="begin"/>
        </w:r>
        <w:r>
          <w:rPr>
            <w:noProof/>
            <w:webHidden/>
          </w:rPr>
          <w:instrText xml:space="preserve"> PAGEREF _Toc224019615 \h </w:instrText>
        </w:r>
        <w:r>
          <w:rPr>
            <w:noProof/>
            <w:webHidden/>
          </w:rPr>
        </w:r>
        <w:r>
          <w:rPr>
            <w:noProof/>
            <w:webHidden/>
          </w:rPr>
          <w:fldChar w:fldCharType="separate"/>
        </w:r>
        <w:r w:rsidR="00616608">
          <w:rPr>
            <w:noProof/>
            <w:webHidden/>
          </w:rPr>
          <w:t>36</w:t>
        </w:r>
        <w:r>
          <w:rPr>
            <w:noProof/>
            <w:webHidden/>
          </w:rPr>
          <w:fldChar w:fldCharType="end"/>
        </w:r>
      </w:hyperlink>
    </w:p>
    <w:p w14:paraId="50BF7801" w14:textId="32AD29A2"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16" w:history="1">
        <w:r w:rsidRPr="00592990">
          <w:rPr>
            <w:rStyle w:val="Hyperlink"/>
          </w:rPr>
          <w:t>MOS-26.2</w:t>
        </w:r>
        <w:r w:rsidRPr="00592990">
          <w:rPr>
            <w:rStyle w:val="Hyperlink"/>
          </w:rPr>
          <w:tab/>
          <w:t>A</w:t>
        </w:r>
        <w:r w:rsidRPr="00592990">
          <w:rPr>
            <w:rStyle w:val="Hyperlink"/>
          </w:rPr>
          <w:tab/>
          <w:t>2.21.2. Metered Sales by Liquid Volume.</w:t>
        </w:r>
        <w:r>
          <w:rPr>
            <w:noProof/>
            <w:webHidden/>
          </w:rPr>
          <w:tab/>
        </w:r>
        <w:r>
          <w:rPr>
            <w:noProof/>
            <w:webHidden/>
          </w:rPr>
          <w:fldChar w:fldCharType="begin"/>
        </w:r>
        <w:r>
          <w:rPr>
            <w:noProof/>
            <w:webHidden/>
          </w:rPr>
          <w:instrText xml:space="preserve"> PAGEREF _Toc224019616 \h </w:instrText>
        </w:r>
        <w:r>
          <w:rPr>
            <w:noProof/>
            <w:webHidden/>
          </w:rPr>
        </w:r>
        <w:r>
          <w:rPr>
            <w:noProof/>
            <w:webHidden/>
          </w:rPr>
          <w:fldChar w:fldCharType="separate"/>
        </w:r>
        <w:r w:rsidR="00616608">
          <w:rPr>
            <w:noProof/>
            <w:webHidden/>
          </w:rPr>
          <w:t>43</w:t>
        </w:r>
        <w:r>
          <w:rPr>
            <w:noProof/>
            <w:webHidden/>
          </w:rPr>
          <w:fldChar w:fldCharType="end"/>
        </w:r>
      </w:hyperlink>
    </w:p>
    <w:p w14:paraId="5C6BB187" w14:textId="74A893D5"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17" w:history="1">
        <w:r w:rsidRPr="00592990">
          <w:rPr>
            <w:rStyle w:val="Hyperlink"/>
          </w:rPr>
          <w:t>MOS-26.3</w:t>
        </w:r>
        <w:r w:rsidRPr="00592990">
          <w:rPr>
            <w:rStyle w:val="Hyperlink"/>
          </w:rPr>
          <w:tab/>
          <w:t>A</w:t>
        </w:r>
        <w:r w:rsidRPr="00592990">
          <w:rPr>
            <w:rStyle w:val="Hyperlink"/>
          </w:rPr>
          <w:tab/>
          <w:t>Section 2.20 Gasoline and Gasoline Oxygenate Blends</w:t>
        </w:r>
        <w:r>
          <w:rPr>
            <w:noProof/>
            <w:webHidden/>
          </w:rPr>
          <w:tab/>
        </w:r>
        <w:r>
          <w:rPr>
            <w:noProof/>
            <w:webHidden/>
          </w:rPr>
          <w:fldChar w:fldCharType="begin"/>
        </w:r>
        <w:r>
          <w:rPr>
            <w:noProof/>
            <w:webHidden/>
          </w:rPr>
          <w:instrText xml:space="preserve"> PAGEREF _Toc224019617 \h </w:instrText>
        </w:r>
        <w:r>
          <w:rPr>
            <w:noProof/>
            <w:webHidden/>
          </w:rPr>
        </w:r>
        <w:r>
          <w:rPr>
            <w:noProof/>
            <w:webHidden/>
          </w:rPr>
          <w:fldChar w:fldCharType="separate"/>
        </w:r>
        <w:r w:rsidR="00616608">
          <w:rPr>
            <w:noProof/>
            <w:webHidden/>
          </w:rPr>
          <w:t>47</w:t>
        </w:r>
        <w:r>
          <w:rPr>
            <w:noProof/>
            <w:webHidden/>
          </w:rPr>
          <w:fldChar w:fldCharType="end"/>
        </w:r>
      </w:hyperlink>
    </w:p>
    <w:p w14:paraId="2A8668DA" w14:textId="3C6E908C"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18" w:history="1">
        <w:r w:rsidRPr="00592990">
          <w:rPr>
            <w:rStyle w:val="Hyperlink"/>
          </w:rPr>
          <w:t>UPR – Uniform Unit Pricing Regulation</w:t>
        </w:r>
        <w:r>
          <w:rPr>
            <w:noProof/>
            <w:webHidden/>
          </w:rPr>
          <w:tab/>
        </w:r>
        <w:r>
          <w:rPr>
            <w:noProof/>
            <w:webHidden/>
          </w:rPr>
          <w:fldChar w:fldCharType="begin"/>
        </w:r>
        <w:r>
          <w:rPr>
            <w:noProof/>
            <w:webHidden/>
          </w:rPr>
          <w:instrText xml:space="preserve"> PAGEREF _Toc224019618 \h </w:instrText>
        </w:r>
        <w:r>
          <w:rPr>
            <w:noProof/>
            <w:webHidden/>
          </w:rPr>
        </w:r>
        <w:r>
          <w:rPr>
            <w:noProof/>
            <w:webHidden/>
          </w:rPr>
          <w:fldChar w:fldCharType="separate"/>
        </w:r>
        <w:r w:rsidR="00616608">
          <w:rPr>
            <w:noProof/>
            <w:webHidden/>
          </w:rPr>
          <w:t>53</w:t>
        </w:r>
        <w:r>
          <w:rPr>
            <w:noProof/>
            <w:webHidden/>
          </w:rPr>
          <w:fldChar w:fldCharType="end"/>
        </w:r>
      </w:hyperlink>
    </w:p>
    <w:p w14:paraId="017140C0" w14:textId="2CB1A80A"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19" w:history="1">
        <w:r w:rsidRPr="00592990">
          <w:rPr>
            <w:rStyle w:val="Hyperlink"/>
          </w:rPr>
          <w:t>UPR-26.1</w:t>
        </w:r>
        <w:r w:rsidRPr="00592990">
          <w:rPr>
            <w:rStyle w:val="Hyperlink"/>
          </w:rPr>
          <w:tab/>
          <w:t>V</w:t>
        </w:r>
        <w:r w:rsidRPr="00592990">
          <w:rPr>
            <w:rStyle w:val="Hyperlink"/>
          </w:rPr>
          <w:tab/>
          <w:t>Uniform Unit Pricing Regulation: Multiple Sections</w:t>
        </w:r>
        <w:r>
          <w:rPr>
            <w:noProof/>
            <w:webHidden/>
          </w:rPr>
          <w:tab/>
        </w:r>
        <w:r>
          <w:rPr>
            <w:noProof/>
            <w:webHidden/>
          </w:rPr>
          <w:fldChar w:fldCharType="begin"/>
        </w:r>
        <w:r>
          <w:rPr>
            <w:noProof/>
            <w:webHidden/>
          </w:rPr>
          <w:instrText xml:space="preserve"> PAGEREF _Toc224019619 \h </w:instrText>
        </w:r>
        <w:r>
          <w:rPr>
            <w:noProof/>
            <w:webHidden/>
          </w:rPr>
        </w:r>
        <w:r>
          <w:rPr>
            <w:noProof/>
            <w:webHidden/>
          </w:rPr>
          <w:fldChar w:fldCharType="separate"/>
        </w:r>
        <w:r w:rsidR="00616608">
          <w:rPr>
            <w:noProof/>
            <w:webHidden/>
          </w:rPr>
          <w:t>53</w:t>
        </w:r>
        <w:r>
          <w:rPr>
            <w:noProof/>
            <w:webHidden/>
          </w:rPr>
          <w:fldChar w:fldCharType="end"/>
        </w:r>
      </w:hyperlink>
    </w:p>
    <w:p w14:paraId="70CDB926" w14:textId="67C0DF04"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20" w:history="1">
        <w:r w:rsidRPr="00592990">
          <w:rPr>
            <w:rStyle w:val="Hyperlink"/>
          </w:rPr>
          <w:t>FLR – Uniform Fuels and Automotive Lubricants Regulation</w:t>
        </w:r>
        <w:r>
          <w:rPr>
            <w:noProof/>
            <w:webHidden/>
          </w:rPr>
          <w:tab/>
        </w:r>
        <w:r>
          <w:rPr>
            <w:noProof/>
            <w:webHidden/>
          </w:rPr>
          <w:fldChar w:fldCharType="begin"/>
        </w:r>
        <w:r>
          <w:rPr>
            <w:noProof/>
            <w:webHidden/>
          </w:rPr>
          <w:instrText xml:space="preserve"> PAGEREF _Toc224019620 \h </w:instrText>
        </w:r>
        <w:r>
          <w:rPr>
            <w:noProof/>
            <w:webHidden/>
          </w:rPr>
        </w:r>
        <w:r>
          <w:rPr>
            <w:noProof/>
            <w:webHidden/>
          </w:rPr>
          <w:fldChar w:fldCharType="separate"/>
        </w:r>
        <w:r w:rsidR="00616608">
          <w:rPr>
            <w:noProof/>
            <w:webHidden/>
          </w:rPr>
          <w:t>60</w:t>
        </w:r>
        <w:r>
          <w:rPr>
            <w:noProof/>
            <w:webHidden/>
          </w:rPr>
          <w:fldChar w:fldCharType="end"/>
        </w:r>
      </w:hyperlink>
    </w:p>
    <w:p w14:paraId="1F44D7E0" w14:textId="709EAF0B"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1" w:history="1">
        <w:r w:rsidRPr="00592990">
          <w:rPr>
            <w:rStyle w:val="Hyperlink"/>
          </w:rPr>
          <w:t>FLR-26.1</w:t>
        </w:r>
        <w:r w:rsidRPr="00592990">
          <w:rPr>
            <w:rStyle w:val="Hyperlink"/>
          </w:rPr>
          <w:tab/>
          <w:t>A</w:t>
        </w:r>
        <w:r w:rsidRPr="00592990">
          <w:rPr>
            <w:rStyle w:val="Hyperlink"/>
          </w:rPr>
          <w:tab/>
          <w:t>7.2. Reproducibility Limits</w:t>
        </w:r>
        <w:r>
          <w:rPr>
            <w:noProof/>
            <w:webHidden/>
          </w:rPr>
          <w:tab/>
        </w:r>
        <w:r>
          <w:rPr>
            <w:noProof/>
            <w:webHidden/>
          </w:rPr>
          <w:fldChar w:fldCharType="begin"/>
        </w:r>
        <w:r>
          <w:rPr>
            <w:noProof/>
            <w:webHidden/>
          </w:rPr>
          <w:instrText xml:space="preserve"> PAGEREF _Toc224019621 \h </w:instrText>
        </w:r>
        <w:r>
          <w:rPr>
            <w:noProof/>
            <w:webHidden/>
          </w:rPr>
        </w:r>
        <w:r>
          <w:rPr>
            <w:noProof/>
            <w:webHidden/>
          </w:rPr>
          <w:fldChar w:fldCharType="separate"/>
        </w:r>
        <w:r w:rsidR="00616608">
          <w:rPr>
            <w:noProof/>
            <w:webHidden/>
          </w:rPr>
          <w:t>60</w:t>
        </w:r>
        <w:r>
          <w:rPr>
            <w:noProof/>
            <w:webHidden/>
          </w:rPr>
          <w:fldChar w:fldCharType="end"/>
        </w:r>
      </w:hyperlink>
    </w:p>
    <w:p w14:paraId="2F1A6F23" w14:textId="294491C1"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22" w:history="1">
        <w:r w:rsidRPr="00592990">
          <w:rPr>
            <w:rStyle w:val="Hyperlink"/>
          </w:rPr>
          <w:t>ecm – uniform e-commerce regulation</w:t>
        </w:r>
        <w:r>
          <w:rPr>
            <w:noProof/>
            <w:webHidden/>
          </w:rPr>
          <w:tab/>
        </w:r>
        <w:r>
          <w:rPr>
            <w:noProof/>
            <w:webHidden/>
          </w:rPr>
          <w:fldChar w:fldCharType="begin"/>
        </w:r>
        <w:r>
          <w:rPr>
            <w:noProof/>
            <w:webHidden/>
          </w:rPr>
          <w:instrText xml:space="preserve"> PAGEREF _Toc224019622 \h </w:instrText>
        </w:r>
        <w:r>
          <w:rPr>
            <w:noProof/>
            <w:webHidden/>
          </w:rPr>
        </w:r>
        <w:r>
          <w:rPr>
            <w:noProof/>
            <w:webHidden/>
          </w:rPr>
          <w:fldChar w:fldCharType="separate"/>
        </w:r>
        <w:r w:rsidR="00616608">
          <w:rPr>
            <w:noProof/>
            <w:webHidden/>
          </w:rPr>
          <w:t>65</w:t>
        </w:r>
        <w:r>
          <w:rPr>
            <w:noProof/>
            <w:webHidden/>
          </w:rPr>
          <w:fldChar w:fldCharType="end"/>
        </w:r>
      </w:hyperlink>
    </w:p>
    <w:p w14:paraId="2426657D" w14:textId="5285EF6F"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3" w:history="1">
        <w:r w:rsidRPr="00592990">
          <w:rPr>
            <w:rStyle w:val="Hyperlink"/>
          </w:rPr>
          <w:t>ECM-26.1</w:t>
        </w:r>
        <w:r w:rsidRPr="00592990">
          <w:rPr>
            <w:rStyle w:val="Hyperlink"/>
          </w:rPr>
          <w:tab/>
          <w:t>V</w:t>
        </w:r>
        <w:r w:rsidRPr="00592990">
          <w:rPr>
            <w:rStyle w:val="Hyperlink"/>
          </w:rPr>
          <w:tab/>
          <w:t>Section 2. Definitions, Section 3. Required Declarations for E-commerce Sites Offering Products for Sale, Section 5. Unit Pricing Requirements on E-Commerce Sites for Products Offered for Sale, Section 10. Prominence and Placement of Required Information on E-commerce Sites: Offering E-commerce Products for Sale</w:t>
        </w:r>
        <w:r>
          <w:rPr>
            <w:noProof/>
            <w:webHidden/>
          </w:rPr>
          <w:tab/>
        </w:r>
        <w:r>
          <w:rPr>
            <w:noProof/>
            <w:webHidden/>
          </w:rPr>
          <w:fldChar w:fldCharType="begin"/>
        </w:r>
        <w:r>
          <w:rPr>
            <w:noProof/>
            <w:webHidden/>
          </w:rPr>
          <w:instrText xml:space="preserve"> PAGEREF _Toc224019623 \h </w:instrText>
        </w:r>
        <w:r>
          <w:rPr>
            <w:noProof/>
            <w:webHidden/>
          </w:rPr>
        </w:r>
        <w:r>
          <w:rPr>
            <w:noProof/>
            <w:webHidden/>
          </w:rPr>
          <w:fldChar w:fldCharType="separate"/>
        </w:r>
        <w:r w:rsidR="00616608">
          <w:rPr>
            <w:noProof/>
            <w:webHidden/>
          </w:rPr>
          <w:t>65</w:t>
        </w:r>
        <w:r>
          <w:rPr>
            <w:noProof/>
            <w:webHidden/>
          </w:rPr>
          <w:fldChar w:fldCharType="end"/>
        </w:r>
      </w:hyperlink>
    </w:p>
    <w:p w14:paraId="701022BB" w14:textId="1275AA5F"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24" w:history="1">
        <w:r w:rsidRPr="00592990">
          <w:rPr>
            <w:rStyle w:val="Hyperlink"/>
          </w:rPr>
          <w:t>OTH – OTHER ITEMS</w:t>
        </w:r>
        <w:r>
          <w:rPr>
            <w:noProof/>
            <w:webHidden/>
          </w:rPr>
          <w:tab/>
        </w:r>
        <w:r>
          <w:rPr>
            <w:noProof/>
            <w:webHidden/>
          </w:rPr>
          <w:fldChar w:fldCharType="begin"/>
        </w:r>
        <w:r>
          <w:rPr>
            <w:noProof/>
            <w:webHidden/>
          </w:rPr>
          <w:instrText xml:space="preserve"> PAGEREF _Toc224019624 \h </w:instrText>
        </w:r>
        <w:r>
          <w:rPr>
            <w:noProof/>
            <w:webHidden/>
          </w:rPr>
        </w:r>
        <w:r>
          <w:rPr>
            <w:noProof/>
            <w:webHidden/>
          </w:rPr>
          <w:fldChar w:fldCharType="separate"/>
        </w:r>
        <w:r w:rsidR="00616608">
          <w:rPr>
            <w:noProof/>
            <w:webHidden/>
          </w:rPr>
          <w:t>70</w:t>
        </w:r>
        <w:r>
          <w:rPr>
            <w:noProof/>
            <w:webHidden/>
          </w:rPr>
          <w:fldChar w:fldCharType="end"/>
        </w:r>
      </w:hyperlink>
    </w:p>
    <w:p w14:paraId="36115439" w14:textId="7C8DC073"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5" w:history="1">
        <w:r w:rsidRPr="00592990">
          <w:rPr>
            <w:rStyle w:val="Hyperlink"/>
          </w:rPr>
          <w:t>OTH-24.1</w:t>
        </w:r>
        <w:r w:rsidRPr="00592990">
          <w:rPr>
            <w:rStyle w:val="Hyperlink"/>
          </w:rPr>
          <w:tab/>
          <w:t>A</w:t>
        </w:r>
        <w:r w:rsidRPr="00592990">
          <w:rPr>
            <w:rStyle w:val="Hyperlink"/>
          </w:rPr>
          <w:tab/>
          <w:t>X. Uniform Shipment Law</w:t>
        </w:r>
        <w:r>
          <w:rPr>
            <w:noProof/>
            <w:webHidden/>
          </w:rPr>
          <w:tab/>
        </w:r>
        <w:r>
          <w:rPr>
            <w:noProof/>
            <w:webHidden/>
          </w:rPr>
          <w:fldChar w:fldCharType="begin"/>
        </w:r>
        <w:r>
          <w:rPr>
            <w:noProof/>
            <w:webHidden/>
          </w:rPr>
          <w:instrText xml:space="preserve"> PAGEREF _Toc224019625 \h </w:instrText>
        </w:r>
        <w:r>
          <w:rPr>
            <w:noProof/>
            <w:webHidden/>
          </w:rPr>
        </w:r>
        <w:r>
          <w:rPr>
            <w:noProof/>
            <w:webHidden/>
          </w:rPr>
          <w:fldChar w:fldCharType="separate"/>
        </w:r>
        <w:r w:rsidR="00616608">
          <w:rPr>
            <w:noProof/>
            <w:webHidden/>
          </w:rPr>
          <w:t>70</w:t>
        </w:r>
        <w:r>
          <w:rPr>
            <w:noProof/>
            <w:webHidden/>
          </w:rPr>
          <w:fldChar w:fldCharType="end"/>
        </w:r>
      </w:hyperlink>
    </w:p>
    <w:p w14:paraId="51D8E4F3" w14:textId="14A02CAD"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6" w:history="1">
        <w:r w:rsidRPr="00592990">
          <w:rPr>
            <w:rStyle w:val="Hyperlink"/>
          </w:rPr>
          <w:t>OTH-07.1</w:t>
        </w:r>
        <w:r w:rsidRPr="00592990">
          <w:rPr>
            <w:rStyle w:val="Hyperlink"/>
          </w:rPr>
          <w:tab/>
          <w:t>D</w:t>
        </w:r>
        <w:r w:rsidRPr="00592990">
          <w:rPr>
            <w:rStyle w:val="Hyperlink"/>
          </w:rPr>
          <w:tab/>
          <w:t>Fuels and Lubricants Subcommittee</w:t>
        </w:r>
        <w:r>
          <w:rPr>
            <w:noProof/>
            <w:webHidden/>
          </w:rPr>
          <w:tab/>
        </w:r>
        <w:r>
          <w:rPr>
            <w:noProof/>
            <w:webHidden/>
          </w:rPr>
          <w:fldChar w:fldCharType="begin"/>
        </w:r>
        <w:r>
          <w:rPr>
            <w:noProof/>
            <w:webHidden/>
          </w:rPr>
          <w:instrText xml:space="preserve"> PAGEREF _Toc224019626 \h </w:instrText>
        </w:r>
        <w:r>
          <w:rPr>
            <w:noProof/>
            <w:webHidden/>
          </w:rPr>
        </w:r>
        <w:r>
          <w:rPr>
            <w:noProof/>
            <w:webHidden/>
          </w:rPr>
          <w:fldChar w:fldCharType="separate"/>
        </w:r>
        <w:r w:rsidR="00616608">
          <w:rPr>
            <w:noProof/>
            <w:webHidden/>
          </w:rPr>
          <w:t>77</w:t>
        </w:r>
        <w:r>
          <w:rPr>
            <w:noProof/>
            <w:webHidden/>
          </w:rPr>
          <w:fldChar w:fldCharType="end"/>
        </w:r>
      </w:hyperlink>
    </w:p>
    <w:p w14:paraId="08D41ABE" w14:textId="4A9BE70C"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7" w:history="1">
        <w:r w:rsidRPr="00592990">
          <w:rPr>
            <w:rStyle w:val="Hyperlink"/>
          </w:rPr>
          <w:t>OTH-11.1</w:t>
        </w:r>
        <w:r w:rsidRPr="00592990">
          <w:rPr>
            <w:rStyle w:val="Hyperlink"/>
          </w:rPr>
          <w:tab/>
          <w:t>D</w:t>
        </w:r>
        <w:r w:rsidRPr="00592990">
          <w:rPr>
            <w:rStyle w:val="Hyperlink"/>
          </w:rPr>
          <w:tab/>
          <w:t>Packaging and Labeling Subcommittee</w:t>
        </w:r>
        <w:r>
          <w:rPr>
            <w:noProof/>
            <w:webHidden/>
          </w:rPr>
          <w:tab/>
        </w:r>
        <w:r>
          <w:rPr>
            <w:noProof/>
            <w:webHidden/>
          </w:rPr>
          <w:fldChar w:fldCharType="begin"/>
        </w:r>
        <w:r>
          <w:rPr>
            <w:noProof/>
            <w:webHidden/>
          </w:rPr>
          <w:instrText xml:space="preserve"> PAGEREF _Toc224019627 \h </w:instrText>
        </w:r>
        <w:r>
          <w:rPr>
            <w:noProof/>
            <w:webHidden/>
          </w:rPr>
        </w:r>
        <w:r>
          <w:rPr>
            <w:noProof/>
            <w:webHidden/>
          </w:rPr>
          <w:fldChar w:fldCharType="separate"/>
        </w:r>
        <w:r w:rsidR="00616608">
          <w:rPr>
            <w:noProof/>
            <w:webHidden/>
          </w:rPr>
          <w:t>79</w:t>
        </w:r>
        <w:r>
          <w:rPr>
            <w:noProof/>
            <w:webHidden/>
          </w:rPr>
          <w:fldChar w:fldCharType="end"/>
        </w:r>
      </w:hyperlink>
    </w:p>
    <w:p w14:paraId="4C12A40B" w14:textId="41A1D222"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28" w:history="1">
        <w:r w:rsidRPr="00592990">
          <w:rPr>
            <w:rStyle w:val="Hyperlink"/>
          </w:rPr>
          <w:t>NET – Handbook 133</w:t>
        </w:r>
        <w:r>
          <w:rPr>
            <w:noProof/>
            <w:webHidden/>
          </w:rPr>
          <w:tab/>
        </w:r>
        <w:r>
          <w:rPr>
            <w:noProof/>
            <w:webHidden/>
          </w:rPr>
          <w:fldChar w:fldCharType="begin"/>
        </w:r>
        <w:r>
          <w:rPr>
            <w:noProof/>
            <w:webHidden/>
          </w:rPr>
          <w:instrText xml:space="preserve"> PAGEREF _Toc224019628 \h </w:instrText>
        </w:r>
        <w:r>
          <w:rPr>
            <w:noProof/>
            <w:webHidden/>
          </w:rPr>
        </w:r>
        <w:r>
          <w:rPr>
            <w:noProof/>
            <w:webHidden/>
          </w:rPr>
          <w:fldChar w:fldCharType="separate"/>
        </w:r>
        <w:r w:rsidR="00616608">
          <w:rPr>
            <w:noProof/>
            <w:webHidden/>
          </w:rPr>
          <w:t>80</w:t>
        </w:r>
        <w:r>
          <w:rPr>
            <w:noProof/>
            <w:webHidden/>
          </w:rPr>
          <w:fldChar w:fldCharType="end"/>
        </w:r>
      </w:hyperlink>
    </w:p>
    <w:p w14:paraId="022C1C9B" w14:textId="1C4D6F28"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29" w:history="1">
        <w:r w:rsidRPr="00592990">
          <w:rPr>
            <w:rStyle w:val="Hyperlink"/>
          </w:rPr>
          <w:t>NET-26.1</w:t>
        </w:r>
        <w:r w:rsidRPr="00592990">
          <w:rPr>
            <w:rStyle w:val="Hyperlink"/>
          </w:rPr>
          <w:tab/>
          <w:t>W</w:t>
        </w:r>
        <w:r w:rsidRPr="00592990">
          <w:rPr>
            <w:rStyle w:val="Hyperlink"/>
          </w:rPr>
          <w:tab/>
          <w:t>Table 2-3. Moisture Allowances</w:t>
        </w:r>
        <w:r>
          <w:rPr>
            <w:noProof/>
            <w:webHidden/>
          </w:rPr>
          <w:tab/>
        </w:r>
        <w:r>
          <w:rPr>
            <w:noProof/>
            <w:webHidden/>
          </w:rPr>
          <w:fldChar w:fldCharType="begin"/>
        </w:r>
        <w:r>
          <w:rPr>
            <w:noProof/>
            <w:webHidden/>
          </w:rPr>
          <w:instrText xml:space="preserve"> PAGEREF _Toc224019629 \h </w:instrText>
        </w:r>
        <w:r>
          <w:rPr>
            <w:noProof/>
            <w:webHidden/>
          </w:rPr>
        </w:r>
        <w:r>
          <w:rPr>
            <w:noProof/>
            <w:webHidden/>
          </w:rPr>
          <w:fldChar w:fldCharType="separate"/>
        </w:r>
        <w:r w:rsidR="00616608">
          <w:rPr>
            <w:noProof/>
            <w:webHidden/>
          </w:rPr>
          <w:t>80</w:t>
        </w:r>
        <w:r>
          <w:rPr>
            <w:noProof/>
            <w:webHidden/>
          </w:rPr>
          <w:fldChar w:fldCharType="end"/>
        </w:r>
      </w:hyperlink>
    </w:p>
    <w:p w14:paraId="71521B48" w14:textId="68205B17" w:rsidR="005412A3" w:rsidRDefault="005412A3">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224019630" w:history="1">
        <w:r w:rsidRPr="00592990">
          <w:rPr>
            <w:rStyle w:val="Hyperlink"/>
          </w:rPr>
          <w:t xml:space="preserve">ITEM Block 4 (B4) </w:t>
        </w:r>
        <w:r w:rsidRPr="00592990">
          <w:rPr>
            <w:rStyle w:val="Hyperlink"/>
          </w:rPr>
          <w:tab/>
          <w:t>MOISTURE ALLOWANCE CONSIDERATION</w:t>
        </w:r>
        <w:r>
          <w:rPr>
            <w:noProof/>
            <w:webHidden/>
          </w:rPr>
          <w:tab/>
        </w:r>
        <w:r>
          <w:rPr>
            <w:noProof/>
            <w:webHidden/>
          </w:rPr>
          <w:fldChar w:fldCharType="begin"/>
        </w:r>
        <w:r>
          <w:rPr>
            <w:noProof/>
            <w:webHidden/>
          </w:rPr>
          <w:instrText xml:space="preserve"> PAGEREF _Toc224019630 \h </w:instrText>
        </w:r>
        <w:r>
          <w:rPr>
            <w:noProof/>
            <w:webHidden/>
          </w:rPr>
        </w:r>
        <w:r>
          <w:rPr>
            <w:noProof/>
            <w:webHidden/>
          </w:rPr>
          <w:fldChar w:fldCharType="separate"/>
        </w:r>
        <w:r w:rsidR="00616608">
          <w:rPr>
            <w:noProof/>
            <w:webHidden/>
          </w:rPr>
          <w:t>84</w:t>
        </w:r>
        <w:r>
          <w:rPr>
            <w:noProof/>
            <w:webHidden/>
          </w:rPr>
          <w:fldChar w:fldCharType="end"/>
        </w:r>
      </w:hyperlink>
    </w:p>
    <w:p w14:paraId="75ED831B" w14:textId="5278CD2E" w:rsidR="005412A3" w:rsidRDefault="005412A3">
      <w:pPr>
        <w:pStyle w:val="TOC2"/>
        <w:rPr>
          <w:rFonts w:asciiTheme="minorHAnsi" w:eastAsiaTheme="minorEastAsia" w:hAnsiTheme="minorHAnsi" w:cstheme="minorBidi"/>
          <w:noProof/>
          <w:color w:val="auto"/>
          <w:kern w:val="2"/>
          <w:sz w:val="24"/>
          <w:szCs w:val="24"/>
          <w:lang w:eastAsia="en-US"/>
          <w14:ligatures w14:val="standardContextual"/>
        </w:rPr>
      </w:pPr>
      <w:hyperlink w:anchor="_Toc224019631" w:history="1">
        <w:r w:rsidRPr="00592990">
          <w:rPr>
            <w:rStyle w:val="Hyperlink"/>
          </w:rPr>
          <w:t>B4: POL-25.1</w:t>
        </w:r>
        <w:r w:rsidRPr="00592990">
          <w:rPr>
            <w:rStyle w:val="Hyperlink"/>
          </w:rPr>
          <w:tab/>
          <w:t>A</w:t>
        </w:r>
        <w:r w:rsidRPr="00592990">
          <w:rPr>
            <w:rStyle w:val="Hyperlink"/>
          </w:rPr>
          <w:tab/>
          <w:t>2.6.12. Point-of-Pack Inspection Guidelines.</w:t>
        </w:r>
        <w:r>
          <w:rPr>
            <w:noProof/>
            <w:webHidden/>
          </w:rPr>
          <w:tab/>
        </w:r>
        <w:r>
          <w:rPr>
            <w:noProof/>
            <w:webHidden/>
          </w:rPr>
          <w:fldChar w:fldCharType="begin"/>
        </w:r>
        <w:r>
          <w:rPr>
            <w:noProof/>
            <w:webHidden/>
          </w:rPr>
          <w:instrText xml:space="preserve"> PAGEREF _Toc224019631 \h </w:instrText>
        </w:r>
        <w:r>
          <w:rPr>
            <w:noProof/>
            <w:webHidden/>
          </w:rPr>
        </w:r>
        <w:r>
          <w:rPr>
            <w:noProof/>
            <w:webHidden/>
          </w:rPr>
          <w:fldChar w:fldCharType="separate"/>
        </w:r>
        <w:r w:rsidR="00616608">
          <w:rPr>
            <w:noProof/>
            <w:webHidden/>
          </w:rPr>
          <w:t>85</w:t>
        </w:r>
        <w:r>
          <w:rPr>
            <w:noProof/>
            <w:webHidden/>
          </w:rPr>
          <w:fldChar w:fldCharType="end"/>
        </w:r>
      </w:hyperlink>
    </w:p>
    <w:p w14:paraId="33CB8D95" w14:textId="10282978" w:rsidR="005412A3" w:rsidRDefault="005412A3">
      <w:pPr>
        <w:pStyle w:val="TOC2"/>
        <w:rPr>
          <w:noProof/>
        </w:rPr>
      </w:pPr>
      <w:hyperlink w:anchor="_Toc224019632" w:history="1">
        <w:r w:rsidRPr="00592990">
          <w:rPr>
            <w:rStyle w:val="Hyperlink"/>
          </w:rPr>
          <w:t>B4: NET-25.1</w:t>
        </w:r>
        <w:r w:rsidRPr="00592990">
          <w:rPr>
            <w:rStyle w:val="Hyperlink"/>
          </w:rPr>
          <w:tab/>
          <w:t>A</w:t>
        </w:r>
        <w:r w:rsidRPr="00592990">
          <w:rPr>
            <w:rStyle w:val="Hyperlink"/>
          </w:rPr>
          <w:tab/>
          <w:t>1.2.6.1. Applying a Moisture Allowance Consideration, 2.3.8. Moisture Allowance</w:t>
        </w:r>
        <w:r w:rsidRPr="00592990">
          <w:rPr>
            <w:rStyle w:val="Hyperlink"/>
            <w:strike/>
          </w:rPr>
          <w:t>s</w:t>
        </w:r>
        <w:r w:rsidRPr="00592990">
          <w:rPr>
            <w:rStyle w:val="Hyperlink"/>
          </w:rPr>
          <w:t xml:space="preserve"> Considerations, </w:t>
        </w:r>
        <w:r w:rsidRPr="00592990">
          <w:rPr>
            <w:rStyle w:val="Hyperlink"/>
            <w:strike/>
          </w:rPr>
          <w:t>4.10.2.2. Moisture Shrinkage Allowance Consideration for Structural Plywood and Wood-based Structural Panels,</w:t>
        </w:r>
        <w:r w:rsidRPr="00592990">
          <w:rPr>
            <w:rStyle w:val="Hyperlink"/>
          </w:rPr>
          <w:t xml:space="preserve"> </w:t>
        </w:r>
        <w:r w:rsidRPr="00592990">
          <w:rPr>
            <w:rStyle w:val="Hyperlink"/>
            <w:strike/>
          </w:rPr>
          <w:t>4.11.2.1.</w:t>
        </w:r>
        <w:r w:rsidRPr="00592990">
          <w:rPr>
            <w:rStyle w:val="Hyperlink"/>
          </w:rPr>
          <w:t xml:space="preserve"> </w:t>
        </w:r>
        <w:r w:rsidRPr="00592990">
          <w:rPr>
            <w:rStyle w:val="Hyperlink"/>
            <w:strike/>
          </w:rPr>
          <w:t>Shrinking Allowance Consideration</w:t>
        </w:r>
        <w:r>
          <w:rPr>
            <w:noProof/>
            <w:webHidden/>
          </w:rPr>
          <w:tab/>
        </w:r>
        <w:r>
          <w:rPr>
            <w:noProof/>
            <w:webHidden/>
          </w:rPr>
          <w:fldChar w:fldCharType="begin"/>
        </w:r>
        <w:r>
          <w:rPr>
            <w:noProof/>
            <w:webHidden/>
          </w:rPr>
          <w:instrText xml:space="preserve"> PAGEREF _Toc224019632 \h </w:instrText>
        </w:r>
        <w:r>
          <w:rPr>
            <w:noProof/>
            <w:webHidden/>
          </w:rPr>
        </w:r>
        <w:r>
          <w:rPr>
            <w:noProof/>
            <w:webHidden/>
          </w:rPr>
          <w:fldChar w:fldCharType="separate"/>
        </w:r>
        <w:r w:rsidR="00616608">
          <w:rPr>
            <w:noProof/>
            <w:webHidden/>
          </w:rPr>
          <w:t>86</w:t>
        </w:r>
        <w:r>
          <w:rPr>
            <w:noProof/>
            <w:webHidden/>
          </w:rPr>
          <w:fldChar w:fldCharType="end"/>
        </w:r>
      </w:hyperlink>
    </w:p>
    <w:p w14:paraId="2C784D77" w14:textId="0A330C2C" w:rsidR="007D489A" w:rsidRDefault="007D489A" w:rsidP="007D489A">
      <w:pPr>
        <w:suppressLineNumbers/>
        <w:spacing w:after="0"/>
        <w:rPr>
          <w:b/>
          <w:bCs/>
          <w:noProof/>
          <w:lang w:eastAsia="ja-JP"/>
        </w:rPr>
      </w:pPr>
      <w:r>
        <w:rPr>
          <w:b/>
          <w:bCs/>
          <w:noProof/>
          <w:lang w:eastAsia="ja-JP"/>
        </w:rPr>
        <w:t>APPENDICES</w:t>
      </w:r>
    </w:p>
    <w:p w14:paraId="1A55C9E2" w14:textId="6F94CCDD" w:rsidR="007D489A" w:rsidRPr="00DC56BD" w:rsidRDefault="007D489A" w:rsidP="007D489A">
      <w:pPr>
        <w:keepNext/>
        <w:suppressLineNumbers/>
        <w:tabs>
          <w:tab w:val="left" w:pos="400"/>
          <w:tab w:val="right" w:leader="dot" w:pos="9360"/>
          <w:tab w:val="right" w:leader="dot" w:pos="9720"/>
        </w:tabs>
        <w:suppressAutoHyphens/>
        <w:spacing w:after="0" w:line="228" w:lineRule="auto"/>
        <w:ind w:left="360" w:right="360" w:hanging="360"/>
        <w:rPr>
          <w:noProof/>
        </w:rPr>
      </w:pPr>
      <w:r w:rsidRPr="00513463">
        <w:rPr>
          <w:noProof/>
        </w:rPr>
        <w:t>A</w:t>
      </w:r>
      <w:r w:rsidRPr="00513463">
        <w:rPr>
          <w:noProof/>
        </w:rPr>
        <w:tab/>
      </w:r>
      <w:hyperlink w:anchor="AppendixA" w:history="1">
        <w:r w:rsidR="009170BE">
          <w:rPr>
            <w:rStyle w:val="Hyperlink"/>
          </w:rPr>
          <w:t>OTH-11.1 Quantity-Related Expressions on a Principal Display Panel</w:t>
        </w:r>
        <w:r w:rsidRPr="00671778">
          <w:rPr>
            <w:rStyle w:val="Hyperlink"/>
          </w:rPr>
          <w:tab/>
          <w:t>A</w:t>
        </w:r>
        <w:r w:rsidR="00CF704C" w:rsidRPr="00671778">
          <w:rPr>
            <w:rStyle w:val="Hyperlink"/>
          </w:rPr>
          <w:t>97</w:t>
        </w:r>
      </w:hyperlink>
    </w:p>
    <w:p w14:paraId="1C30E1DE" w14:textId="77777777" w:rsidR="007D489A" w:rsidRPr="007D489A" w:rsidRDefault="007D489A" w:rsidP="007D489A">
      <w:pPr>
        <w:suppressLineNumbers/>
        <w:rPr>
          <w:b/>
          <w:bCs/>
          <w:noProof/>
          <w:lang w:eastAsia="ja-JP"/>
        </w:rPr>
      </w:pPr>
    </w:p>
    <w:p w14:paraId="55EB0820" w14:textId="230360D3" w:rsidR="000D0F2A" w:rsidRPr="000D0F2A" w:rsidRDefault="00214C38" w:rsidP="009C131E">
      <w:pPr>
        <w:pStyle w:val="TOC2"/>
        <w:keepNext/>
        <w:spacing w:after="240"/>
        <w:ind w:left="0" w:firstLine="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1144EE87" w:rsidR="008D2EE6" w:rsidRPr="00281428" w:rsidRDefault="00644CB3" w:rsidP="00CF4023">
            <w:pPr>
              <w:pStyle w:val="TableHeading"/>
              <w:keepLines w:val="0"/>
              <w:suppressLineNumbers/>
              <w:ind w:left="-220"/>
            </w:pPr>
            <w:r>
              <w:br w:type="page"/>
            </w:r>
            <w:bookmarkStart w:id="7" w:name="_Hlk522695263"/>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4124C59C" w:rsidR="00644CB3" w:rsidRPr="00281428" w:rsidRDefault="00644CB3" w:rsidP="00644CB3">
            <w:pPr>
              <w:pStyle w:val="TableText"/>
              <w:keepNext/>
              <w:keepLines/>
            </w:pPr>
            <w:r w:rsidRPr="00281428">
              <w:t>National Co</w:t>
            </w:r>
            <w:r w:rsidR="008E4AC0">
              <w:t>uncil</w:t>
            </w:r>
            <w:r w:rsidRPr="00281428">
              <w:t xml:space="preserv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43E46AB2" w14:textId="3F810A93" w:rsidR="003553FC" w:rsidRDefault="003553FC" w:rsidP="00346B96">
      <w:pPr>
        <w:suppressLineNumbers/>
        <w:spacing w:after="0"/>
        <w:jc w:val="left"/>
        <w:rPr>
          <w:lang w:eastAsia="ja-JP"/>
        </w:rPr>
      </w:pPr>
      <w:r>
        <w:rPr>
          <w:lang w:eastAsia="ja-JP"/>
        </w:rP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lastRenderedPageBreak/>
              <w:br w:type="page"/>
            </w:r>
            <w:r w:rsidR="000006B8" w:rsidRPr="00281428">
              <w:t>Details of All Items</w:t>
            </w:r>
            <w:r w:rsidR="00443A38" w:rsidRPr="00281428">
              <w:br/>
            </w:r>
            <w:r w:rsidR="000006B8" w:rsidRPr="00281428">
              <w:rPr>
                <w:b w:val="0"/>
                <w:i/>
              </w:rPr>
              <w:t>(In order by Reference Key)</w:t>
            </w:r>
          </w:p>
        </w:tc>
      </w:tr>
    </w:tbl>
    <w:p w14:paraId="3AC2DF0E" w14:textId="77777777" w:rsidR="002C05E0" w:rsidRDefault="002C05E0" w:rsidP="005F1929">
      <w:pPr>
        <w:pStyle w:val="Heading1"/>
      </w:pPr>
      <w:bookmarkStart w:id="9" w:name="_Toc224019612"/>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745379B" w14:textId="283385A9" w:rsidR="002C05E0" w:rsidRPr="002419A6" w:rsidRDefault="002C05E0" w:rsidP="002C05E0">
      <w:pPr>
        <w:pStyle w:val="ItemHeading"/>
        <w:rPr>
          <w:lang w:val="fr-FR"/>
        </w:rPr>
      </w:pPr>
      <w:bookmarkStart w:id="20" w:name="_Toc224019613"/>
      <w:r w:rsidRPr="002419A6">
        <w:rPr>
          <w:lang w:val="fr-FR"/>
        </w:rPr>
        <w:t>PAL-26.1</w:t>
      </w:r>
      <w:r w:rsidRPr="002419A6">
        <w:rPr>
          <w:lang w:val="fr-FR"/>
        </w:rPr>
        <w:tab/>
      </w:r>
      <w:r w:rsidR="002D4F72" w:rsidRPr="002419A6">
        <w:rPr>
          <w:lang w:val="fr-FR"/>
        </w:rPr>
        <w:t>W</w:t>
      </w:r>
      <w:r w:rsidRPr="002419A6">
        <w:rPr>
          <w:lang w:val="fr-FR"/>
        </w:rPr>
        <w:tab/>
        <w:t>6.3. Net Quantity</w:t>
      </w:r>
      <w:r w:rsidR="00F96274" w:rsidRPr="002419A6">
        <w:rPr>
          <w:lang w:val="fr-FR"/>
        </w:rPr>
        <w:t>.</w:t>
      </w:r>
      <w:bookmarkEnd w:id="20"/>
    </w:p>
    <w:p w14:paraId="22E9493F" w14:textId="77777777" w:rsidR="002C05E0" w:rsidRPr="00D95DB8" w:rsidRDefault="002C05E0" w:rsidP="002C05E0">
      <w:pPr>
        <w:spacing w:after="0"/>
        <w:rPr>
          <w:b/>
          <w:lang w:val="fr-FR"/>
        </w:rPr>
      </w:pPr>
      <w:r w:rsidRPr="00D95DB8">
        <w:rPr>
          <w:b/>
          <w:lang w:val="fr-FR"/>
        </w:rPr>
        <w:t>Source:</w:t>
      </w:r>
    </w:p>
    <w:p w14:paraId="6AABC5AF" w14:textId="126D299D" w:rsidR="002C05E0" w:rsidRDefault="002C05E0" w:rsidP="002C05E0">
      <w:r>
        <w:t>CPR Squared</w:t>
      </w:r>
      <w:r w:rsidR="004C5461">
        <w:t xml:space="preserve"> </w:t>
      </w:r>
    </w:p>
    <w:p w14:paraId="5ACBB592" w14:textId="77777777" w:rsidR="002C05E0" w:rsidRPr="00E025F9" w:rsidRDefault="002C05E0" w:rsidP="002C05E0">
      <w:pPr>
        <w:spacing w:after="0"/>
        <w:rPr>
          <w:b/>
        </w:rPr>
      </w:pPr>
      <w:r w:rsidRPr="00E025F9">
        <w:rPr>
          <w:b/>
        </w:rPr>
        <w:t>Purpose:</w:t>
      </w:r>
    </w:p>
    <w:p w14:paraId="54018A90" w14:textId="4447C1E7" w:rsidR="002C05E0" w:rsidRPr="00C36659" w:rsidRDefault="002C05E0" w:rsidP="00C36659">
      <w:r w:rsidRPr="00C36659">
        <w:t>To enhance consumer safety and reduce the financial burden of product recalls by mandating dynamic QR codes unique to each production batch on consumer package labels. Currently, inadequate batch-specific labeling leads to broader, costlier recalls, with an average direct cost of $10 million per food recall and approximately $7 billion in annual U.S. economic losses due to foodborne outbreaks. These inefficiencies expose consumers to heightened health risks, with 48 million annual foodborne illness cases, 128,000 hospitalizations, and 3,000 deaths. Dynamic QR codes enable precise tracking, targeted recalls, and real-time safety information access, minimizing health risks, reducing unnecessary product waste, and lowering economic losses for businesses and consumers.</w:t>
      </w:r>
    </w:p>
    <w:p w14:paraId="5A2D9F10" w14:textId="77777777" w:rsidR="002C05E0" w:rsidRPr="00E025F9" w:rsidRDefault="002C05E0" w:rsidP="002C05E0">
      <w:pPr>
        <w:spacing w:after="0"/>
        <w:rPr>
          <w:b/>
        </w:rPr>
      </w:pPr>
      <w:r w:rsidRPr="00E025F9">
        <w:rPr>
          <w:b/>
        </w:rPr>
        <w:t>Item under Consideration:</w:t>
      </w:r>
    </w:p>
    <w:p w14:paraId="233C001B" w14:textId="56AA1EE1" w:rsidR="002C05E0" w:rsidRDefault="002C05E0" w:rsidP="002C05E0">
      <w:r>
        <w:t>Amend NIST Handbook 130 Uniform Packaging and Labeling Regulation as follows:</w:t>
      </w:r>
    </w:p>
    <w:p w14:paraId="6625B15D" w14:textId="77777777" w:rsidR="002C05E0" w:rsidRPr="002C05E0" w:rsidRDefault="002C05E0" w:rsidP="002C05E0">
      <w:pPr>
        <w:ind w:left="360"/>
        <w:rPr>
          <w:b/>
          <w:bCs/>
          <w:iCs/>
          <w:vanish/>
          <w:specVanish/>
        </w:rPr>
      </w:pPr>
      <w:bookmarkStart w:id="21" w:name="_Toc523833971"/>
      <w:bookmarkStart w:id="22" w:name="_Toc523840467"/>
      <w:bookmarkStart w:id="23" w:name="_Toc178161993"/>
      <w:bookmarkStart w:id="24" w:name="_Toc173408645"/>
      <w:bookmarkStart w:id="25" w:name="_Toc173471420"/>
      <w:bookmarkStart w:id="26" w:name="_Toc173472712"/>
      <w:bookmarkStart w:id="27" w:name="_Toc173474068"/>
      <w:bookmarkStart w:id="28" w:name="_Toc173770935"/>
      <w:bookmarkStart w:id="29" w:name="_Toc173771710"/>
      <w:r w:rsidRPr="002C05E0">
        <w:rPr>
          <w:b/>
          <w:bCs/>
        </w:rPr>
        <w:t>6.3.</w:t>
      </w:r>
      <w:r w:rsidRPr="002C05E0">
        <w:rPr>
          <w:b/>
          <w:bCs/>
        </w:rPr>
        <w:t> </w:t>
      </w:r>
      <w:r w:rsidRPr="002C05E0">
        <w:rPr>
          <w:b/>
          <w:bCs/>
        </w:rPr>
        <w:t>Net Quantity.</w:t>
      </w:r>
      <w:bookmarkEnd w:id="21"/>
      <w:bookmarkEnd w:id="22"/>
      <w:bookmarkEnd w:id="23"/>
    </w:p>
    <w:p w14:paraId="4F122E60" w14:textId="77777777" w:rsidR="002C05E0" w:rsidRPr="002C05E0" w:rsidRDefault="002C05E0" w:rsidP="002C05E0">
      <w:pPr>
        <w:ind w:left="360"/>
        <w:rPr>
          <w:iCs/>
        </w:rPr>
      </w:pPr>
      <w:r w:rsidRPr="002C05E0">
        <w:rPr>
          <w:b/>
        </w:rPr>
        <w:t xml:space="preserve"> </w:t>
      </w:r>
      <w:r w:rsidRPr="002C05E0">
        <w:fldChar w:fldCharType="begin"/>
      </w:r>
      <w:r w:rsidRPr="002C05E0">
        <w:rPr>
          <w:b/>
        </w:rPr>
        <w:instrText>xe "Net quantity"</w:instrText>
      </w:r>
      <w:r w:rsidRPr="002C05E0">
        <w:fldChar w:fldCharType="end"/>
      </w:r>
      <w:r w:rsidRPr="002C05E0">
        <w:t xml:space="preserve"> – A declaration of net quantity of the commodity in the package, exclusive of wrappers and any other material packed with such commodity (except as noted in Section 10.3. Aerosols</w:t>
      </w:r>
      <w:r w:rsidRPr="002C05E0">
        <w:fldChar w:fldCharType="begin"/>
      </w:r>
      <w:r w:rsidRPr="002C05E0">
        <w:instrText>xe "</w:instrText>
      </w:r>
      <w:r w:rsidRPr="002C05E0">
        <w:rPr>
          <w:bCs/>
        </w:rPr>
        <w:instrText>Aerosol</w:instrText>
      </w:r>
      <w:r w:rsidRPr="002C05E0">
        <w:instrText>"</w:instrText>
      </w:r>
      <w:r w:rsidRPr="002C05E0">
        <w:fldChar w:fldCharType="end"/>
      </w:r>
      <w:r w:rsidRPr="002C05E0">
        <w:t xml:space="preserve"> and Other Pre-pressurized Containers Dispensing Product Under Pressure</w:t>
      </w:r>
      <w:r w:rsidRPr="002C05E0">
        <w:fldChar w:fldCharType="begin"/>
      </w:r>
      <w:r w:rsidRPr="002C05E0">
        <w:instrText>xe "Containers:Pressurized"</w:instrText>
      </w:r>
      <w:r w:rsidRPr="002C05E0">
        <w:fldChar w:fldCharType="end"/>
      </w:r>
      <w:r w:rsidRPr="002C05E0">
        <w:fldChar w:fldCharType="begin"/>
      </w:r>
      <w:r w:rsidRPr="002C05E0">
        <w:instrText xml:space="preserve"> XE "Containers:Pre-pressurized" </w:instrText>
      </w:r>
      <w:r w:rsidRPr="002C05E0">
        <w:fldChar w:fldCharType="end"/>
      </w:r>
      <w:r w:rsidRPr="002C05E0">
        <w:t>), shall appear on the principal display panel of a consumer package and, unless otherwise specified in this regulation (see Sections 6.6. Prescribed Units, SI, through 6.9. Bi-dimensional Commodities), shall be in terms of the largest whole unit.</w:t>
      </w:r>
      <w:bookmarkEnd w:id="24"/>
      <w:bookmarkEnd w:id="25"/>
      <w:bookmarkEnd w:id="26"/>
      <w:bookmarkEnd w:id="27"/>
      <w:bookmarkEnd w:id="28"/>
      <w:bookmarkEnd w:id="29"/>
    </w:p>
    <w:p w14:paraId="078A00CE" w14:textId="77777777" w:rsidR="002C05E0" w:rsidRPr="002C05E0" w:rsidRDefault="002C05E0" w:rsidP="002C05E0">
      <w:pPr>
        <w:ind w:left="360"/>
        <w:rPr>
          <w:b/>
          <w:bCs/>
          <w:iCs/>
          <w:vanish/>
          <w:specVanish/>
        </w:rPr>
      </w:pPr>
      <w:bookmarkStart w:id="30" w:name="_Toc523833972"/>
      <w:bookmarkStart w:id="31" w:name="_Toc523840468"/>
      <w:bookmarkStart w:id="32" w:name="_Toc178161994"/>
      <w:bookmarkStart w:id="33" w:name="_Toc173408646"/>
      <w:bookmarkStart w:id="34" w:name="_Toc173472713"/>
      <w:bookmarkStart w:id="35" w:name="_Toc173770936"/>
      <w:r w:rsidRPr="002C05E0">
        <w:rPr>
          <w:b/>
          <w:bCs/>
        </w:rPr>
        <w:t>6.3.1.</w:t>
      </w:r>
      <w:r w:rsidRPr="002C05E0">
        <w:rPr>
          <w:b/>
          <w:bCs/>
        </w:rPr>
        <w:t> </w:t>
      </w:r>
      <w:r w:rsidRPr="002C05E0">
        <w:rPr>
          <w:b/>
          <w:bCs/>
        </w:rPr>
        <w:t>Use of “Net Mass” or “Net Weight.”</w:t>
      </w:r>
      <w:bookmarkEnd w:id="30"/>
      <w:bookmarkEnd w:id="31"/>
      <w:bookmarkEnd w:id="32"/>
    </w:p>
    <w:p w14:paraId="544D8FD7" w14:textId="77777777" w:rsidR="002C05E0" w:rsidRPr="002C05E0" w:rsidRDefault="002C05E0" w:rsidP="002C05E0">
      <w:pPr>
        <w:spacing w:after="0"/>
        <w:ind w:left="360"/>
        <w:rPr>
          <w:iCs/>
        </w:rPr>
      </w:pPr>
      <w:r w:rsidRPr="002C05E0">
        <w:rPr>
          <w:b/>
        </w:rPr>
        <w:t xml:space="preserve"> </w:t>
      </w:r>
      <w:r w:rsidRPr="002C05E0">
        <w:fldChar w:fldCharType="begin"/>
      </w:r>
      <w:r w:rsidRPr="002C05E0">
        <w:rPr>
          <w:b/>
        </w:rPr>
        <w:instrText>xe "Net mass"</w:instrText>
      </w:r>
      <w:r w:rsidRPr="002C05E0">
        <w:fldChar w:fldCharType="end"/>
      </w:r>
      <w:r w:rsidRPr="002C05E0">
        <w:fldChar w:fldCharType="begin"/>
      </w:r>
      <w:r w:rsidRPr="002C05E0">
        <w:rPr>
          <w:b/>
        </w:rPr>
        <w:instrText>xe "Net weight"</w:instrText>
      </w:r>
      <w:r w:rsidRPr="002C05E0">
        <w:fldChar w:fldCharType="end"/>
      </w:r>
      <w:r w:rsidRPr="002C05E0">
        <w:t xml:space="preserve"> – When stating the net quantity of contents in terms of weight a quantity declaration may stand alone [e.g., “200 g (7 oz)” or “1 lb (453 g)”] or may include the term “net mass” or “net weight” either preceding or following the declaration.  The term “net” by itself may be used on food labels.  However, the quantity of contents shall always declare the net quantity of contents even when such terms are not used.</w:t>
      </w:r>
      <w:bookmarkEnd w:id="33"/>
      <w:bookmarkEnd w:id="34"/>
      <w:bookmarkEnd w:id="35"/>
    </w:p>
    <w:p w14:paraId="3E93FD01" w14:textId="77777777" w:rsidR="002C05E0" w:rsidRPr="002C05E0" w:rsidRDefault="002C05E0" w:rsidP="002C05E0">
      <w:pPr>
        <w:ind w:left="360"/>
      </w:pPr>
      <w:r w:rsidRPr="002C05E0">
        <w:t>(Amended 1993)</w:t>
      </w:r>
    </w:p>
    <w:p w14:paraId="4E5DD74B" w14:textId="77777777" w:rsidR="002C05E0" w:rsidRPr="002C05E0" w:rsidRDefault="002C05E0" w:rsidP="002C05E0">
      <w:pPr>
        <w:ind w:left="360"/>
        <w:rPr>
          <w:b/>
          <w:bCs/>
          <w:iCs/>
          <w:vanish/>
          <w:specVanish/>
        </w:rPr>
      </w:pPr>
      <w:bookmarkStart w:id="36" w:name="_Toc178161995"/>
      <w:bookmarkStart w:id="37" w:name="_Toc523833973"/>
      <w:bookmarkStart w:id="38" w:name="_Toc523840469"/>
      <w:bookmarkStart w:id="39" w:name="_Toc173408647"/>
      <w:bookmarkStart w:id="40" w:name="_Toc173472714"/>
      <w:bookmarkStart w:id="41" w:name="_Toc173770937"/>
      <w:r w:rsidRPr="002C05E0">
        <w:rPr>
          <w:b/>
          <w:bCs/>
        </w:rPr>
        <w:t>6.3.2.</w:t>
      </w:r>
      <w:r w:rsidRPr="002C05E0">
        <w:rPr>
          <w:b/>
          <w:bCs/>
        </w:rPr>
        <w:t> </w:t>
      </w:r>
      <w:r w:rsidRPr="002C05E0">
        <w:rPr>
          <w:b/>
          <w:bCs/>
        </w:rPr>
        <w:t>Use of “Net Contents”.</w:t>
      </w:r>
      <w:bookmarkEnd w:id="36"/>
    </w:p>
    <w:p w14:paraId="0119407A" w14:textId="77777777" w:rsidR="002C05E0" w:rsidRPr="002C05E0" w:rsidRDefault="002C05E0" w:rsidP="002C05E0">
      <w:pPr>
        <w:spacing w:after="0"/>
        <w:ind w:left="360"/>
        <w:rPr>
          <w:b/>
          <w:iCs/>
        </w:rPr>
      </w:pPr>
      <w:r w:rsidRPr="002C05E0">
        <w:t xml:space="preserve">  – When stating the net quantity of contents in terms of fluid measure or numerical count, a quantity declaration may stand alone [e.g., “177 mL (6 fl oz)”] or may include the term “net” or “net contents” either preceding or following the declaration.</w:t>
      </w:r>
    </w:p>
    <w:p w14:paraId="40CB2ED5" w14:textId="77777777" w:rsidR="002C05E0" w:rsidRPr="002C05E0" w:rsidRDefault="002C05E0" w:rsidP="002C05E0">
      <w:pPr>
        <w:ind w:left="360"/>
      </w:pPr>
      <w:r w:rsidRPr="002C05E0">
        <w:t>(Amended 2019)</w:t>
      </w:r>
    </w:p>
    <w:p w14:paraId="4DD08928" w14:textId="77777777" w:rsidR="002C05E0" w:rsidRPr="002C05E0" w:rsidRDefault="002C05E0" w:rsidP="002C05E0">
      <w:pPr>
        <w:ind w:left="360"/>
        <w:rPr>
          <w:b/>
          <w:bCs/>
          <w:iCs/>
          <w:vanish/>
          <w:specVanish/>
        </w:rPr>
      </w:pPr>
      <w:bookmarkStart w:id="42" w:name="_Toc178161996"/>
      <w:bookmarkEnd w:id="37"/>
      <w:bookmarkEnd w:id="38"/>
      <w:bookmarkEnd w:id="39"/>
      <w:bookmarkEnd w:id="40"/>
      <w:bookmarkEnd w:id="41"/>
      <w:r w:rsidRPr="002C05E0">
        <w:rPr>
          <w:b/>
          <w:bCs/>
        </w:rPr>
        <w:t>6.3.3.</w:t>
      </w:r>
      <w:r w:rsidRPr="002C05E0">
        <w:rPr>
          <w:b/>
          <w:bCs/>
        </w:rPr>
        <w:t> </w:t>
      </w:r>
      <w:r w:rsidRPr="002C05E0">
        <w:rPr>
          <w:b/>
          <w:bCs/>
        </w:rPr>
        <w:t>Lines of Print or Type.</w:t>
      </w:r>
      <w:bookmarkEnd w:id="42"/>
    </w:p>
    <w:p w14:paraId="542A986D" w14:textId="77777777" w:rsidR="002C05E0" w:rsidRPr="002C05E0" w:rsidRDefault="002C05E0" w:rsidP="002C05E0">
      <w:pPr>
        <w:spacing w:after="0"/>
        <w:ind w:left="360"/>
        <w:rPr>
          <w:iCs/>
        </w:rPr>
      </w:pPr>
      <w:r w:rsidRPr="002C05E0">
        <w:rPr>
          <w:b/>
        </w:rPr>
        <w:t xml:space="preserve"> </w:t>
      </w:r>
      <w:r w:rsidRPr="002C05E0">
        <w:t>– A declaration of quantity may appear on one or more lines of print or type.</w:t>
      </w:r>
    </w:p>
    <w:p w14:paraId="6D9B3449" w14:textId="10E19E10" w:rsidR="002C05E0" w:rsidRDefault="002C05E0" w:rsidP="002C05E0">
      <w:pPr>
        <w:ind w:left="360"/>
      </w:pPr>
      <w:r w:rsidRPr="002C05E0">
        <w:t>(Amended 1982</w:t>
      </w:r>
      <w:r>
        <w:t>)</w:t>
      </w:r>
    </w:p>
    <w:p w14:paraId="74D7F369" w14:textId="77777777" w:rsidR="002C05E0" w:rsidRPr="002C05E0" w:rsidRDefault="002C05E0" w:rsidP="002C05E0">
      <w:pPr>
        <w:ind w:left="360"/>
        <w:rPr>
          <w:b/>
          <w:bCs/>
          <w:szCs w:val="20"/>
          <w:u w:val="single"/>
        </w:rPr>
      </w:pPr>
      <w:r w:rsidRPr="002C05E0">
        <w:rPr>
          <w:b/>
          <w:bCs/>
          <w:szCs w:val="20"/>
          <w:u w:val="single"/>
        </w:rPr>
        <w:t xml:space="preserve">6.3.X Dynamic QR Code – </w:t>
      </w:r>
    </w:p>
    <w:p w14:paraId="1BA1F0EB" w14:textId="77777777" w:rsidR="002C05E0" w:rsidRPr="002C05E0" w:rsidRDefault="002C05E0" w:rsidP="002C05E0">
      <w:pPr>
        <w:ind w:left="720"/>
        <w:rPr>
          <w:b/>
          <w:bCs/>
          <w:szCs w:val="20"/>
          <w:u w:val="single"/>
        </w:rPr>
      </w:pPr>
      <w:r w:rsidRPr="002C05E0">
        <w:rPr>
          <w:b/>
          <w:bCs/>
          <w:szCs w:val="20"/>
          <w:u w:val="single"/>
        </w:rPr>
        <w:t>(a) Requirement: All food and beverage consumer packages subject to this regulation shall include a dynamic QR code unique to each production batch on the label. The dynamic QR code shall link to a secure, updatable digital platform providing real-time information on product safety, recall status, and traceability details, compliant with ISO/IEC 18004 standards.</w:t>
      </w:r>
    </w:p>
    <w:p w14:paraId="2EA41EE5" w14:textId="77777777" w:rsidR="002C05E0" w:rsidRPr="002C05E0" w:rsidRDefault="002C05E0" w:rsidP="002C05E0">
      <w:pPr>
        <w:ind w:left="720"/>
        <w:rPr>
          <w:b/>
          <w:bCs/>
          <w:szCs w:val="20"/>
          <w:u w:val="single"/>
        </w:rPr>
      </w:pPr>
      <w:r w:rsidRPr="002C05E0">
        <w:rPr>
          <w:b/>
          <w:bCs/>
          <w:szCs w:val="20"/>
          <w:u w:val="single"/>
        </w:rPr>
        <w:t>(b) Content: The digital platform accessible via the dynamic QR code shall include, at minimum:</w:t>
      </w:r>
    </w:p>
    <w:p w14:paraId="69420185" w14:textId="77777777" w:rsidR="002C05E0" w:rsidRPr="002C05E0" w:rsidRDefault="002C05E0" w:rsidP="0076491B">
      <w:pPr>
        <w:numPr>
          <w:ilvl w:val="0"/>
          <w:numId w:val="56"/>
        </w:numPr>
        <w:tabs>
          <w:tab w:val="clear" w:pos="720"/>
        </w:tabs>
        <w:spacing w:after="160" w:line="278" w:lineRule="auto"/>
        <w:ind w:left="1440"/>
        <w:jc w:val="left"/>
        <w:rPr>
          <w:b/>
          <w:bCs/>
          <w:szCs w:val="20"/>
          <w:u w:val="single"/>
        </w:rPr>
      </w:pPr>
      <w:r w:rsidRPr="002C05E0">
        <w:rPr>
          <w:b/>
          <w:bCs/>
          <w:szCs w:val="20"/>
          <w:u w:val="single"/>
        </w:rPr>
        <w:t>Batch identification number.</w:t>
      </w:r>
    </w:p>
    <w:p w14:paraId="24412C5A" w14:textId="77777777" w:rsidR="002C05E0" w:rsidRPr="002C05E0" w:rsidRDefault="002C05E0" w:rsidP="0076491B">
      <w:pPr>
        <w:numPr>
          <w:ilvl w:val="0"/>
          <w:numId w:val="56"/>
        </w:numPr>
        <w:tabs>
          <w:tab w:val="clear" w:pos="720"/>
        </w:tabs>
        <w:spacing w:after="160" w:line="278" w:lineRule="auto"/>
        <w:ind w:left="1440"/>
        <w:jc w:val="left"/>
        <w:rPr>
          <w:b/>
          <w:bCs/>
          <w:szCs w:val="20"/>
          <w:u w:val="single"/>
        </w:rPr>
      </w:pPr>
      <w:r w:rsidRPr="002C05E0">
        <w:rPr>
          <w:b/>
          <w:bCs/>
          <w:szCs w:val="20"/>
          <w:u w:val="single"/>
        </w:rPr>
        <w:lastRenderedPageBreak/>
        <w:t>Production and expiration dates.</w:t>
      </w:r>
    </w:p>
    <w:p w14:paraId="734F34C9" w14:textId="77777777" w:rsidR="002C05E0" w:rsidRPr="002C05E0" w:rsidRDefault="002C05E0" w:rsidP="0076491B">
      <w:pPr>
        <w:numPr>
          <w:ilvl w:val="0"/>
          <w:numId w:val="56"/>
        </w:numPr>
        <w:tabs>
          <w:tab w:val="clear" w:pos="720"/>
        </w:tabs>
        <w:spacing w:after="160" w:line="278" w:lineRule="auto"/>
        <w:ind w:left="1440"/>
        <w:jc w:val="left"/>
        <w:rPr>
          <w:b/>
          <w:bCs/>
          <w:szCs w:val="20"/>
          <w:u w:val="single"/>
        </w:rPr>
      </w:pPr>
      <w:r w:rsidRPr="002C05E0">
        <w:rPr>
          <w:b/>
          <w:bCs/>
          <w:szCs w:val="20"/>
          <w:u w:val="single"/>
        </w:rPr>
        <w:t>Recall status, if applicable, including details of any safety alerts or corrective actions specific to food safety (e.g., contamination, allergen mislabeling).</w:t>
      </w:r>
    </w:p>
    <w:p w14:paraId="40A8F6C9" w14:textId="77777777" w:rsidR="002C05E0" w:rsidRPr="002C05E0" w:rsidRDefault="002C05E0" w:rsidP="0076491B">
      <w:pPr>
        <w:numPr>
          <w:ilvl w:val="0"/>
          <w:numId w:val="56"/>
        </w:numPr>
        <w:tabs>
          <w:tab w:val="clear" w:pos="720"/>
        </w:tabs>
        <w:spacing w:after="160" w:line="278" w:lineRule="auto"/>
        <w:ind w:left="1440"/>
        <w:jc w:val="left"/>
        <w:rPr>
          <w:b/>
          <w:bCs/>
          <w:szCs w:val="20"/>
          <w:u w:val="single"/>
        </w:rPr>
      </w:pPr>
      <w:r w:rsidRPr="002C05E0">
        <w:rPr>
          <w:b/>
          <w:bCs/>
          <w:szCs w:val="20"/>
          <w:u w:val="single"/>
        </w:rPr>
        <w:t>Contact information for the manufacturer or responsible entity.</w:t>
      </w:r>
    </w:p>
    <w:p w14:paraId="2D1048EC" w14:textId="77777777" w:rsidR="002C05E0" w:rsidRPr="002C05E0" w:rsidRDefault="002C05E0" w:rsidP="0076491B">
      <w:pPr>
        <w:numPr>
          <w:ilvl w:val="0"/>
          <w:numId w:val="56"/>
        </w:numPr>
        <w:tabs>
          <w:tab w:val="clear" w:pos="720"/>
        </w:tabs>
        <w:spacing w:after="160" w:line="278" w:lineRule="auto"/>
        <w:ind w:left="1440"/>
        <w:jc w:val="left"/>
        <w:rPr>
          <w:b/>
          <w:bCs/>
          <w:szCs w:val="20"/>
          <w:u w:val="single"/>
        </w:rPr>
      </w:pPr>
      <w:r w:rsidRPr="002C05E0">
        <w:rPr>
          <w:b/>
          <w:bCs/>
          <w:szCs w:val="20"/>
          <w:u w:val="single"/>
        </w:rPr>
        <w:t>Traceability data, such as the source of ingredients or production facility, where relevant to food safety.</w:t>
      </w:r>
    </w:p>
    <w:p w14:paraId="64CA5FA5" w14:textId="77777777" w:rsidR="002C05E0" w:rsidRPr="002C05E0" w:rsidRDefault="002C05E0" w:rsidP="002C05E0">
      <w:pPr>
        <w:ind w:left="720"/>
        <w:rPr>
          <w:b/>
          <w:bCs/>
          <w:szCs w:val="20"/>
          <w:u w:val="single"/>
        </w:rPr>
      </w:pPr>
      <w:r w:rsidRPr="002C05E0">
        <w:rPr>
          <w:b/>
          <w:bCs/>
          <w:szCs w:val="20"/>
          <w:u w:val="single"/>
        </w:rPr>
        <w:t>(c) Accessibility: To ensure inclusivity, food and beverage packages shall also display the batch identification number in human-readable form and provide a toll-free telephone number or website URL as alternative methods to access the information specified in paragraph (b).</w:t>
      </w:r>
    </w:p>
    <w:p w14:paraId="42C43BF2" w14:textId="77777777" w:rsidR="002C05E0" w:rsidRPr="002C05E0" w:rsidRDefault="002C05E0" w:rsidP="002C05E0">
      <w:pPr>
        <w:ind w:left="720"/>
        <w:rPr>
          <w:b/>
          <w:bCs/>
          <w:szCs w:val="20"/>
          <w:u w:val="single"/>
        </w:rPr>
      </w:pPr>
      <w:r w:rsidRPr="002C05E0">
        <w:rPr>
          <w:b/>
          <w:bCs/>
          <w:szCs w:val="20"/>
          <w:u w:val="single"/>
        </w:rPr>
        <w:t>(d) Security: Dynamic QR codes shall incorporate encrypted links and cryptographic signatures to prevent unauthorized access, tampering, or fraudulent redirects, adhering to industry-standard cybersecurity protocols.</w:t>
      </w:r>
    </w:p>
    <w:p w14:paraId="7D3C882E" w14:textId="77777777" w:rsidR="002C05E0" w:rsidRPr="002C05E0" w:rsidRDefault="002C05E0" w:rsidP="002C05E0">
      <w:pPr>
        <w:ind w:left="720"/>
        <w:rPr>
          <w:b/>
          <w:bCs/>
          <w:szCs w:val="20"/>
          <w:u w:val="single"/>
        </w:rPr>
      </w:pPr>
      <w:r w:rsidRPr="002C05E0">
        <w:rPr>
          <w:b/>
          <w:bCs/>
          <w:szCs w:val="20"/>
          <w:u w:val="single"/>
        </w:rPr>
        <w:t>(e) Implementation: This requirement shall apply to all food and beverage consumer packages produced on or after January 1, 2027, to allow sufficient time for manufacturers to adapt labeling processes and establish digital infrastructure.</w:t>
      </w:r>
    </w:p>
    <w:p w14:paraId="64179467" w14:textId="55EB730B" w:rsidR="002C05E0" w:rsidRPr="002C05E0" w:rsidRDefault="002C05E0" w:rsidP="002C05E0">
      <w:pPr>
        <w:ind w:left="720"/>
        <w:rPr>
          <w:b/>
          <w:bCs/>
        </w:rPr>
      </w:pPr>
      <w:r w:rsidRPr="002C05E0">
        <w:rPr>
          <w:b/>
          <w:bCs/>
          <w:szCs w:val="20"/>
          <w:u w:val="single"/>
        </w:rPr>
        <w:t xml:space="preserve">(f) Exemptions: Food and beverage consumer packages exempt from this requirement include those with a net weight or volume less than 10 grams or 10 milliliters, or as otherwise determined by the National </w:t>
      </w:r>
      <w:r w:rsidRPr="00503B33">
        <w:rPr>
          <w:b/>
          <w:bCs/>
          <w:szCs w:val="20"/>
          <w:u w:val="single"/>
        </w:rPr>
        <w:t>Co</w:t>
      </w:r>
      <w:r w:rsidR="006E03A8">
        <w:rPr>
          <w:b/>
          <w:bCs/>
          <w:szCs w:val="20"/>
          <w:u w:val="single"/>
        </w:rPr>
        <w:t xml:space="preserve">uncil </w:t>
      </w:r>
      <w:r w:rsidRPr="002C05E0">
        <w:rPr>
          <w:b/>
          <w:bCs/>
          <w:szCs w:val="20"/>
          <w:u w:val="single"/>
        </w:rPr>
        <w:t>on Weights and Measures, where labeling space constraints render compliance impractical.</w:t>
      </w:r>
    </w:p>
    <w:p w14:paraId="4FDCD6BC" w14:textId="77777777" w:rsidR="002C05E0" w:rsidRDefault="002C05E0" w:rsidP="002C05E0">
      <w:pPr>
        <w:keepNext/>
        <w:spacing w:after="0"/>
      </w:pPr>
      <w:r w:rsidRPr="00E025F9">
        <w:rPr>
          <w:b/>
        </w:rPr>
        <w:t xml:space="preserve">Previous </w:t>
      </w:r>
      <w:r>
        <w:rPr>
          <w:b/>
        </w:rPr>
        <w:t>Status</w:t>
      </w:r>
      <w:r w:rsidRPr="00E025F9">
        <w:rPr>
          <w:b/>
        </w:rPr>
        <w:t>:</w:t>
      </w:r>
    </w:p>
    <w:p w14:paraId="24CA2ADE" w14:textId="600B8579" w:rsidR="002C05E0" w:rsidRDefault="002C05E0" w:rsidP="0022672C">
      <w:r>
        <w:t xml:space="preserve">New Proposal </w:t>
      </w:r>
    </w:p>
    <w:p w14:paraId="7ADB553F" w14:textId="77777777" w:rsidR="002C05E0" w:rsidRPr="00AB010B" w:rsidRDefault="002C05E0" w:rsidP="002C05E0">
      <w:pPr>
        <w:keepNext/>
        <w:spacing w:after="0"/>
        <w:rPr>
          <w:b/>
        </w:rPr>
      </w:pPr>
      <w:r w:rsidRPr="00AB010B">
        <w:rPr>
          <w:b/>
        </w:rPr>
        <w:t>Original Justification:</w:t>
      </w:r>
    </w:p>
    <w:p w14:paraId="4B62407B" w14:textId="07898AC2" w:rsidR="002C05E0" w:rsidRPr="00C36659" w:rsidRDefault="002C05E0" w:rsidP="00C36659">
      <w:r w:rsidRPr="00C36659">
        <w:t>Current labeling practices often use generic information that does not distinguish between batches, complicating recalls and exposing consumers to unnecessary dangers. Dynamic QR codes per batch provide a secure, updatable mechanism for tracking products from production to consumption, enabling swift, targeted recalls for specific batches (e.g., due to contamination or mislabeling). This approach reduces the scope of recalls, prevents widespread panic, minimizes economic losses, and empowers consumers with instant access to safety information via their smartphones, fostering greater trust and protection. Nationally, this addresses inconsistencies in recall efficiency across states and aligns with federal initiatives for food safety and traceability, such as those from the FDA.</w:t>
      </w:r>
    </w:p>
    <w:p w14:paraId="1730B34F" w14:textId="0190E76B" w:rsidR="002C05E0" w:rsidRPr="00C36659" w:rsidRDefault="002C05E0" w:rsidP="00C36659">
      <w:r w:rsidRPr="00C36659">
        <w:t>Concern: Mandating dynamic QR codes increases costs for manufacturers, especially small businesses, due to labeling and database maintenance expenses.</w:t>
      </w:r>
    </w:p>
    <w:p w14:paraId="425B9931" w14:textId="77777777" w:rsidR="002C05E0" w:rsidRPr="00C36659" w:rsidRDefault="002C05E0" w:rsidP="00C36659">
      <w:r w:rsidRPr="00C36659">
        <w:t>Rebuttal: Many food and beverage products already include voluntary QR codes, so switching to dynamic QR codes is a simple change that leverages existing infrastructure. Affordable platforms exist for about $50/month.</w:t>
      </w:r>
    </w:p>
    <w:p w14:paraId="4F10CF2E" w14:textId="77777777" w:rsidR="002C05E0" w:rsidRPr="00C36659" w:rsidRDefault="002C05E0" w:rsidP="00C36659">
      <w:r w:rsidRPr="00C36659">
        <w:t>Concern: Consumers without smartphones or internet access may be unable to scan QR codes, limiting accessibility.</w:t>
      </w:r>
    </w:p>
    <w:p w14:paraId="52E90482" w14:textId="77777777" w:rsidR="002C05E0" w:rsidRPr="00C36659" w:rsidRDefault="002C05E0" w:rsidP="00C36659">
      <w:r w:rsidRPr="00C36659">
        <w:t>Rebuttal: Voluntary QR codes are already common, and dynamic QR codes can include printed batch numbers or toll-free lines as alternatives, ensuring inclusivity while improving safety.</w:t>
      </w:r>
    </w:p>
    <w:p w14:paraId="505EBF2D" w14:textId="77777777" w:rsidR="002C05E0" w:rsidRPr="00C36659" w:rsidRDefault="002C05E0" w:rsidP="00C36659">
      <w:r w:rsidRPr="00C36659">
        <w:t>Concern: Dynamic QR codes are vulnerable to hacking, risking consumer data or fraudulent redirects.</w:t>
      </w:r>
    </w:p>
    <w:p w14:paraId="5DD8F3EB" w14:textId="77777777" w:rsidR="002C05E0" w:rsidRPr="00C36659" w:rsidRDefault="002C05E0" w:rsidP="00C36659">
      <w:r w:rsidRPr="00C36659">
        <w:t>Rebuttal: Many food and beverage products use voluntary QR codes securely; dynamic QR codes with ISO/IEC 18004 standards and encrypted links enhance safety, with audits preventing cyber risks.</w:t>
      </w:r>
    </w:p>
    <w:p w14:paraId="67125EA7" w14:textId="77777777" w:rsidR="002C05E0" w:rsidRPr="00C36659" w:rsidRDefault="002C05E0" w:rsidP="00C36659">
      <w:r w:rsidRPr="00C36659">
        <w:lastRenderedPageBreak/>
        <w:t>Concern: Adding dynamic QR codes complicates labeling, potentially confusing consumers or cluttering packaging.</w:t>
      </w:r>
    </w:p>
    <w:p w14:paraId="46C6162B" w14:textId="77777777" w:rsidR="002C05E0" w:rsidRPr="00C36659" w:rsidRDefault="002C05E0" w:rsidP="00C36659">
      <w:r w:rsidRPr="00C36659">
        <w:t>Rebuttal: Since many food and beverage products already feature voluntary QR codes, switching to dynamic ones is a minor adjustment that integrates seamlessly, enhancing safety with clear instructions.</w:t>
      </w:r>
    </w:p>
    <w:p w14:paraId="384D3FDF" w14:textId="77777777" w:rsidR="002C05E0" w:rsidRPr="00C36659" w:rsidRDefault="002C05E0" w:rsidP="00C36659">
      <w:r w:rsidRPr="00C36659">
        <w:t>Concern: Small manufacturers lack expertise to implement dynamic QR code systems.</w:t>
      </w:r>
    </w:p>
    <w:p w14:paraId="06981619" w14:textId="77777777" w:rsidR="002C05E0" w:rsidRPr="00C36659" w:rsidRDefault="002C05E0" w:rsidP="00C36659">
      <w:r w:rsidRPr="00C36659">
        <w:t>Rebuttal: Voluntary QR codes are already widely used; transitioning to dynamic codes is straightforward with user-friendly platforms and NCWM support, boosting consumer safety.</w:t>
      </w:r>
    </w:p>
    <w:p w14:paraId="13946685" w14:textId="77777777" w:rsidR="002C05E0" w:rsidRPr="00C36659" w:rsidRDefault="002C05E0" w:rsidP="00C36659">
      <w:r w:rsidRPr="00C36659">
        <w:t>Concern: QR code scanning may fail in areas with poor internet, hindering safety information access.</w:t>
      </w:r>
    </w:p>
    <w:p w14:paraId="3F2DC0F3" w14:textId="3A70EBD4" w:rsidR="002C05E0" w:rsidRPr="00C36659" w:rsidRDefault="002C05E0" w:rsidP="00C36659">
      <w:r w:rsidRPr="00C36659">
        <w:t xml:space="preserve">Rebuttal: Many food and beverage products use voluntary QR codes effectively; dynamic codes can include </w:t>
      </w:r>
      <w:r w:rsidR="002C0774" w:rsidRPr="00C36659">
        <w:t>offline</w:t>
      </w:r>
      <w:r w:rsidRPr="00C36659">
        <w:t>-readable data, and infrastructure improvements ensure broader safety benefits.</w:t>
      </w:r>
    </w:p>
    <w:p w14:paraId="595012CD" w14:textId="77777777" w:rsidR="002C05E0" w:rsidRPr="00C36659" w:rsidRDefault="002C05E0" w:rsidP="00C36659">
      <w:r w:rsidRPr="00C36659">
        <w:t>Concern: Mandating QR codes may reduce reliance on traditional safety communication methods.</w:t>
      </w:r>
    </w:p>
    <w:p w14:paraId="6FEE2B38" w14:textId="77777777" w:rsidR="002C05E0" w:rsidRPr="00C36659" w:rsidRDefault="002C05E0" w:rsidP="00C36659">
      <w:r w:rsidRPr="00C36659">
        <w:t>Rebuttal: Voluntary QR codes already complement labels; dynamic QR codes enhance this system, providing batch-specific safety data without replacing existing disclosures/</w:t>
      </w:r>
    </w:p>
    <w:p w14:paraId="1EFD0100" w14:textId="77777777" w:rsidR="002C05E0" w:rsidRPr="00C36659" w:rsidRDefault="002C05E0" w:rsidP="00C36659">
      <w:r w:rsidRPr="00C36659">
        <w:t>Concern: Maintaining dynamic QR code databases is resource-intensive for manufacturers and regulators.</w:t>
      </w:r>
    </w:p>
    <w:p w14:paraId="32378163" w14:textId="3A250074" w:rsidR="002C05E0" w:rsidRPr="00C36659" w:rsidRDefault="002C05E0" w:rsidP="00C36659">
      <w:r w:rsidRPr="00C36659">
        <w:t>Rebuttal: Many food and beverage products already manage voluntary QR code databases; dynamic systems use scalable cloud solutions, simplifying the shift for enhanced recall safety.</w:t>
      </w:r>
    </w:p>
    <w:p w14:paraId="166B7055" w14:textId="77777777" w:rsidR="002C05E0" w:rsidRPr="00C36659" w:rsidRDefault="002C05E0" w:rsidP="00C36659">
      <w:r w:rsidRPr="00C36659">
        <w:t>Concern: Consumers may distrust QR codes due to privacy concerns, reducing adoption.</w:t>
      </w:r>
    </w:p>
    <w:p w14:paraId="6A6A18F0" w14:textId="77777777" w:rsidR="002C05E0" w:rsidRPr="00C36659" w:rsidRDefault="002C05E0" w:rsidP="00C36659">
      <w:r w:rsidRPr="00C36659">
        <w:t>Rebuttal: Voluntary QR codes are widely accepted; dynamic codes with transparent, anonymized data policies build trust, improving safety through better recall access.</w:t>
      </w:r>
    </w:p>
    <w:p w14:paraId="52957125" w14:textId="388F3ED4" w:rsidR="002C05E0" w:rsidRPr="00C36659" w:rsidRDefault="002C05E0" w:rsidP="00C36659">
      <w:r w:rsidRPr="00C36659">
        <w:t>Concern: Small retailers may struggle to verify dynamic QR code compliance, increasing burden.</w:t>
      </w:r>
    </w:p>
    <w:p w14:paraId="4A227700" w14:textId="77777777" w:rsidR="002C05E0" w:rsidRPr="00C36659" w:rsidRDefault="002C05E0" w:rsidP="00C36659">
      <w:r w:rsidRPr="00C36659">
        <w:t>Rebuttal: With voluntary QR codes already in use, dynamic codes are a simple upgrade, and NCWM guidelines can streamline retailer verification for safety compliance.</w:t>
      </w:r>
    </w:p>
    <w:p w14:paraId="273C1DAF" w14:textId="77777777" w:rsidR="002C05E0" w:rsidRPr="00C36659" w:rsidRDefault="002C05E0" w:rsidP="00C36659">
      <w:r w:rsidRPr="00C36659">
        <w:t>Concern: Dynamic QR codes could be counterfeited, leading to fraudulent recalls or misinformation.</w:t>
      </w:r>
    </w:p>
    <w:p w14:paraId="484B7E84" w14:textId="77777777" w:rsidR="002C05E0" w:rsidRPr="00C36659" w:rsidRDefault="002C05E0" w:rsidP="00C36659">
      <w:r w:rsidRPr="00C36659">
        <w:t>Rebuttal: Voluntary QR codes already exist securely; dynamic codes with cryptographic signatures ensure authenticity, enhancing consumer safety and recall precision.</w:t>
      </w:r>
    </w:p>
    <w:p w14:paraId="134173C9" w14:textId="77777777" w:rsidR="002C05E0" w:rsidRPr="00C36659" w:rsidRDefault="002C05E0" w:rsidP="00C36659">
      <w:r w:rsidRPr="00C36659">
        <w:t>Concern: Industry may resist QR code mandates, prioritizing cost over safety.</w:t>
      </w:r>
    </w:p>
    <w:p w14:paraId="510393BA" w14:textId="77777777" w:rsidR="002C05E0" w:rsidRPr="00C36659" w:rsidRDefault="002C05E0" w:rsidP="00C36659">
      <w:r w:rsidRPr="00C36659">
        <w:t>Rebuttal: Many food and beverage products already use voluntary QR codes, so dynamic codes are a low-cost shift that reduces recall costs and boosts consumer safety, aligning with industry goals.</w:t>
      </w:r>
    </w:p>
    <w:p w14:paraId="114718C5" w14:textId="77777777" w:rsidR="002C05E0" w:rsidRPr="00C36659" w:rsidRDefault="002C05E0" w:rsidP="00C36659">
      <w:r w:rsidRPr="00C36659">
        <w:t>Concern: QR code mandates may delay product launches due to compliance timelines.</w:t>
      </w:r>
    </w:p>
    <w:p w14:paraId="6F8DFB01" w14:textId="77777777" w:rsidR="002C05E0" w:rsidRPr="00C36659" w:rsidRDefault="002C05E0" w:rsidP="00C36659">
      <w:r w:rsidRPr="00C36659">
        <w:t>Rebuttal: Voluntary QR codes are common; transitioning to dynamic codes by January 1, 2027, is a simple change that aligns with existing processes, prioritizing safety.</w:t>
      </w:r>
    </w:p>
    <w:p w14:paraId="1C336CB7" w14:textId="77777777" w:rsidR="009D6B6D" w:rsidRDefault="002C05E0" w:rsidP="00C36659">
      <w:r w:rsidRPr="00C36659">
        <w:t xml:space="preserve">Concern: Not all consumers will scan QR codes, limiting safety benefits. </w:t>
      </w:r>
    </w:p>
    <w:p w14:paraId="34E35378" w14:textId="10EE2CA5" w:rsidR="002C05E0" w:rsidRPr="00C36659" w:rsidRDefault="002C05E0" w:rsidP="00C36659">
      <w:r w:rsidRPr="00C36659">
        <w:t>Rebuttal: Voluntary QR codes are already scanned by many; dynamic codes enhance safety for those who use them, complementing traditional labels for broader impact. Batch number can be looked up on mfgr website.</w:t>
      </w:r>
    </w:p>
    <w:p w14:paraId="1005F10C" w14:textId="77777777" w:rsidR="002C05E0" w:rsidRPr="00C36659" w:rsidRDefault="002C05E0" w:rsidP="00C36659">
      <w:r w:rsidRPr="00C36659">
        <w:lastRenderedPageBreak/>
        <w:t>Concern: QR codes may not integrate with existing recall processes, causing inefficiencies.</w:t>
      </w:r>
    </w:p>
    <w:p w14:paraId="4EFD13A7" w14:textId="77777777" w:rsidR="002C05E0" w:rsidRPr="00C36659" w:rsidRDefault="002C05E0" w:rsidP="00C36659">
      <w:r w:rsidRPr="00C36659">
        <w:t>Rebuttal: Many food and beverage products use voluntary QR codes; dynamic codes align with FDA/USDA protocols, simplifying recalls and improving consumer safety outcomes.</w:t>
      </w:r>
    </w:p>
    <w:p w14:paraId="5DE7D3A5" w14:textId="77777777" w:rsidR="002C05E0" w:rsidRPr="00C36659" w:rsidRDefault="002C05E0" w:rsidP="00C36659">
      <w:r w:rsidRPr="00C36659">
        <w:t>Concern: Mandating dynamic QR codes for batch-specific traceability on food and beverage package labels is a regulatory action that falls under the FDA’s jurisdiction, as the FDA oversees food safety and labeling requirements under the Federal Food, Drug, and Cosmetic Act and the Food Safety Modernization Act. The NCWM’s role is limited to weights and measures, and imposing QR code requirements exceeds its authority, potentially creating overlapping or conflicting federal and state regulations.</w:t>
      </w:r>
    </w:p>
    <w:p w14:paraId="18BA8A78" w14:textId="45EA6FA6" w:rsidR="002C05E0" w:rsidRPr="00C36659" w:rsidRDefault="002C05E0" w:rsidP="00C36659">
      <w:r w:rsidRPr="00C36659">
        <w:t>Rebuttal: The NCWM has clear authority under NIST Handbook 130 to establish uniform labeling standards for consumer commodities, including food and beverage products, to ensure accurate and consumer-relevant information, as seen in existing regulations like Section 6. The proposed dynamic QR code requirement complements FDA regulations, such as FSMA’s traceability provisions, by providing a state-level mechanism to enhance recall precision and consumer safety without conflicting with federal rules. The NCWM’s focus on batch-specific labeling aligns with its mission to standardize packaging information, and coordination with FDA guidelines (e.g., ISO/IEC 18004 standards for QR codes) ensures harmony. States adopting this amendment can implement it as part of their weights and measures programs, which already regulate food labeling, thereby supporting rather than duplicating FDA efforts.</w:t>
      </w:r>
    </w:p>
    <w:p w14:paraId="5AAF1E64" w14:textId="6D83792B" w:rsidR="002C05E0" w:rsidRPr="00C36659" w:rsidRDefault="002C05E0" w:rsidP="00C36659">
      <w:r w:rsidRPr="00C36659">
        <w:t>The submitter requested Voting status in 2026.</w:t>
      </w:r>
    </w:p>
    <w:p w14:paraId="13508C6C" w14:textId="77777777" w:rsidR="002C05E0" w:rsidRPr="002A7C3B" w:rsidRDefault="002C05E0" w:rsidP="002C05E0">
      <w:pPr>
        <w:keepNext/>
        <w:rPr>
          <w:b/>
        </w:rPr>
      </w:pPr>
      <w:r>
        <w:rPr>
          <w:b/>
        </w:rPr>
        <w:t>Comments</w:t>
      </w:r>
      <w:r w:rsidRPr="002A7C3B">
        <w:rPr>
          <w:b/>
        </w:rPr>
        <w:t xml:space="preserve"> in Favor:</w:t>
      </w:r>
    </w:p>
    <w:p w14:paraId="1427C7A1" w14:textId="44A93EF8" w:rsidR="002C05E0" w:rsidRPr="002A7C3B" w:rsidRDefault="0042639E" w:rsidP="002C05E0">
      <w:pPr>
        <w:keepNext/>
        <w:spacing w:after="0"/>
        <w:ind w:left="720"/>
        <w:rPr>
          <w:b/>
        </w:rPr>
      </w:pPr>
      <w:r>
        <w:rPr>
          <w:b/>
        </w:rPr>
        <w:t>Weights and Measures Officials</w:t>
      </w:r>
      <w:r w:rsidR="002C05E0" w:rsidRPr="002A7C3B">
        <w:rPr>
          <w:b/>
        </w:rPr>
        <w:t>:</w:t>
      </w:r>
    </w:p>
    <w:p w14:paraId="55222E66" w14:textId="6A197DEA" w:rsidR="002C05E0" w:rsidRPr="002A7C3B" w:rsidRDefault="001B3709" w:rsidP="002C05E0">
      <w:pPr>
        <w:pStyle w:val="ListParagraph"/>
        <w:numPr>
          <w:ilvl w:val="0"/>
          <w:numId w:val="26"/>
        </w:numPr>
        <w:spacing w:after="0" w:line="259" w:lineRule="auto"/>
        <w:contextualSpacing/>
        <w:jc w:val="left"/>
      </w:pPr>
      <w:r>
        <w:t>N</w:t>
      </w:r>
      <w:r w:rsidR="00BE4A00">
        <w:t>one</w:t>
      </w:r>
    </w:p>
    <w:p w14:paraId="1B5AE0C4" w14:textId="77777777" w:rsidR="002C05E0" w:rsidRPr="002A7C3B" w:rsidRDefault="002C05E0" w:rsidP="002C05E0">
      <w:pPr>
        <w:spacing w:before="240" w:after="0"/>
        <w:ind w:left="720"/>
        <w:rPr>
          <w:b/>
        </w:rPr>
      </w:pPr>
      <w:r w:rsidRPr="002A7C3B">
        <w:rPr>
          <w:b/>
        </w:rPr>
        <w:t>Industry:</w:t>
      </w:r>
    </w:p>
    <w:p w14:paraId="086D6D4A" w14:textId="34765E7C" w:rsidR="002C05E0" w:rsidRPr="002A7C3B" w:rsidRDefault="00BE4A00" w:rsidP="002C05E0">
      <w:pPr>
        <w:pStyle w:val="ListParagraph"/>
        <w:numPr>
          <w:ilvl w:val="0"/>
          <w:numId w:val="26"/>
        </w:numPr>
        <w:spacing w:after="0" w:line="259" w:lineRule="auto"/>
        <w:contextualSpacing/>
        <w:jc w:val="left"/>
      </w:pPr>
      <w:r>
        <w:t>None</w:t>
      </w:r>
    </w:p>
    <w:p w14:paraId="69065831" w14:textId="77777777" w:rsidR="002C05E0" w:rsidRPr="002A7C3B" w:rsidRDefault="002C05E0" w:rsidP="002C05E0">
      <w:pPr>
        <w:spacing w:before="240" w:after="0"/>
        <w:ind w:left="720"/>
        <w:rPr>
          <w:b/>
        </w:rPr>
      </w:pPr>
      <w:r w:rsidRPr="002A7C3B">
        <w:rPr>
          <w:b/>
        </w:rPr>
        <w:t>Advisory:</w:t>
      </w:r>
    </w:p>
    <w:p w14:paraId="3372455D" w14:textId="0A27F427" w:rsidR="002C05E0" w:rsidRPr="002A7C3B" w:rsidRDefault="00BE4A00" w:rsidP="002C05E0">
      <w:pPr>
        <w:pStyle w:val="ListParagraph"/>
        <w:numPr>
          <w:ilvl w:val="0"/>
          <w:numId w:val="26"/>
        </w:numPr>
        <w:spacing w:after="0" w:line="259" w:lineRule="auto"/>
        <w:contextualSpacing/>
        <w:jc w:val="left"/>
      </w:pPr>
      <w:r>
        <w:t>None</w:t>
      </w:r>
    </w:p>
    <w:p w14:paraId="41DBDA66" w14:textId="77777777" w:rsidR="002C05E0" w:rsidRPr="002A7C3B" w:rsidRDefault="002C05E0" w:rsidP="002C05E0">
      <w:pPr>
        <w:spacing w:before="240"/>
        <w:rPr>
          <w:b/>
        </w:rPr>
      </w:pPr>
      <w:r>
        <w:rPr>
          <w:b/>
        </w:rPr>
        <w:t>Comments</w:t>
      </w:r>
      <w:r w:rsidRPr="002A7C3B">
        <w:rPr>
          <w:b/>
        </w:rPr>
        <w:t xml:space="preserve"> Against:</w:t>
      </w:r>
    </w:p>
    <w:p w14:paraId="2A565E30" w14:textId="2BE17EFF" w:rsidR="002C05E0" w:rsidRPr="002A7C3B" w:rsidRDefault="0042639E" w:rsidP="002C05E0">
      <w:pPr>
        <w:spacing w:after="0"/>
        <w:ind w:left="720"/>
        <w:rPr>
          <w:b/>
        </w:rPr>
      </w:pPr>
      <w:r>
        <w:rPr>
          <w:b/>
        </w:rPr>
        <w:t>Weights and Measures Officials</w:t>
      </w:r>
      <w:r w:rsidR="002C05E0" w:rsidRPr="002A7C3B">
        <w:rPr>
          <w:b/>
        </w:rPr>
        <w:t>:</w:t>
      </w:r>
    </w:p>
    <w:p w14:paraId="4E6816D4" w14:textId="5AAC30B8" w:rsidR="002C05E0" w:rsidRPr="002A7C3B" w:rsidRDefault="00BE4A00" w:rsidP="002C05E0">
      <w:pPr>
        <w:pStyle w:val="ListParagraph"/>
        <w:numPr>
          <w:ilvl w:val="0"/>
          <w:numId w:val="27"/>
        </w:numPr>
        <w:spacing w:after="0" w:line="259" w:lineRule="auto"/>
        <w:contextualSpacing/>
        <w:jc w:val="left"/>
      </w:pPr>
      <w:r w:rsidRPr="001B29F9">
        <w:t xml:space="preserve">Multiple </w:t>
      </w:r>
      <w:r w:rsidR="001B29F9">
        <w:t>w</w:t>
      </w:r>
      <w:r w:rsidRPr="001B29F9">
        <w:t xml:space="preserve">eights and </w:t>
      </w:r>
      <w:r w:rsidR="001B29F9">
        <w:t>m</w:t>
      </w:r>
      <w:r w:rsidR="003723D6" w:rsidRPr="001B29F9">
        <w:t xml:space="preserve">easures </w:t>
      </w:r>
      <w:r w:rsidR="00F3407F" w:rsidRPr="001B29F9">
        <w:t>o</w:t>
      </w:r>
      <w:r w:rsidR="0042639E" w:rsidRPr="001B29F9">
        <w:t>fficial</w:t>
      </w:r>
      <w:r w:rsidRPr="001B29F9">
        <w:t>s</w:t>
      </w:r>
      <w:r>
        <w:t xml:space="preserve"> opposed this item stating it is not a weights and measures issue</w:t>
      </w:r>
      <w:r w:rsidR="007873B9">
        <w:t>,</w:t>
      </w:r>
      <w:r w:rsidR="002F1699">
        <w:t xml:space="preserve"> </w:t>
      </w:r>
      <w:r w:rsidR="00B06058">
        <w:t>that</w:t>
      </w:r>
      <w:r w:rsidR="002F1699">
        <w:t xml:space="preserve"> </w:t>
      </w:r>
      <w:r w:rsidR="00EA4A90">
        <w:t xml:space="preserve">the item addresses </w:t>
      </w:r>
      <w:r w:rsidR="00637BC0">
        <w:t>food safety and publi</w:t>
      </w:r>
      <w:r w:rsidR="00B06058">
        <w:t>c</w:t>
      </w:r>
      <w:r w:rsidR="00637BC0">
        <w:t xml:space="preserve"> health </w:t>
      </w:r>
      <w:r w:rsidR="006D5243">
        <w:t>concerns</w:t>
      </w:r>
      <w:r w:rsidR="00C31F0D">
        <w:t xml:space="preserve"> and</w:t>
      </w:r>
      <w:r w:rsidR="009E3104">
        <w:t xml:space="preserve"> fa</w:t>
      </w:r>
      <w:r w:rsidR="00B06058">
        <w:t>ll</w:t>
      </w:r>
      <w:r w:rsidR="00C31F0D">
        <w:t>s</w:t>
      </w:r>
      <w:r w:rsidR="00B06058">
        <w:t xml:space="preserve"> under federal regulations instead, others </w:t>
      </w:r>
      <w:r w:rsidR="009E5BA8">
        <w:t xml:space="preserve">pointed </w:t>
      </w:r>
      <w:r w:rsidR="00656AF8">
        <w:t xml:space="preserve">fraud concerns </w:t>
      </w:r>
      <w:r w:rsidR="002140F8">
        <w:t>using</w:t>
      </w:r>
      <w:r w:rsidR="00C21D75">
        <w:t xml:space="preserve"> QR codes and </w:t>
      </w:r>
      <w:r w:rsidR="00135A96">
        <w:t xml:space="preserve">questioned </w:t>
      </w:r>
      <w:r w:rsidR="00C21D75">
        <w:t xml:space="preserve">the fact </w:t>
      </w:r>
      <w:r w:rsidR="00F815F1">
        <w:t xml:space="preserve">that </w:t>
      </w:r>
      <w:r w:rsidR="00440E2E">
        <w:t xml:space="preserve">duplicate information </w:t>
      </w:r>
      <w:r w:rsidR="00224DE0">
        <w:t>is</w:t>
      </w:r>
      <w:r w:rsidR="00440E2E">
        <w:t xml:space="preserve"> requested</w:t>
      </w:r>
      <w:r w:rsidR="004D075F">
        <w:t>. In addition</w:t>
      </w:r>
      <w:r w:rsidR="00154399">
        <w:t xml:space="preserve">, it  </w:t>
      </w:r>
      <w:r w:rsidR="00BD7011">
        <w:t xml:space="preserve">questioned </w:t>
      </w:r>
      <w:r w:rsidR="00154399">
        <w:t xml:space="preserve"> </w:t>
      </w:r>
      <w:r w:rsidR="000F69D2">
        <w:t>the inclusion of th</w:t>
      </w:r>
      <w:r w:rsidR="004276B1">
        <w:t>i</w:t>
      </w:r>
      <w:r w:rsidR="00224DE0">
        <w:t>s</w:t>
      </w:r>
      <w:r w:rsidR="004276B1">
        <w:t xml:space="preserve"> item in section 6.3 Net Quantity</w:t>
      </w:r>
      <w:r w:rsidR="00D91687">
        <w:t xml:space="preserve">. All of them </w:t>
      </w:r>
      <w:r w:rsidR="008C10AF">
        <w:t>recommended</w:t>
      </w:r>
      <w:r>
        <w:t xml:space="preserve"> Withdraw</w:t>
      </w:r>
      <w:r w:rsidR="006F7DEB">
        <w:t>.</w:t>
      </w:r>
    </w:p>
    <w:p w14:paraId="0A40901F" w14:textId="77777777" w:rsidR="002C05E0" w:rsidRPr="002A7C3B" w:rsidRDefault="002C05E0" w:rsidP="002C05E0">
      <w:pPr>
        <w:spacing w:before="240" w:after="0"/>
        <w:ind w:left="720"/>
        <w:rPr>
          <w:b/>
        </w:rPr>
      </w:pPr>
      <w:r w:rsidRPr="002A7C3B">
        <w:rPr>
          <w:b/>
        </w:rPr>
        <w:t>Industry:</w:t>
      </w:r>
    </w:p>
    <w:p w14:paraId="69E5A537" w14:textId="3EB39FAA" w:rsidR="002C05E0" w:rsidRPr="002A7C3B" w:rsidRDefault="006F7DEB" w:rsidP="002C05E0">
      <w:pPr>
        <w:pStyle w:val="ListParagraph"/>
        <w:numPr>
          <w:ilvl w:val="0"/>
          <w:numId w:val="27"/>
        </w:numPr>
        <w:spacing w:after="0" w:line="259" w:lineRule="auto"/>
        <w:contextualSpacing/>
        <w:jc w:val="left"/>
      </w:pPr>
      <w:r>
        <w:t>None</w:t>
      </w:r>
    </w:p>
    <w:p w14:paraId="2A001269" w14:textId="77777777" w:rsidR="002C05E0" w:rsidRPr="00AC5B86" w:rsidRDefault="002C05E0" w:rsidP="002C05E0">
      <w:pPr>
        <w:spacing w:before="240" w:after="0"/>
        <w:ind w:left="720"/>
        <w:rPr>
          <w:b/>
        </w:rPr>
      </w:pPr>
      <w:r w:rsidRPr="002A7C3B">
        <w:rPr>
          <w:b/>
        </w:rPr>
        <w:t>Advisory:</w:t>
      </w:r>
    </w:p>
    <w:p w14:paraId="5FCF2168" w14:textId="5D07F64B" w:rsidR="002C05E0" w:rsidRDefault="006F7DEB" w:rsidP="002C05E0">
      <w:pPr>
        <w:pStyle w:val="ListParagraph"/>
        <w:numPr>
          <w:ilvl w:val="0"/>
          <w:numId w:val="27"/>
        </w:numPr>
        <w:spacing w:after="0" w:line="259" w:lineRule="auto"/>
        <w:contextualSpacing/>
        <w:jc w:val="left"/>
      </w:pPr>
      <w:r>
        <w:t>The NIST OWM representative recommended Withdraw.</w:t>
      </w:r>
    </w:p>
    <w:p w14:paraId="284175C3" w14:textId="77777777" w:rsidR="002C05E0" w:rsidRPr="002A7C3B" w:rsidRDefault="002C05E0" w:rsidP="002C05E0">
      <w:pPr>
        <w:spacing w:before="240"/>
        <w:rPr>
          <w:b/>
        </w:rPr>
      </w:pPr>
      <w:r>
        <w:rPr>
          <w:b/>
        </w:rPr>
        <w:t>Neutral Comments</w:t>
      </w:r>
      <w:r w:rsidRPr="002A7C3B">
        <w:rPr>
          <w:b/>
        </w:rPr>
        <w:t>:</w:t>
      </w:r>
    </w:p>
    <w:p w14:paraId="724F91A7" w14:textId="4399C2AB" w:rsidR="002C05E0" w:rsidRPr="002A7C3B" w:rsidRDefault="0042639E" w:rsidP="002C05E0">
      <w:pPr>
        <w:spacing w:after="0"/>
        <w:ind w:left="720"/>
        <w:rPr>
          <w:b/>
        </w:rPr>
      </w:pPr>
      <w:r>
        <w:rPr>
          <w:b/>
        </w:rPr>
        <w:t>Weights and Measures Officials</w:t>
      </w:r>
      <w:r w:rsidR="002C05E0" w:rsidRPr="002A7C3B">
        <w:rPr>
          <w:b/>
        </w:rPr>
        <w:t>:</w:t>
      </w:r>
    </w:p>
    <w:p w14:paraId="7193AF5F" w14:textId="551FDDA8" w:rsidR="002C05E0" w:rsidRPr="002A7C3B" w:rsidRDefault="006F7DEB" w:rsidP="002C05E0">
      <w:pPr>
        <w:pStyle w:val="ListParagraph"/>
        <w:numPr>
          <w:ilvl w:val="0"/>
          <w:numId w:val="27"/>
        </w:numPr>
        <w:spacing w:after="0" w:line="259" w:lineRule="auto"/>
        <w:contextualSpacing/>
        <w:jc w:val="left"/>
      </w:pPr>
      <w:r>
        <w:t>None</w:t>
      </w:r>
    </w:p>
    <w:p w14:paraId="49BBCB85" w14:textId="77777777" w:rsidR="002C05E0" w:rsidRPr="002A7C3B" w:rsidRDefault="002C05E0" w:rsidP="002C05E0">
      <w:pPr>
        <w:spacing w:before="240" w:after="0"/>
        <w:ind w:left="720"/>
        <w:rPr>
          <w:b/>
        </w:rPr>
      </w:pPr>
      <w:r w:rsidRPr="002A7C3B">
        <w:rPr>
          <w:b/>
        </w:rPr>
        <w:lastRenderedPageBreak/>
        <w:t>Industry:</w:t>
      </w:r>
    </w:p>
    <w:p w14:paraId="447B7878" w14:textId="30A90708" w:rsidR="002C05E0" w:rsidRPr="002A7C3B" w:rsidRDefault="006F7DEB" w:rsidP="002C05E0">
      <w:pPr>
        <w:pStyle w:val="ListParagraph"/>
        <w:numPr>
          <w:ilvl w:val="0"/>
          <w:numId w:val="27"/>
        </w:numPr>
        <w:spacing w:after="0" w:line="259" w:lineRule="auto"/>
        <w:contextualSpacing/>
        <w:jc w:val="left"/>
      </w:pPr>
      <w:r>
        <w:t>None</w:t>
      </w:r>
    </w:p>
    <w:p w14:paraId="4FC9748D" w14:textId="77777777" w:rsidR="002C05E0" w:rsidRPr="002A7C3B" w:rsidRDefault="002C05E0" w:rsidP="002C05E0">
      <w:pPr>
        <w:spacing w:before="240" w:after="0"/>
        <w:ind w:left="720"/>
        <w:rPr>
          <w:b/>
        </w:rPr>
      </w:pPr>
      <w:r w:rsidRPr="002A7C3B">
        <w:rPr>
          <w:b/>
        </w:rPr>
        <w:t>Advisory:</w:t>
      </w:r>
    </w:p>
    <w:p w14:paraId="7E8920B5" w14:textId="219427BE" w:rsidR="002C05E0" w:rsidRDefault="006F7DEB" w:rsidP="002C05E0">
      <w:pPr>
        <w:pStyle w:val="ListParagraph"/>
        <w:numPr>
          <w:ilvl w:val="0"/>
          <w:numId w:val="27"/>
        </w:numPr>
        <w:spacing w:after="0" w:line="259" w:lineRule="auto"/>
        <w:contextualSpacing/>
        <w:jc w:val="left"/>
      </w:pPr>
      <w:r>
        <w:t>None</w:t>
      </w:r>
    </w:p>
    <w:p w14:paraId="6DB8B7A3" w14:textId="77777777" w:rsidR="002C05E0" w:rsidRPr="00E025F9" w:rsidRDefault="002C05E0" w:rsidP="00207E03">
      <w:pPr>
        <w:keepNext/>
        <w:keepLines/>
        <w:spacing w:before="240" w:after="0"/>
        <w:rPr>
          <w:b/>
        </w:rPr>
      </w:pPr>
      <w:r w:rsidRPr="002A7C3B">
        <w:rPr>
          <w:b/>
        </w:rPr>
        <w:t>Item Develop</w:t>
      </w:r>
      <w:r w:rsidRPr="00E025F9">
        <w:rPr>
          <w:b/>
        </w:rPr>
        <w:t>ment:</w:t>
      </w:r>
    </w:p>
    <w:p w14:paraId="6269DA07" w14:textId="08060E82" w:rsidR="002C05E0" w:rsidRDefault="002C05E0" w:rsidP="00207E03">
      <w:pPr>
        <w:keepNext/>
        <w:keepLines/>
      </w:pPr>
      <w:r>
        <w:t>New Proposal</w:t>
      </w:r>
      <w:r w:rsidR="00AA5807">
        <w:t xml:space="preserve"> 2026</w:t>
      </w:r>
    </w:p>
    <w:p w14:paraId="7AA64634" w14:textId="5184BF91" w:rsidR="00122110" w:rsidRDefault="00122110" w:rsidP="00207E03">
      <w:pPr>
        <w:keepNext/>
        <w:keepLines/>
      </w:pPr>
      <w:r w:rsidRPr="00276CA7">
        <w:rPr>
          <w:u w:val="single"/>
        </w:rPr>
        <w:t>NCWM Interim 2026:</w:t>
      </w:r>
      <w:r>
        <w:t xml:space="preserve"> </w:t>
      </w:r>
      <w:r w:rsidR="001A0470">
        <w:t xml:space="preserve"> Several weights and measures </w:t>
      </w:r>
      <w:r w:rsidR="000357B1">
        <w:t>officials</w:t>
      </w:r>
      <w:r w:rsidR="001A0470">
        <w:t xml:space="preserve"> voiced concern that this item was not a weights</w:t>
      </w:r>
      <w:r w:rsidR="000357B1">
        <w:t xml:space="preserve"> and measures</w:t>
      </w:r>
      <w:r w:rsidR="003E34EE">
        <w:t xml:space="preserve"> issue and recommended withdraw. Based on those comments </w:t>
      </w:r>
      <w:r w:rsidR="0020204D">
        <w:t>and those from NIST OWM, the</w:t>
      </w:r>
      <w:r w:rsidR="00040B3D">
        <w:t xml:space="preserve"> </w:t>
      </w:r>
      <w:r w:rsidR="00DC794F">
        <w:t>C</w:t>
      </w:r>
      <w:r w:rsidR="00993A2E">
        <w:t xml:space="preserve">ommittee concurred </w:t>
      </w:r>
      <w:r w:rsidR="00EC126D">
        <w:t xml:space="preserve">and withdrew the item. </w:t>
      </w:r>
    </w:p>
    <w:p w14:paraId="11DE3B74" w14:textId="77777777" w:rsidR="002C05E0" w:rsidRPr="00E025F9" w:rsidRDefault="002C05E0" w:rsidP="002C05E0">
      <w:pPr>
        <w:spacing w:after="0"/>
        <w:rPr>
          <w:b/>
        </w:rPr>
      </w:pPr>
      <w:r w:rsidRPr="00E025F9">
        <w:rPr>
          <w:b/>
        </w:rPr>
        <w:t>Regional Associations’ Comments:</w:t>
      </w:r>
    </w:p>
    <w:p w14:paraId="745EEF15" w14:textId="0874ED79" w:rsidR="00707B0C" w:rsidRDefault="00707B0C" w:rsidP="00707B0C">
      <w:pPr>
        <w:spacing w:after="0"/>
        <w:rPr>
          <w:rFonts w:eastAsia="Times New Roman"/>
          <w:szCs w:val="24"/>
          <w:u w:val="single"/>
        </w:rPr>
      </w:pPr>
      <w:r w:rsidRPr="008D62FB">
        <w:rPr>
          <w:rFonts w:eastAsia="Times New Roman"/>
          <w:szCs w:val="24"/>
          <w:u w:val="single"/>
        </w:rPr>
        <w:t>WWMA 202</w:t>
      </w:r>
      <w:r w:rsidR="005323E4">
        <w:rPr>
          <w:rFonts w:eastAsia="Times New Roman"/>
          <w:szCs w:val="24"/>
          <w:u w:val="single"/>
        </w:rPr>
        <w:t>5</w:t>
      </w:r>
      <w:r w:rsidRPr="008D62FB">
        <w:rPr>
          <w:rFonts w:eastAsia="Times New Roman"/>
          <w:szCs w:val="24"/>
          <w:u w:val="single"/>
        </w:rPr>
        <w:t xml:space="preserve"> Annual Meeting:</w:t>
      </w:r>
    </w:p>
    <w:p w14:paraId="320C6731" w14:textId="77777777" w:rsidR="00B55C17" w:rsidRDefault="00B55C17" w:rsidP="00707B0C">
      <w:pPr>
        <w:spacing w:after="0"/>
        <w:rPr>
          <w:rFonts w:eastAsia="Times New Roman"/>
          <w:szCs w:val="24"/>
          <w:u w:val="single"/>
        </w:rPr>
      </w:pPr>
    </w:p>
    <w:p w14:paraId="76F7FA86" w14:textId="77777777" w:rsidR="00A46DE4" w:rsidRDefault="00A46DE4" w:rsidP="00A46DE4">
      <w:pPr>
        <w:spacing w:after="0"/>
        <w:rPr>
          <w:rFonts w:eastAsia="Times New Roman"/>
          <w:szCs w:val="24"/>
        </w:rPr>
      </w:pPr>
      <w:r>
        <w:rPr>
          <w:rFonts w:eastAsia="Times New Roman"/>
          <w:szCs w:val="24"/>
        </w:rPr>
        <w:t xml:space="preserve">The committee received comments from Ms. Wendy Hahn (County of Stanislaus, California), Mr. Aaron Yanker </w:t>
      </w:r>
      <w:r w:rsidRPr="005D61E3">
        <w:rPr>
          <w:rFonts w:eastAsia="Times New Roman"/>
          <w:szCs w:val="24"/>
        </w:rPr>
        <w:t>(Colorado Department</w:t>
      </w:r>
      <w:r>
        <w:rPr>
          <w:rFonts w:eastAsia="Times New Roman"/>
          <w:szCs w:val="24"/>
        </w:rPr>
        <w:t xml:space="preserve"> </w:t>
      </w:r>
      <w:r w:rsidRPr="005D61E3">
        <w:rPr>
          <w:rFonts w:eastAsia="Times New Roman"/>
          <w:szCs w:val="24"/>
        </w:rPr>
        <w:t>of Agriculture, Weights and Measures)</w:t>
      </w:r>
      <w:r>
        <w:rPr>
          <w:rFonts w:eastAsia="Times New Roman"/>
          <w:szCs w:val="24"/>
        </w:rPr>
        <w:t>, Mr. Jose Arriaga (County of Orange, California), Mr. Mike Brooks (</w:t>
      </w:r>
      <w:r w:rsidRPr="009F7C1A">
        <w:rPr>
          <w:rFonts w:eastAsia="Times New Roman"/>
          <w:szCs w:val="24"/>
        </w:rPr>
        <w:t>Arizona Department of Agriculture Weights and Measures</w:t>
      </w:r>
      <w:r>
        <w:rPr>
          <w:rFonts w:eastAsia="Times New Roman"/>
          <w:szCs w:val="24"/>
        </w:rPr>
        <w:t xml:space="preserve"> </w:t>
      </w:r>
      <w:r w:rsidRPr="009F7C1A">
        <w:rPr>
          <w:rFonts w:eastAsia="Times New Roman"/>
          <w:szCs w:val="24"/>
        </w:rPr>
        <w:t>Services Division</w:t>
      </w:r>
      <w:r>
        <w:rPr>
          <w:rFonts w:eastAsia="Times New Roman"/>
          <w:szCs w:val="24"/>
        </w:rPr>
        <w:t xml:space="preserve">), Mr. Kurt Floren (County of Los Angeles, California), Mr. Austin Shepherd (County of San Diego, California), and Mr. Matt Douglas (California Division of Measurement Standards) with a general consensus that this is not a Weights and Measures issue and recommending that the item be withdrawn. </w:t>
      </w:r>
    </w:p>
    <w:p w14:paraId="2252CCA9" w14:textId="77777777" w:rsidR="00A46DE4" w:rsidRDefault="00A46DE4" w:rsidP="00A46DE4">
      <w:pPr>
        <w:spacing w:after="0"/>
        <w:rPr>
          <w:rFonts w:eastAsia="Times New Roman"/>
          <w:szCs w:val="24"/>
        </w:rPr>
      </w:pPr>
    </w:p>
    <w:p w14:paraId="5D822B1C" w14:textId="77777777" w:rsidR="00A46DE4" w:rsidRDefault="00A46DE4" w:rsidP="00A46DE4">
      <w:pPr>
        <w:spacing w:after="0"/>
        <w:rPr>
          <w:rFonts w:eastAsia="Times New Roman"/>
          <w:szCs w:val="24"/>
        </w:rPr>
      </w:pPr>
      <w:r>
        <w:rPr>
          <w:rFonts w:eastAsia="Times New Roman"/>
          <w:szCs w:val="24"/>
        </w:rPr>
        <w:t xml:space="preserve">Some of the comments heard also included that this might be an FDA jurisdictional matter; that this might be better addressed by, or included in, the Food Safety Modernization Act; or that this might be a Public Health jurisdictional matter. </w:t>
      </w:r>
    </w:p>
    <w:p w14:paraId="65BCC875" w14:textId="77777777" w:rsidR="00A46DE4" w:rsidRDefault="00A46DE4" w:rsidP="00A46DE4">
      <w:pPr>
        <w:spacing w:after="0"/>
        <w:rPr>
          <w:rFonts w:eastAsia="Times New Roman"/>
          <w:szCs w:val="24"/>
        </w:rPr>
      </w:pPr>
    </w:p>
    <w:p w14:paraId="166310F1" w14:textId="77777777" w:rsidR="00A46DE4" w:rsidRPr="00A43BF4" w:rsidRDefault="00A46DE4" w:rsidP="00A46DE4">
      <w:pPr>
        <w:spacing w:after="0"/>
        <w:rPr>
          <w:rFonts w:eastAsia="Times New Roman"/>
          <w:szCs w:val="24"/>
        </w:rPr>
      </w:pPr>
      <w:r>
        <w:rPr>
          <w:rFonts w:eastAsia="Times New Roman"/>
          <w:szCs w:val="24"/>
        </w:rPr>
        <w:t>Other concerns raised included that this may increase production costs and create gaps in usability for non-smart phone users. Enforcement concerns were also heard including that Weights &amp; Measures officials do not have the authority to implement broad recalls as well as the concern that this is not just a matter of verifying that the quick response (QR) code is present but also that the information provided by use of the QR code is accurate.</w:t>
      </w:r>
    </w:p>
    <w:p w14:paraId="718D9842" w14:textId="77777777" w:rsidR="00A46DE4" w:rsidRPr="00A43BF4" w:rsidRDefault="00A46DE4" w:rsidP="00A46DE4">
      <w:pPr>
        <w:spacing w:after="0"/>
        <w:rPr>
          <w:rFonts w:eastAsia="Times New Roman"/>
          <w:szCs w:val="24"/>
        </w:rPr>
      </w:pPr>
    </w:p>
    <w:p w14:paraId="78CCD0A2" w14:textId="6EB7A637" w:rsidR="00A46DE4" w:rsidRPr="00A46DE4" w:rsidRDefault="00A46DE4" w:rsidP="00707B0C">
      <w:pPr>
        <w:spacing w:after="0"/>
        <w:rPr>
          <w:rFonts w:eastAsia="Times New Roman"/>
          <w:szCs w:val="24"/>
        </w:rPr>
      </w:pPr>
      <w:r>
        <w:rPr>
          <w:rFonts w:eastAsia="Times New Roman"/>
          <w:szCs w:val="24"/>
        </w:rPr>
        <w:t>The WWMA L&amp;R committee recommends the item be withdrawn.</w:t>
      </w:r>
    </w:p>
    <w:p w14:paraId="7906E2A6" w14:textId="77777777" w:rsidR="00707B0C" w:rsidRPr="00A43BF4" w:rsidRDefault="00707B0C" w:rsidP="00707B0C">
      <w:pPr>
        <w:spacing w:after="0"/>
        <w:rPr>
          <w:rFonts w:eastAsia="Times New Roman"/>
          <w:szCs w:val="24"/>
        </w:rPr>
      </w:pPr>
    </w:p>
    <w:p w14:paraId="6ABE118F" w14:textId="40122D10" w:rsidR="00EB6963" w:rsidRPr="00B531E0" w:rsidRDefault="00C8190C" w:rsidP="00B531E0">
      <w:pPr>
        <w:jc w:val="left"/>
        <w:rPr>
          <w:rFonts w:eastAsia="Times New Roman"/>
          <w:szCs w:val="24"/>
          <w:u w:val="single"/>
        </w:rPr>
      </w:pPr>
      <w:r>
        <w:rPr>
          <w:rFonts w:eastAsia="Times New Roman"/>
          <w:szCs w:val="24"/>
          <w:u w:val="single"/>
        </w:rPr>
        <w:t>C</w:t>
      </w:r>
      <w:r w:rsidR="00707B0C" w:rsidRPr="0051426D">
        <w:rPr>
          <w:rFonts w:eastAsia="Times New Roman"/>
          <w:szCs w:val="24"/>
          <w:u w:val="single"/>
        </w:rPr>
        <w:t>WMA 202</w:t>
      </w:r>
      <w:r w:rsidR="005323E4">
        <w:rPr>
          <w:rFonts w:eastAsia="Times New Roman"/>
          <w:szCs w:val="24"/>
          <w:u w:val="single"/>
        </w:rPr>
        <w:t>5</w:t>
      </w:r>
      <w:r w:rsidR="00707B0C" w:rsidRPr="0051426D">
        <w:rPr>
          <w:rFonts w:eastAsia="Times New Roman"/>
          <w:szCs w:val="24"/>
          <w:u w:val="single"/>
        </w:rPr>
        <w:t xml:space="preserve"> </w:t>
      </w:r>
      <w:r w:rsidR="00F102E2">
        <w:rPr>
          <w:rFonts w:eastAsia="Times New Roman"/>
          <w:szCs w:val="24"/>
          <w:u w:val="single"/>
        </w:rPr>
        <w:t>Interim</w:t>
      </w:r>
      <w:r w:rsidR="00707B0C" w:rsidRPr="0051426D">
        <w:rPr>
          <w:rFonts w:eastAsia="Times New Roman"/>
          <w:szCs w:val="24"/>
          <w:u w:val="single"/>
        </w:rPr>
        <w:t xml:space="preserve"> Meeting:</w:t>
      </w:r>
      <w:r w:rsidR="00B55C17">
        <w:rPr>
          <w:rFonts w:eastAsia="Times New Roman"/>
          <w:szCs w:val="24"/>
          <w:u w:val="single"/>
        </w:rPr>
        <w:br/>
      </w:r>
      <w:r w:rsidR="00B531E0">
        <w:rPr>
          <w:rFonts w:eastAsia="Times New Roman"/>
          <w:szCs w:val="24"/>
          <w:u w:val="single"/>
        </w:rPr>
        <w:br/>
      </w:r>
      <w:r w:rsidR="00EB6963">
        <w:rPr>
          <w:rFonts w:eastAsia="Times New Roman"/>
          <w:szCs w:val="24"/>
        </w:rPr>
        <w:t>Questions were brought up as to how this really applies to Weights &amp; Measures and one individual wanted the item withdrawn.  Nothing currently exists that would prohibit an entity from adding a dynamic QR code of this nature.</w:t>
      </w:r>
    </w:p>
    <w:p w14:paraId="6468BFD5" w14:textId="18B78142" w:rsidR="00EB6963" w:rsidRPr="00EB6963" w:rsidRDefault="00EB6963" w:rsidP="00EB6963">
      <w:pPr>
        <w:spacing w:after="0"/>
        <w:jc w:val="left"/>
        <w:rPr>
          <w:rFonts w:eastAsia="Times New Roman"/>
          <w:szCs w:val="24"/>
        </w:rPr>
      </w:pPr>
      <w:r>
        <w:rPr>
          <w:rFonts w:eastAsia="Times New Roman"/>
          <w:szCs w:val="24"/>
        </w:rPr>
        <w:t>The CWMA L&amp;R committee recommends the item be withdrawn.</w:t>
      </w:r>
      <w:r>
        <w:rPr>
          <w:rFonts w:eastAsia="Times New Roman"/>
          <w:szCs w:val="24"/>
        </w:rPr>
        <w:br/>
      </w:r>
    </w:p>
    <w:p w14:paraId="3368A5C0" w14:textId="77777777" w:rsidR="00E677EF" w:rsidRDefault="00707B0C" w:rsidP="00707B0C">
      <w:pPr>
        <w:jc w:val="left"/>
        <w:rPr>
          <w:u w:val="single"/>
        </w:rPr>
      </w:pPr>
      <w:r w:rsidRPr="006C7BFB">
        <w:rPr>
          <w:u w:val="single"/>
        </w:rPr>
        <w:t>NEWMA 202</w:t>
      </w:r>
      <w:r w:rsidR="005323E4">
        <w:rPr>
          <w:u w:val="single"/>
        </w:rPr>
        <w:t>5</w:t>
      </w:r>
      <w:r w:rsidRPr="006C7BFB">
        <w:rPr>
          <w:u w:val="single"/>
        </w:rPr>
        <w:t xml:space="preserve"> Interim Meeting:</w:t>
      </w:r>
    </w:p>
    <w:p w14:paraId="62796923" w14:textId="77777777" w:rsidR="00E677EF" w:rsidRDefault="00E677EF" w:rsidP="00E677EF">
      <w:pPr>
        <w:spacing w:after="0"/>
        <w:rPr>
          <w:rFonts w:eastAsia="Times New Roman"/>
          <w:szCs w:val="24"/>
        </w:rPr>
      </w:pPr>
      <w:r>
        <w:rPr>
          <w:rFonts w:eastAsia="Times New Roman"/>
          <w:szCs w:val="24"/>
        </w:rPr>
        <w:t>A regulator from New York commented they are not opposed to QR codes, but feels it is not a weights and measures issue, and indicated they do not enforce food safety regulations.  A regulator from New Jersey commented that this is not a weights and measures issue, but may be geared toward FDA or FTC regulations, and recommended a Withdrawn status.  A regulator from Vermont agreed with New York and New Jersey.</w:t>
      </w:r>
    </w:p>
    <w:p w14:paraId="66C34EC9" w14:textId="77777777" w:rsidR="00E677EF" w:rsidRDefault="00E677EF" w:rsidP="00E677EF">
      <w:pPr>
        <w:spacing w:after="0"/>
        <w:rPr>
          <w:rFonts w:eastAsia="Times New Roman"/>
          <w:szCs w:val="24"/>
        </w:rPr>
      </w:pPr>
    </w:p>
    <w:p w14:paraId="090AD208" w14:textId="799255B5" w:rsidR="00707B0C" w:rsidRDefault="00E677EF" w:rsidP="00A00510">
      <w:pPr>
        <w:spacing w:after="0"/>
        <w:rPr>
          <w:u w:val="single"/>
        </w:rPr>
      </w:pPr>
      <w:r>
        <w:rPr>
          <w:rFonts w:eastAsia="Times New Roman"/>
          <w:szCs w:val="24"/>
        </w:rPr>
        <w:t>After hearing comments from the floor, the committee recommended a Withdrawn status, and the body concurred.</w:t>
      </w:r>
      <w:r w:rsidR="00707B0C">
        <w:rPr>
          <w:u w:val="single"/>
        </w:rPr>
        <w:br/>
      </w:r>
      <w:r w:rsidR="00707B0C">
        <w:rPr>
          <w:u w:val="single"/>
        </w:rPr>
        <w:br/>
      </w:r>
      <w:r w:rsidR="00C8190C">
        <w:rPr>
          <w:u w:val="single"/>
        </w:rPr>
        <w:t>S</w:t>
      </w:r>
      <w:r w:rsidR="00707B0C" w:rsidRPr="00EF1ACC">
        <w:rPr>
          <w:u w:val="single"/>
        </w:rPr>
        <w:t>WMA 202</w:t>
      </w:r>
      <w:r w:rsidR="005323E4">
        <w:rPr>
          <w:u w:val="single"/>
        </w:rPr>
        <w:t>5</w:t>
      </w:r>
      <w:r w:rsidR="00707B0C" w:rsidRPr="00EF1ACC">
        <w:rPr>
          <w:u w:val="single"/>
        </w:rPr>
        <w:t xml:space="preserve"> </w:t>
      </w:r>
      <w:r w:rsidR="00F102E2">
        <w:rPr>
          <w:u w:val="single"/>
        </w:rPr>
        <w:t>Annual</w:t>
      </w:r>
      <w:r w:rsidR="00707B0C" w:rsidRPr="00EF1ACC">
        <w:rPr>
          <w:u w:val="single"/>
        </w:rPr>
        <w:t xml:space="preserve"> Meeting</w:t>
      </w:r>
      <w:r w:rsidR="00707B0C">
        <w:rPr>
          <w:u w:val="single"/>
        </w:rPr>
        <w:t>:</w:t>
      </w:r>
    </w:p>
    <w:p w14:paraId="2A95B679" w14:textId="1B7AC2FE" w:rsidR="00D55B0D" w:rsidRDefault="00D55B0D" w:rsidP="00346B96">
      <w:pPr>
        <w:rPr>
          <w:rFonts w:eastAsia="Times New Roman"/>
          <w:szCs w:val="24"/>
        </w:rPr>
      </w:pPr>
      <w:r>
        <w:rPr>
          <w:rFonts w:eastAsia="Times New Roman"/>
          <w:szCs w:val="24"/>
        </w:rPr>
        <w:t>Mr. Tory Brewer with West Virginia commented that this is not a weights and measures issue. That the item specifically asks for there to be a requirement for recalls. He opposes this item and recommends Withdraw.</w:t>
      </w:r>
    </w:p>
    <w:p w14:paraId="4C6AFD61" w14:textId="28BBC4E2" w:rsidR="00D55B0D" w:rsidRDefault="00D55B0D" w:rsidP="00346B96">
      <w:pPr>
        <w:rPr>
          <w:rFonts w:eastAsia="Times New Roman"/>
          <w:szCs w:val="24"/>
        </w:rPr>
      </w:pPr>
      <w:r w:rsidRPr="002B390A">
        <w:rPr>
          <w:rFonts w:eastAsia="Times New Roman"/>
          <w:szCs w:val="24"/>
        </w:rPr>
        <w:lastRenderedPageBreak/>
        <w:t xml:space="preserve">Matthew Curran, Florida – recommend forwarding this item and asking that it be </w:t>
      </w:r>
      <w:r>
        <w:rPr>
          <w:rFonts w:eastAsia="Times New Roman"/>
          <w:szCs w:val="24"/>
        </w:rPr>
        <w:t>A</w:t>
      </w:r>
      <w:r w:rsidRPr="002B390A">
        <w:rPr>
          <w:rFonts w:eastAsia="Times New Roman"/>
          <w:szCs w:val="24"/>
        </w:rPr>
        <w:t xml:space="preserve">ssigned to PALS for further evaluation and vetting. </w:t>
      </w:r>
      <w:r>
        <w:rPr>
          <w:rFonts w:eastAsia="Times New Roman"/>
          <w:szCs w:val="24"/>
        </w:rPr>
        <w:t>He</w:t>
      </w:r>
      <w:r w:rsidRPr="002B390A">
        <w:rPr>
          <w:rFonts w:eastAsia="Times New Roman"/>
          <w:szCs w:val="24"/>
        </w:rPr>
        <w:t xml:space="preserve"> believe</w:t>
      </w:r>
      <w:r>
        <w:rPr>
          <w:rFonts w:eastAsia="Times New Roman"/>
          <w:szCs w:val="24"/>
        </w:rPr>
        <w:t>s</w:t>
      </w:r>
      <w:r w:rsidRPr="002B390A">
        <w:rPr>
          <w:rFonts w:eastAsia="Times New Roman"/>
          <w:szCs w:val="24"/>
        </w:rPr>
        <w:t xml:space="preserve"> the topic has potential merit and use beyond the weights and measures realm but need to ensure it is weights and measures related before going into the Handbooks. There are currently food products in Florida that are required to have QR codes for required consumer information and there are many companies that have elected to add QR codes on their products, so the concept is currently utilized. </w:t>
      </w:r>
      <w:r>
        <w:rPr>
          <w:rFonts w:eastAsia="Times New Roman"/>
          <w:szCs w:val="24"/>
        </w:rPr>
        <w:t>He</w:t>
      </w:r>
      <w:r w:rsidRPr="002B390A">
        <w:rPr>
          <w:rFonts w:eastAsia="Times New Roman"/>
          <w:szCs w:val="24"/>
        </w:rPr>
        <w:t xml:space="preserve"> also would caution against exclusions (as proposed) as this may create unintended loopholes, if not written properly.</w:t>
      </w:r>
    </w:p>
    <w:p w14:paraId="46BA7334" w14:textId="5B1A5BF7" w:rsidR="00D55B0D" w:rsidRDefault="00D55B0D" w:rsidP="00D55B0D">
      <w:pPr>
        <w:spacing w:after="0"/>
        <w:rPr>
          <w:rFonts w:eastAsia="Times New Roman"/>
          <w:szCs w:val="24"/>
        </w:rPr>
      </w:pPr>
      <w:r>
        <w:rPr>
          <w:rFonts w:eastAsia="Times New Roman"/>
          <w:szCs w:val="24"/>
        </w:rPr>
        <w:t>Ms. Alison Wilkinson with the state of Maryland echoes Florida in that the item be Assigned to PALS</w:t>
      </w:r>
      <w:r w:rsidR="00003C73">
        <w:rPr>
          <w:rFonts w:eastAsia="Times New Roman"/>
          <w:szCs w:val="24"/>
        </w:rPr>
        <w:t>.</w:t>
      </w:r>
    </w:p>
    <w:p w14:paraId="79E25CD1" w14:textId="77777777" w:rsidR="00D55B0D" w:rsidRDefault="00D55B0D" w:rsidP="00D55B0D">
      <w:pPr>
        <w:spacing w:after="0"/>
        <w:rPr>
          <w:rFonts w:eastAsia="Times New Roman"/>
          <w:szCs w:val="24"/>
        </w:rPr>
      </w:pPr>
      <w:r>
        <w:rPr>
          <w:rFonts w:eastAsia="Times New Roman"/>
          <w:szCs w:val="24"/>
        </w:rPr>
        <w:t xml:space="preserve">Mr. Jason </w:t>
      </w:r>
      <w:r w:rsidRPr="00102A19">
        <w:rPr>
          <w:rFonts w:eastAsia="Times New Roman"/>
          <w:szCs w:val="24"/>
        </w:rPr>
        <w:t>Glass with the state of Kentucky recommends</w:t>
      </w:r>
      <w:r>
        <w:rPr>
          <w:rFonts w:eastAsia="Times New Roman"/>
          <w:szCs w:val="24"/>
        </w:rPr>
        <w:t xml:space="preserve"> an editorial change with section 6.3.X  (f). To edit “conference” to “council” within the section.</w:t>
      </w:r>
    </w:p>
    <w:p w14:paraId="7C0FB057" w14:textId="77777777" w:rsidR="00D55B0D" w:rsidRDefault="00D55B0D" w:rsidP="00D55B0D">
      <w:pPr>
        <w:ind w:left="360"/>
        <w:jc w:val="left"/>
        <w:rPr>
          <w:b/>
          <w:bCs/>
          <w:szCs w:val="20"/>
          <w:u w:val="single"/>
        </w:rPr>
      </w:pPr>
      <w:r w:rsidRPr="002C05E0">
        <w:rPr>
          <w:b/>
          <w:bCs/>
          <w:szCs w:val="20"/>
          <w:u w:val="single"/>
        </w:rPr>
        <w:t xml:space="preserve">6.3.X Dynamic QR Code – </w:t>
      </w:r>
    </w:p>
    <w:p w14:paraId="00ECE189" w14:textId="77777777" w:rsidR="00D55B0D" w:rsidRPr="00CF59D2" w:rsidRDefault="00D55B0D" w:rsidP="00D55B0D">
      <w:pPr>
        <w:ind w:left="360"/>
        <w:jc w:val="left"/>
        <w:rPr>
          <w:b/>
          <w:bCs/>
          <w:szCs w:val="20"/>
          <w:u w:val="single"/>
        </w:rPr>
      </w:pPr>
      <w:r w:rsidRPr="002C05E0">
        <w:rPr>
          <w:b/>
          <w:bCs/>
          <w:szCs w:val="20"/>
          <w:u w:val="single"/>
        </w:rPr>
        <w:t xml:space="preserve">(f) Exemptions: Food and beverage consumer packages exempt from this requirement include those with a net weight or volume less than 10 grams or 10 milliliters, or as otherwise determined by the National </w:t>
      </w:r>
      <w:r w:rsidRPr="009201DC">
        <w:rPr>
          <w:b/>
          <w:bCs/>
          <w:strike/>
          <w:szCs w:val="20"/>
          <w:u w:val="single"/>
        </w:rPr>
        <w:t>Conference</w:t>
      </w:r>
      <w:r w:rsidRPr="002C05E0">
        <w:rPr>
          <w:b/>
          <w:bCs/>
          <w:szCs w:val="20"/>
          <w:u w:val="single"/>
        </w:rPr>
        <w:t xml:space="preserve"> </w:t>
      </w:r>
      <w:r>
        <w:rPr>
          <w:b/>
          <w:bCs/>
          <w:szCs w:val="20"/>
          <w:u w:val="single"/>
        </w:rPr>
        <w:t xml:space="preserve">Council </w:t>
      </w:r>
      <w:r w:rsidRPr="002C05E0">
        <w:rPr>
          <w:b/>
          <w:bCs/>
          <w:szCs w:val="20"/>
          <w:u w:val="single"/>
        </w:rPr>
        <w:t>on Weights and Measures, where labeling space constraints render compliance impractical.</w:t>
      </w:r>
      <w:r>
        <w:rPr>
          <w:rFonts w:eastAsia="Times New Roman"/>
          <w:szCs w:val="24"/>
        </w:rPr>
        <w:t xml:space="preserve">                </w:t>
      </w:r>
    </w:p>
    <w:p w14:paraId="16E1E143" w14:textId="61A3B726" w:rsidR="00D55B0D" w:rsidRPr="00D55B0D" w:rsidRDefault="00D55B0D" w:rsidP="00A00510">
      <w:pPr>
        <w:spacing w:after="0"/>
        <w:rPr>
          <w:rFonts w:eastAsia="Times New Roman"/>
          <w:szCs w:val="24"/>
        </w:rPr>
      </w:pPr>
      <w:r>
        <w:rPr>
          <w:rFonts w:eastAsia="Times New Roman"/>
          <w:szCs w:val="24"/>
        </w:rPr>
        <w:t>The Committee has referenced the recommended editorial changes to this item and based on the comments made from the floor, believes this item has merit and recommends Developing status.</w:t>
      </w:r>
    </w:p>
    <w:p w14:paraId="2425258C" w14:textId="77777777" w:rsidR="00A00510" w:rsidRPr="00A00510" w:rsidRDefault="00A00510" w:rsidP="00A00510">
      <w:pPr>
        <w:spacing w:after="0"/>
        <w:rPr>
          <w:rFonts w:eastAsia="Times New Roman"/>
          <w:szCs w:val="24"/>
        </w:rPr>
      </w:pPr>
    </w:p>
    <w:p w14:paraId="090DA0A7" w14:textId="77777777" w:rsidR="002C05E0" w:rsidRDefault="002C05E0" w:rsidP="002C05E0">
      <w:r>
        <w:t xml:space="preserve">Additional letters, presentation and data may have been submitted for consideration with this item.  Please refer to </w:t>
      </w:r>
      <w:hyperlink r:id="rId12" w:history="1">
        <w:r w:rsidRPr="002A1164">
          <w:rPr>
            <w:rStyle w:val="Hyperlink"/>
          </w:rPr>
          <w:t>https://www.ncwm.com/publication-15</w:t>
        </w:r>
      </w:hyperlink>
      <w:r>
        <w:t xml:space="preserve"> to review these documents.</w:t>
      </w:r>
    </w:p>
    <w:p w14:paraId="50692108" w14:textId="34C66950" w:rsidR="002F4E07" w:rsidRDefault="002F4E07" w:rsidP="005F1929">
      <w:pPr>
        <w:pStyle w:val="Heading1"/>
      </w:pPr>
      <w:bookmarkStart w:id="43" w:name="_Toc224019614"/>
      <w:r>
        <w:t>MOS – uniform regulation for the Method of Sale of commodities</w:t>
      </w:r>
      <w:bookmarkEnd w:id="43"/>
    </w:p>
    <w:p w14:paraId="70FA06F8" w14:textId="2B7250D6" w:rsidR="002F4E07" w:rsidRPr="003C355F" w:rsidRDefault="002F4E07" w:rsidP="005F1929">
      <w:pPr>
        <w:pStyle w:val="ItemHeading"/>
      </w:pPr>
      <w:bookmarkStart w:id="44" w:name="_Toc224019615"/>
      <w:r>
        <w:t>MOS-24.2</w:t>
      </w:r>
      <w:r w:rsidRPr="003C355F">
        <w:t xml:space="preserve"> </w:t>
      </w:r>
      <w:r w:rsidRPr="003C355F">
        <w:tab/>
      </w:r>
      <w:r w:rsidR="0080355C">
        <w:t>V</w:t>
      </w:r>
      <w:r w:rsidRPr="003C355F">
        <w:tab/>
      </w:r>
      <w:r>
        <w:t>2.16.3.1. Tare Weights</w:t>
      </w:r>
      <w:r w:rsidR="000E02AA">
        <w:t>, Part</w:t>
      </w:r>
      <w:r>
        <w:t xml:space="preserve"> (c) Allowable difference.</w:t>
      </w:r>
      <w:bookmarkEnd w:id="44"/>
    </w:p>
    <w:p w14:paraId="323359FA" w14:textId="77777777" w:rsidR="002F4E07" w:rsidRPr="00E025F9" w:rsidRDefault="002F4E07" w:rsidP="005F1929">
      <w:pPr>
        <w:keepNext/>
        <w:keepLines/>
        <w:spacing w:after="0"/>
        <w:rPr>
          <w:b/>
        </w:rPr>
      </w:pPr>
      <w:r w:rsidRPr="00E025F9">
        <w:rPr>
          <w:b/>
        </w:rPr>
        <w:t>Source:</w:t>
      </w:r>
    </w:p>
    <w:p w14:paraId="770F9CE4" w14:textId="17420CB0" w:rsidR="002F4E07" w:rsidRDefault="002F4E07" w:rsidP="005F1929">
      <w:pPr>
        <w:keepNext/>
        <w:keepLines/>
      </w:pPr>
      <w:r>
        <w:t>National Propane Gas Association</w:t>
      </w:r>
    </w:p>
    <w:p w14:paraId="2D02C533" w14:textId="77777777" w:rsidR="002F4E07" w:rsidRPr="00E025F9" w:rsidRDefault="002F4E07" w:rsidP="005E3AFA">
      <w:pPr>
        <w:keepNext/>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45"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45"/>
    </w:p>
    <w:p w14:paraId="1CD5B667" w14:textId="7EE42D3F" w:rsidR="004913B3" w:rsidRDefault="00FF4EEA" w:rsidP="007C4507">
      <w:pPr>
        <w:spacing w:before="40"/>
        <w:ind w:left="252"/>
        <w:rPr>
          <w:b/>
          <w:szCs w:val="20"/>
        </w:rPr>
      </w:pPr>
      <w:r w:rsidRPr="00FF4EEA">
        <w:rPr>
          <w:b/>
          <w:szCs w:val="20"/>
        </w:rPr>
        <w:t>…</w:t>
      </w:r>
    </w:p>
    <w:p w14:paraId="035D2C0C" w14:textId="77777777" w:rsidR="001F5BC2" w:rsidRPr="00052688" w:rsidRDefault="001F5BC2" w:rsidP="001F5BC2">
      <w:pPr>
        <w:spacing w:line="239" w:lineRule="auto"/>
        <w:ind w:left="720" w:right="56" w:hanging="360"/>
        <w:rPr>
          <w:rFonts w:ascii="Calibri" w:hAnsi="Calibri" w:cs="Calibri"/>
          <w:color w:val="000000"/>
          <w:kern w:val="2"/>
          <w:sz w:val="22"/>
          <w:szCs w:val="24"/>
          <w14:ligatures w14:val="standardContextual"/>
        </w:rPr>
      </w:pPr>
      <w:r w:rsidRPr="004C7B72">
        <w:rPr>
          <w:rFonts w:eastAsia="Times New Roman"/>
          <w:color w:val="000000"/>
          <w:kern w:val="2"/>
          <w:sz w:val="22"/>
          <w:szCs w:val="24"/>
          <w14:ligatures w14:val="standardContextual"/>
        </w:rPr>
        <w:t xml:space="preserve">(c) </w:t>
      </w:r>
      <w:r w:rsidRPr="004C7B72">
        <w:rPr>
          <w:rFonts w:eastAsia="Times New Roman"/>
          <w:b/>
          <w:color w:val="000000"/>
          <w:kern w:val="2"/>
          <w:sz w:val="22"/>
          <w:szCs w:val="24"/>
          <w14:ligatures w14:val="standardContextual"/>
        </w:rPr>
        <w:t xml:space="preserve">Allowable difference. </w:t>
      </w:r>
      <w:r w:rsidRPr="004C7B72">
        <w:rPr>
          <w:rFonts w:eastAsia="Times New Roman"/>
          <w:color w:val="000000"/>
          <w:kern w:val="2"/>
          <w:sz w:val="22"/>
          <w:szCs w:val="24"/>
          <w14:ligatures w14:val="standardContextual"/>
        </w:rPr>
        <w:t>–  If the stamped or stenciled tare is used to determine the net contents of the cylinder</w:t>
      </w:r>
      <w:r w:rsidRPr="00B530E4">
        <w:rPr>
          <w:rFonts w:eastAsia="Times New Roman"/>
          <w:strike/>
          <w:color w:val="000000"/>
          <w:kern w:val="2"/>
          <w:sz w:val="22"/>
          <w:szCs w:val="24"/>
          <w14:ligatures w14:val="standardContextual"/>
        </w:rPr>
        <w:t xml:space="preserve">, the allowable difference between the actual tare weight and the stamped (or stenciled) tare weight, or the tare weight on a tag attached to the cylinder </w:t>
      </w:r>
      <w:r w:rsidRPr="003A6BC5">
        <w:rPr>
          <w:rFonts w:eastAsia="Times New Roman"/>
          <w:b/>
          <w:strike/>
          <w:color w:val="000000"/>
          <w:kern w:val="2"/>
          <w:sz w:val="22"/>
          <w:szCs w:val="24"/>
          <w14:ligatures w14:val="standardContextual"/>
        </w:rPr>
        <w:t>for a new or used</w:t>
      </w:r>
      <w:r w:rsidRPr="00052688">
        <w:rPr>
          <w:rFonts w:eastAsia="Times New Roman"/>
          <w:b/>
          <w:color w:val="000000"/>
          <w:kern w:val="2"/>
          <w:sz w:val="22"/>
          <w:szCs w:val="24"/>
          <w14:ligatures w14:val="standardContextual"/>
        </w:rPr>
        <w:t xml:space="preserve"> </w:t>
      </w:r>
      <w:r w:rsidRPr="00C8624A">
        <w:rPr>
          <w:rFonts w:eastAsia="Times New Roman"/>
          <w:b/>
          <w:strike/>
          <w:color w:val="000000"/>
          <w:kern w:val="2"/>
          <w:sz w:val="22"/>
          <w:szCs w:val="24"/>
          <w14:ligatures w14:val="standardContextual"/>
        </w:rPr>
        <w:t>cylinder, shall be within</w:t>
      </w:r>
      <w:r w:rsidRPr="00052688">
        <w:rPr>
          <w:rFonts w:eastAsia="Times New Roman"/>
          <w:color w:val="000000"/>
          <w:kern w:val="2"/>
          <w:sz w:val="22"/>
          <w:szCs w:val="24"/>
          <w14:ligatures w14:val="standardContextual"/>
        </w:rPr>
        <w:t xml:space="preserve">: </w:t>
      </w:r>
    </w:p>
    <w:p w14:paraId="286F825B" w14:textId="77777777" w:rsidR="001F5BC2" w:rsidRPr="00B530E4" w:rsidRDefault="001F5BC2" w:rsidP="001F5BC2">
      <w:pPr>
        <w:spacing w:line="239" w:lineRule="auto"/>
        <w:ind w:left="720" w:right="56" w:hanging="360"/>
        <w:rPr>
          <w:rFonts w:ascii="Calibri" w:hAnsi="Calibri" w:cs="Calibri"/>
          <w:strike/>
          <w:color w:val="000000"/>
          <w:kern w:val="2"/>
          <w:szCs w:val="20"/>
          <w14:ligatures w14:val="standardContextual"/>
        </w:rPr>
      </w:pPr>
      <w:r>
        <w:rPr>
          <w:rFonts w:eastAsia="Times New Roman"/>
          <w:szCs w:val="24"/>
        </w:rPr>
        <w:t xml:space="preserve">             </w:t>
      </w:r>
      <w:r w:rsidRPr="00B530E4">
        <w:rPr>
          <w:rFonts w:eastAsia="Times New Roman"/>
          <w:b/>
          <w:bCs/>
          <w:strike/>
          <w:szCs w:val="24"/>
          <w:u w:val="single"/>
        </w:rPr>
        <w:t>(1)</w:t>
      </w:r>
      <w:r w:rsidRPr="00B530E4">
        <w:rPr>
          <w:rFonts w:eastAsia="Times New Roman"/>
          <w:strike/>
          <w:szCs w:val="24"/>
        </w:rPr>
        <w:t xml:space="preserve"> </w:t>
      </w:r>
      <w:r w:rsidRPr="00B530E4">
        <w:rPr>
          <w:rFonts w:eastAsia="Times New Roman"/>
          <w:b/>
          <w:strike/>
          <w:color w:val="000000"/>
          <w:kern w:val="2"/>
          <w:szCs w:val="20"/>
          <w:u w:val="single" w:color="000000"/>
          <w14:ligatures w14:val="standardContextual"/>
        </w:rPr>
        <w:t>For cylinders manufactured prior to December 28, 2022, shall be within:</w:t>
      </w:r>
      <w:r w:rsidRPr="00B530E4">
        <w:rPr>
          <w:rFonts w:eastAsia="Times New Roman"/>
          <w:b/>
          <w:strike/>
          <w:color w:val="000000"/>
          <w:kern w:val="2"/>
          <w:szCs w:val="20"/>
          <w14:ligatures w14:val="standardContextual"/>
        </w:rPr>
        <w:t xml:space="preserve"> </w:t>
      </w:r>
    </w:p>
    <w:p w14:paraId="58E8A729" w14:textId="77777777" w:rsidR="001F5BC2" w:rsidRPr="00B530E4" w:rsidRDefault="001F5BC2" w:rsidP="001F5BC2">
      <w:pPr>
        <w:spacing w:after="112" w:line="366" w:lineRule="auto"/>
        <w:ind w:left="1080" w:right="2428"/>
        <w:rPr>
          <w:rFonts w:eastAsia="Times New Roman"/>
          <w:b/>
          <w:strike/>
          <w:color w:val="000000"/>
          <w:kern w:val="2"/>
          <w:szCs w:val="20"/>
          <w14:ligatures w14:val="standardContextual"/>
        </w:rPr>
      </w:pPr>
      <w:r w:rsidRPr="00B530E4">
        <w:rPr>
          <w:rFonts w:eastAsia="Times New Roman"/>
          <w:bCs/>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 xml:space="preserve"> i. </w:t>
      </w:r>
      <w:r w:rsidRPr="00B530E4">
        <w:rPr>
          <w:rFonts w:eastAsia="Times New Roman"/>
          <w:b/>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 xml:space="preserve"> </w:t>
      </w:r>
      <w:r w:rsidRPr="00B530E4">
        <w:rPr>
          <w:rFonts w:eastAsia="Times New Roman"/>
          <w:b/>
          <w:strike/>
          <w:color w:val="000000"/>
          <w:kern w:val="2"/>
          <w:szCs w:val="20"/>
          <w:u w:val="single"/>
          <w:vertAlign w:val="superscript"/>
          <w14:ligatures w14:val="standardContextual"/>
        </w:rPr>
        <w:t>1</w:t>
      </w:r>
      <w:r w:rsidRPr="00B530E4">
        <w:rPr>
          <w:rFonts w:eastAsia="Times New Roman"/>
          <w:b/>
          <w:strike/>
          <w:color w:val="000000"/>
          <w:kern w:val="2"/>
          <w:szCs w:val="20"/>
          <w:u w:val="single" w:color="000000"/>
          <w14:ligatures w14:val="standardContextual"/>
        </w:rPr>
        <w:t>/</w:t>
      </w:r>
      <w:r w:rsidRPr="00B530E4">
        <w:rPr>
          <w:rFonts w:eastAsia="Times New Roman"/>
          <w:b/>
          <w:strike/>
          <w:color w:val="000000"/>
          <w:kern w:val="2"/>
          <w:szCs w:val="20"/>
          <w:u w:val="single" w:color="000000"/>
          <w:vertAlign w:val="subscript"/>
          <w14:ligatures w14:val="standardContextual"/>
        </w:rPr>
        <w:t>2</w:t>
      </w:r>
      <w:r w:rsidRPr="00B530E4">
        <w:rPr>
          <w:rFonts w:eastAsia="Times New Roman"/>
          <w:b/>
          <w:strike/>
          <w:color w:val="000000"/>
          <w:kern w:val="2"/>
          <w:szCs w:val="20"/>
          <w:u w:val="single" w:color="000000"/>
          <w14:ligatures w14:val="standardContextual"/>
        </w:rPr>
        <w:t xml:space="preserve"> </w:t>
      </w:r>
      <w:r w:rsidRPr="00B530E4">
        <w:rPr>
          <w:rFonts w:eastAsia="Times New Roman"/>
          <w:b/>
          <w:strike/>
          <w:color w:val="000000"/>
          <w:kern w:val="2"/>
          <w:szCs w:val="20"/>
          <w:u w:val="single" w:color="000000"/>
          <w:vertAlign w:val="subscript"/>
          <w14:ligatures w14:val="standardContextual"/>
        </w:rPr>
        <w:t xml:space="preserve"> </w:t>
      </w:r>
      <w:r w:rsidRPr="00B530E4">
        <w:rPr>
          <w:rFonts w:eastAsia="Times New Roman"/>
          <w:b/>
          <w:strike/>
          <w:color w:val="000000"/>
          <w:kern w:val="2"/>
          <w:szCs w:val="20"/>
          <w:u w:val="single" w:color="000000"/>
          <w14:ligatures w14:val="standardContextual"/>
        </w:rPr>
        <w:t>% for tare weights of 9 kg (20 lb) or less; or</w:t>
      </w:r>
      <w:r w:rsidRPr="00B530E4">
        <w:rPr>
          <w:rFonts w:eastAsia="Times New Roman"/>
          <w:b/>
          <w:strike/>
          <w:color w:val="000000"/>
          <w:kern w:val="2"/>
          <w:szCs w:val="20"/>
          <w14:ligatures w14:val="standardContextual"/>
        </w:rPr>
        <w:t xml:space="preserve"> </w:t>
      </w:r>
    </w:p>
    <w:p w14:paraId="7061C262" w14:textId="77777777" w:rsidR="001F5BC2" w:rsidRDefault="001F5BC2" w:rsidP="001F5BC2">
      <w:pPr>
        <w:spacing w:after="112" w:line="366" w:lineRule="auto"/>
        <w:ind w:left="1080" w:right="2428"/>
        <w:rPr>
          <w:rFonts w:eastAsia="Times New Roman"/>
          <w:b/>
          <w:strike/>
          <w:color w:val="000000"/>
          <w:kern w:val="2"/>
          <w:szCs w:val="20"/>
          <w14:ligatures w14:val="standardContextual"/>
        </w:rPr>
      </w:pPr>
      <w:r w:rsidRPr="00B530E4">
        <w:rPr>
          <w:rFonts w:eastAsia="Times New Roman"/>
          <w:bCs/>
          <w:strike/>
          <w:color w:val="000000"/>
          <w:kern w:val="2"/>
          <w:szCs w:val="20"/>
          <w14:ligatures w14:val="standardContextual"/>
        </w:rPr>
        <w:t xml:space="preserve">  </w:t>
      </w:r>
      <w:r w:rsidRPr="00B530E4">
        <w:rPr>
          <w:rFonts w:eastAsia="Times New Roman"/>
          <w:b/>
          <w:strike/>
          <w:color w:val="000000"/>
          <w:kern w:val="2"/>
          <w:szCs w:val="20"/>
          <w:u w:val="single"/>
          <w14:ligatures w14:val="standardContextual"/>
        </w:rPr>
        <w:t xml:space="preserve"> ii</w:t>
      </w:r>
      <w:r w:rsidRPr="00B530E4">
        <w:rPr>
          <w:rFonts w:eastAsia="Times New Roman"/>
          <w:b/>
          <w:strike/>
          <w:color w:val="000000"/>
          <w:kern w:val="2"/>
          <w:szCs w:val="20"/>
          <w:u w:val="single" w:color="000000"/>
          <w14:ligatures w14:val="standardContextual"/>
        </w:rPr>
        <w:t>.</w:t>
      </w:r>
      <w:r w:rsidRPr="00B530E4">
        <w:rPr>
          <w:rFonts w:eastAsia="Times New Roman"/>
          <w:b/>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 xml:space="preserve"> </w:t>
      </w:r>
      <w:r w:rsidRPr="00B530E4">
        <w:rPr>
          <w:rFonts w:eastAsia="Times New Roman"/>
          <w:b/>
          <w:strike/>
          <w:color w:val="000000"/>
          <w:kern w:val="2"/>
          <w:szCs w:val="20"/>
          <w:u w:val="single"/>
          <w:vertAlign w:val="superscript"/>
          <w14:ligatures w14:val="standardContextual"/>
        </w:rPr>
        <w:t>1</w:t>
      </w:r>
      <w:r w:rsidRPr="00B530E4">
        <w:rPr>
          <w:rFonts w:eastAsia="Times New Roman"/>
          <w:b/>
          <w:strike/>
          <w:color w:val="000000"/>
          <w:kern w:val="2"/>
          <w:szCs w:val="20"/>
          <w:u w:val="single" w:color="000000"/>
          <w14:ligatures w14:val="standardContextual"/>
        </w:rPr>
        <w:t>/</w:t>
      </w:r>
      <w:r w:rsidRPr="00B530E4">
        <w:rPr>
          <w:rFonts w:eastAsia="Times New Roman"/>
          <w:b/>
          <w:strike/>
          <w:color w:val="000000"/>
          <w:kern w:val="2"/>
          <w:szCs w:val="20"/>
          <w:u w:val="single" w:color="000000"/>
          <w:vertAlign w:val="subscript"/>
          <w14:ligatures w14:val="standardContextual"/>
        </w:rPr>
        <w:t>4</w:t>
      </w:r>
      <w:r w:rsidRPr="00B530E4">
        <w:rPr>
          <w:rFonts w:eastAsia="Times New Roman"/>
          <w:b/>
          <w:strike/>
          <w:color w:val="000000"/>
          <w:kern w:val="2"/>
          <w:szCs w:val="20"/>
          <w:u w:val="single" w:color="000000"/>
          <w14:ligatures w14:val="standardContextual"/>
        </w:rPr>
        <w:t xml:space="preserve"> </w:t>
      </w:r>
      <w:r w:rsidRPr="00B530E4">
        <w:rPr>
          <w:rFonts w:eastAsia="Times New Roman"/>
          <w:b/>
          <w:strike/>
          <w:color w:val="000000"/>
          <w:kern w:val="2"/>
          <w:szCs w:val="20"/>
          <w:u w:val="single" w:color="000000"/>
          <w:vertAlign w:val="subscript"/>
          <w14:ligatures w14:val="standardContextual"/>
        </w:rPr>
        <w:t xml:space="preserve"> </w:t>
      </w:r>
      <w:r w:rsidRPr="00B530E4">
        <w:rPr>
          <w:rFonts w:eastAsia="Times New Roman"/>
          <w:b/>
          <w:strike/>
          <w:color w:val="000000"/>
          <w:kern w:val="2"/>
          <w:szCs w:val="20"/>
          <w:u w:val="single" w:color="000000"/>
          <w14:ligatures w14:val="standardContextual"/>
        </w:rPr>
        <w:t>% for tare weights of more than 9 kg (20 lb).</w:t>
      </w:r>
      <w:r w:rsidRPr="00B530E4">
        <w:rPr>
          <w:rFonts w:eastAsia="Times New Roman"/>
          <w:b/>
          <w:strike/>
          <w:color w:val="000000"/>
          <w:kern w:val="2"/>
          <w:szCs w:val="20"/>
          <w14:ligatures w14:val="standardContextual"/>
        </w:rPr>
        <w:t xml:space="preserve"> </w:t>
      </w:r>
    </w:p>
    <w:p w14:paraId="217D2CB9" w14:textId="305182F0" w:rsidR="002F2132" w:rsidRPr="00B530E4" w:rsidRDefault="00DE23F5" w:rsidP="00DE23F5">
      <w:pPr>
        <w:pStyle w:val="ListParagraph"/>
        <w:numPr>
          <w:ilvl w:val="0"/>
          <w:numId w:val="47"/>
        </w:numPr>
        <w:spacing w:after="112" w:line="366" w:lineRule="auto"/>
        <w:ind w:right="2428"/>
        <w:rPr>
          <w:b/>
          <w:bCs/>
          <w:color w:val="000000"/>
          <w:kern w:val="2"/>
          <w:szCs w:val="20"/>
          <w14:ligatures w14:val="standardContextual"/>
        </w:rPr>
      </w:pPr>
      <w:r w:rsidRPr="00B530E4">
        <w:rPr>
          <w:b/>
          <w:bCs/>
          <w:color w:val="000000"/>
          <w:kern w:val="2"/>
          <w:szCs w:val="20"/>
          <w:u w:val="single"/>
          <w14:ligatures w14:val="standardContextual"/>
        </w:rPr>
        <w:lastRenderedPageBreak/>
        <w:t>The allowable difference between the actual tare weight and the stamped</w:t>
      </w:r>
      <w:r w:rsidR="004F74CC" w:rsidRPr="00B530E4">
        <w:rPr>
          <w:b/>
          <w:bCs/>
          <w:color w:val="000000"/>
          <w:kern w:val="2"/>
          <w:szCs w:val="20"/>
          <w:u w:val="single"/>
          <w14:ligatures w14:val="standardContextual"/>
        </w:rPr>
        <w:t xml:space="preserve"> (or stenciled) tare weight, or the tare weight on a tag attached to the cylinder for a new or used cylinder manufactured prior to </w:t>
      </w:r>
      <w:r w:rsidR="009A3B65" w:rsidRPr="009A3B65">
        <w:rPr>
          <w:b/>
          <w:bCs/>
          <w:color w:val="000000"/>
          <w:kern w:val="2"/>
          <w:szCs w:val="20"/>
          <w:u w:val="single"/>
          <w14:ligatures w14:val="standardContextual"/>
        </w:rPr>
        <w:t>December</w:t>
      </w:r>
      <w:r w:rsidR="004F74CC" w:rsidRPr="00B530E4">
        <w:rPr>
          <w:b/>
          <w:bCs/>
          <w:color w:val="000000"/>
          <w:kern w:val="2"/>
          <w:szCs w:val="20"/>
          <w:u w:val="single"/>
          <w14:ligatures w14:val="standardContextual"/>
        </w:rPr>
        <w:t xml:space="preserve"> </w:t>
      </w:r>
      <w:r w:rsidR="004B0A92" w:rsidRPr="00B530E4">
        <w:rPr>
          <w:b/>
          <w:bCs/>
          <w:color w:val="000000"/>
          <w:kern w:val="2"/>
          <w:szCs w:val="20"/>
          <w:u w:val="single"/>
          <w14:ligatures w14:val="standardContextual"/>
        </w:rPr>
        <w:t>28, 2022</w:t>
      </w:r>
      <w:r w:rsidR="00A81AC2">
        <w:rPr>
          <w:b/>
          <w:bCs/>
          <w:color w:val="000000"/>
          <w:kern w:val="2"/>
          <w:szCs w:val="20"/>
          <w:u w:val="single"/>
          <w14:ligatures w14:val="standardContextual"/>
        </w:rPr>
        <w:t>,</w:t>
      </w:r>
      <w:r w:rsidR="004B0A92" w:rsidRPr="00B530E4">
        <w:rPr>
          <w:b/>
          <w:bCs/>
          <w:color w:val="000000"/>
          <w:kern w:val="2"/>
          <w:szCs w:val="20"/>
          <w:u w:val="single"/>
          <w14:ligatures w14:val="standardContextual"/>
        </w:rPr>
        <w:t xml:space="preserve"> shall be within:</w:t>
      </w:r>
    </w:p>
    <w:p w14:paraId="481F09EA" w14:textId="6DBCC73D" w:rsidR="00DD5C8D" w:rsidRPr="00B530E4" w:rsidRDefault="00DD5C8D" w:rsidP="00DD5C8D">
      <w:pPr>
        <w:spacing w:after="112" w:line="366" w:lineRule="auto"/>
        <w:ind w:left="1080" w:right="2428"/>
        <w:rPr>
          <w:rFonts w:eastAsia="Times New Roman"/>
          <w:b/>
          <w:color w:val="000000"/>
          <w:kern w:val="2"/>
          <w:szCs w:val="20"/>
          <w14:ligatures w14:val="standardContextual"/>
        </w:rPr>
      </w:pPr>
      <w:r w:rsidRPr="00B530E4">
        <w:rPr>
          <w:rFonts w:eastAsia="Times New Roman"/>
          <w:bCs/>
          <w:color w:val="000000"/>
          <w:kern w:val="2"/>
          <w:szCs w:val="20"/>
          <w14:ligatures w14:val="standardContextual"/>
        </w:rPr>
        <w:t xml:space="preserve">   </w:t>
      </w:r>
      <w:r w:rsidRPr="00B530E4">
        <w:rPr>
          <w:rFonts w:eastAsia="Times New Roman"/>
          <w:b/>
          <w:color w:val="000000"/>
          <w:kern w:val="2"/>
          <w:szCs w:val="20"/>
          <w:u w:val="single" w:color="000000"/>
          <w14:ligatures w14:val="standardContextual"/>
        </w:rPr>
        <w:t xml:space="preserve"> i. </w:t>
      </w:r>
      <w:r w:rsidRPr="00B530E4">
        <w:rPr>
          <w:rFonts w:eastAsia="Times New Roman"/>
          <w:b/>
          <w:color w:val="000000"/>
          <w:kern w:val="2"/>
          <w:szCs w:val="20"/>
          <w14:ligatures w14:val="standardContextual"/>
        </w:rPr>
        <w:t xml:space="preserve">     </w:t>
      </w:r>
      <w:r w:rsidRPr="00B530E4">
        <w:rPr>
          <w:rFonts w:eastAsia="Times New Roman"/>
          <w:b/>
          <w:color w:val="000000"/>
          <w:kern w:val="2"/>
          <w:szCs w:val="20"/>
          <w:u w:val="single" w:color="000000"/>
          <w14:ligatures w14:val="standardContextual"/>
        </w:rPr>
        <w:t xml:space="preserve"> </w:t>
      </w:r>
      <w:r w:rsidRPr="00B530E4">
        <w:rPr>
          <w:rFonts w:eastAsia="Times New Roman"/>
          <w:b/>
          <w:color w:val="000000"/>
          <w:kern w:val="2"/>
          <w:szCs w:val="20"/>
          <w:u w:val="single"/>
          <w:vertAlign w:val="superscript"/>
          <w14:ligatures w14:val="standardContextual"/>
        </w:rPr>
        <w:t>1</w:t>
      </w:r>
      <w:r w:rsidRPr="00B530E4">
        <w:rPr>
          <w:rFonts w:eastAsia="Times New Roman"/>
          <w:b/>
          <w:color w:val="000000"/>
          <w:kern w:val="2"/>
          <w:szCs w:val="20"/>
          <w:u w:val="single" w:color="000000"/>
          <w14:ligatures w14:val="standardContextual"/>
        </w:rPr>
        <w:t>/</w:t>
      </w:r>
      <w:r w:rsidRPr="00B530E4">
        <w:rPr>
          <w:rFonts w:eastAsia="Times New Roman"/>
          <w:b/>
          <w:color w:val="000000"/>
          <w:kern w:val="2"/>
          <w:szCs w:val="20"/>
          <w:u w:val="single" w:color="000000"/>
          <w:vertAlign w:val="subscript"/>
          <w14:ligatures w14:val="standardContextual"/>
        </w:rPr>
        <w:t>2</w:t>
      </w:r>
      <w:r w:rsidRPr="00B530E4">
        <w:rPr>
          <w:rFonts w:eastAsia="Times New Roman"/>
          <w:b/>
          <w:color w:val="000000"/>
          <w:kern w:val="2"/>
          <w:szCs w:val="20"/>
          <w:u w:val="single" w:color="000000"/>
          <w14:ligatures w14:val="standardContextual"/>
        </w:rPr>
        <w:t xml:space="preserve"> </w:t>
      </w:r>
      <w:r w:rsidRPr="00B530E4">
        <w:rPr>
          <w:rFonts w:eastAsia="Times New Roman"/>
          <w:b/>
          <w:color w:val="000000"/>
          <w:kern w:val="2"/>
          <w:szCs w:val="20"/>
          <w:u w:val="single" w:color="000000"/>
          <w:vertAlign w:val="subscript"/>
          <w14:ligatures w14:val="standardContextual"/>
        </w:rPr>
        <w:t xml:space="preserve"> </w:t>
      </w:r>
      <w:r w:rsidRPr="00B530E4">
        <w:rPr>
          <w:rFonts w:eastAsia="Times New Roman"/>
          <w:b/>
          <w:color w:val="000000"/>
          <w:kern w:val="2"/>
          <w:szCs w:val="20"/>
          <w:u w:val="single" w:color="000000"/>
          <w14:ligatures w14:val="standardContextual"/>
        </w:rPr>
        <w:t xml:space="preserve">% for tare weights </w:t>
      </w:r>
      <w:r w:rsidR="00F04822">
        <w:rPr>
          <w:rFonts w:eastAsia="Times New Roman"/>
          <w:b/>
          <w:color w:val="000000"/>
          <w:kern w:val="2"/>
          <w:szCs w:val="20"/>
          <w:u w:val="single" w:color="000000"/>
          <w14:ligatures w14:val="standardContextual"/>
        </w:rPr>
        <w:t xml:space="preserve">of </w:t>
      </w:r>
      <w:r w:rsidRPr="00B530E4">
        <w:rPr>
          <w:rFonts w:eastAsia="Times New Roman"/>
          <w:b/>
          <w:color w:val="000000"/>
          <w:kern w:val="2"/>
          <w:szCs w:val="20"/>
          <w:u w:val="single" w:color="000000"/>
          <w14:ligatures w14:val="standardContextual"/>
        </w:rPr>
        <w:t>9 kg (20 lb</w:t>
      </w:r>
      <w:r w:rsidR="00A81AC2">
        <w:rPr>
          <w:rFonts w:eastAsia="Times New Roman"/>
          <w:b/>
          <w:color w:val="000000"/>
          <w:kern w:val="2"/>
          <w:szCs w:val="20"/>
          <w:u w:val="single" w:color="000000"/>
          <w14:ligatures w14:val="standardContextual"/>
        </w:rPr>
        <w:t>.</w:t>
      </w:r>
      <w:r w:rsidRPr="00B530E4">
        <w:rPr>
          <w:rFonts w:eastAsia="Times New Roman"/>
          <w:b/>
          <w:color w:val="000000"/>
          <w:kern w:val="2"/>
          <w:szCs w:val="20"/>
          <w:u w:val="single" w:color="000000"/>
          <w14:ligatures w14:val="standardContextual"/>
        </w:rPr>
        <w:t>)</w:t>
      </w:r>
      <w:r w:rsidR="00191FF9">
        <w:rPr>
          <w:rFonts w:eastAsia="Times New Roman"/>
          <w:b/>
          <w:color w:val="000000"/>
          <w:kern w:val="2"/>
          <w:szCs w:val="20"/>
          <w:u w:val="single" w:color="000000"/>
          <w14:ligatures w14:val="standardContextual"/>
        </w:rPr>
        <w:t xml:space="preserve"> or less</w:t>
      </w:r>
      <w:r w:rsidRPr="00B530E4">
        <w:rPr>
          <w:rFonts w:eastAsia="Times New Roman"/>
          <w:b/>
          <w:color w:val="000000"/>
          <w:kern w:val="2"/>
          <w:szCs w:val="20"/>
          <w:u w:val="single" w:color="000000"/>
          <w14:ligatures w14:val="standardContextual"/>
        </w:rPr>
        <w:t xml:space="preserve"> </w:t>
      </w:r>
      <w:r w:rsidR="0048549C">
        <w:rPr>
          <w:rFonts w:eastAsia="Times New Roman"/>
          <w:b/>
          <w:color w:val="000000"/>
          <w:kern w:val="2"/>
          <w:szCs w:val="20"/>
          <w:u w:val="single" w:color="000000"/>
          <w14:ligatures w14:val="standardContextual"/>
        </w:rPr>
        <w:t xml:space="preserve">cylinders </w:t>
      </w:r>
      <w:r w:rsidRPr="00B530E4">
        <w:rPr>
          <w:rFonts w:eastAsia="Times New Roman"/>
          <w:b/>
          <w:color w:val="000000"/>
          <w:kern w:val="2"/>
          <w:szCs w:val="20"/>
          <w:u w:val="single" w:color="000000"/>
          <w14:ligatures w14:val="standardContextual"/>
        </w:rPr>
        <w:t>; or</w:t>
      </w:r>
      <w:r w:rsidRPr="00B530E4">
        <w:rPr>
          <w:rFonts w:eastAsia="Times New Roman"/>
          <w:b/>
          <w:color w:val="000000"/>
          <w:kern w:val="2"/>
          <w:szCs w:val="20"/>
          <w14:ligatures w14:val="standardContextual"/>
        </w:rPr>
        <w:t xml:space="preserve"> </w:t>
      </w:r>
    </w:p>
    <w:p w14:paraId="69CC3D7B" w14:textId="4DC7C4BE" w:rsidR="00DD5C8D" w:rsidRPr="00B530E4" w:rsidRDefault="00DD5C8D" w:rsidP="00DD5C8D">
      <w:pPr>
        <w:spacing w:after="112" w:line="366" w:lineRule="auto"/>
        <w:ind w:left="1080" w:right="2428"/>
        <w:rPr>
          <w:rFonts w:eastAsia="Times New Roman"/>
          <w:b/>
          <w:color w:val="000000"/>
          <w:kern w:val="2"/>
          <w:szCs w:val="20"/>
          <w14:ligatures w14:val="standardContextual"/>
        </w:rPr>
      </w:pPr>
      <w:r w:rsidRPr="00B530E4">
        <w:rPr>
          <w:rFonts w:eastAsia="Times New Roman"/>
          <w:bCs/>
          <w:color w:val="000000"/>
          <w:kern w:val="2"/>
          <w:szCs w:val="20"/>
          <w14:ligatures w14:val="standardContextual"/>
        </w:rPr>
        <w:t xml:space="preserve">  </w:t>
      </w:r>
      <w:r w:rsidRPr="00B530E4">
        <w:rPr>
          <w:rFonts w:eastAsia="Times New Roman"/>
          <w:b/>
          <w:color w:val="000000"/>
          <w:kern w:val="2"/>
          <w:szCs w:val="20"/>
          <w:u w:val="single"/>
          <w14:ligatures w14:val="standardContextual"/>
        </w:rPr>
        <w:t xml:space="preserve"> ii</w:t>
      </w:r>
      <w:r w:rsidRPr="00B530E4">
        <w:rPr>
          <w:rFonts w:eastAsia="Times New Roman"/>
          <w:b/>
          <w:color w:val="000000"/>
          <w:kern w:val="2"/>
          <w:szCs w:val="20"/>
          <w:u w:val="single" w:color="000000"/>
          <w14:ligatures w14:val="standardContextual"/>
        </w:rPr>
        <w:t>.</w:t>
      </w:r>
      <w:r w:rsidRPr="00B530E4">
        <w:rPr>
          <w:rFonts w:eastAsia="Times New Roman"/>
          <w:b/>
          <w:color w:val="000000"/>
          <w:kern w:val="2"/>
          <w:szCs w:val="20"/>
          <w14:ligatures w14:val="standardContextual"/>
        </w:rPr>
        <w:t xml:space="preserve">      </w:t>
      </w:r>
      <w:r w:rsidRPr="00B530E4">
        <w:rPr>
          <w:rFonts w:eastAsia="Times New Roman"/>
          <w:b/>
          <w:color w:val="000000"/>
          <w:kern w:val="2"/>
          <w:szCs w:val="20"/>
          <w:u w:val="single" w:color="000000"/>
          <w14:ligatures w14:val="standardContextual"/>
        </w:rPr>
        <w:t xml:space="preserve"> </w:t>
      </w:r>
      <w:r w:rsidRPr="00B530E4">
        <w:rPr>
          <w:rFonts w:eastAsia="Times New Roman"/>
          <w:b/>
          <w:color w:val="000000"/>
          <w:kern w:val="2"/>
          <w:szCs w:val="20"/>
          <w:u w:val="single"/>
          <w:vertAlign w:val="superscript"/>
          <w14:ligatures w14:val="standardContextual"/>
        </w:rPr>
        <w:t>1</w:t>
      </w:r>
      <w:r w:rsidRPr="00B530E4">
        <w:rPr>
          <w:rFonts w:eastAsia="Times New Roman"/>
          <w:b/>
          <w:color w:val="000000"/>
          <w:kern w:val="2"/>
          <w:szCs w:val="20"/>
          <w:u w:val="single" w:color="000000"/>
          <w14:ligatures w14:val="standardContextual"/>
        </w:rPr>
        <w:t>/</w:t>
      </w:r>
      <w:r w:rsidRPr="00B530E4">
        <w:rPr>
          <w:rFonts w:eastAsia="Times New Roman"/>
          <w:b/>
          <w:color w:val="000000"/>
          <w:kern w:val="2"/>
          <w:szCs w:val="20"/>
          <w:u w:val="single" w:color="000000"/>
          <w:vertAlign w:val="subscript"/>
          <w14:ligatures w14:val="standardContextual"/>
        </w:rPr>
        <w:t>4</w:t>
      </w:r>
      <w:r w:rsidRPr="00B530E4">
        <w:rPr>
          <w:rFonts w:eastAsia="Times New Roman"/>
          <w:b/>
          <w:color w:val="000000"/>
          <w:kern w:val="2"/>
          <w:szCs w:val="20"/>
          <w:u w:val="single" w:color="000000"/>
          <w14:ligatures w14:val="standardContextual"/>
        </w:rPr>
        <w:t xml:space="preserve"> </w:t>
      </w:r>
      <w:r w:rsidRPr="00B530E4">
        <w:rPr>
          <w:rFonts w:eastAsia="Times New Roman"/>
          <w:b/>
          <w:color w:val="000000"/>
          <w:kern w:val="2"/>
          <w:szCs w:val="20"/>
          <w:u w:val="single" w:color="000000"/>
          <w:vertAlign w:val="subscript"/>
          <w14:ligatures w14:val="standardContextual"/>
        </w:rPr>
        <w:t xml:space="preserve"> </w:t>
      </w:r>
      <w:r w:rsidRPr="00B530E4">
        <w:rPr>
          <w:rFonts w:eastAsia="Times New Roman"/>
          <w:b/>
          <w:color w:val="000000"/>
          <w:kern w:val="2"/>
          <w:szCs w:val="20"/>
          <w:u w:val="single" w:color="000000"/>
          <w14:ligatures w14:val="standardContextual"/>
        </w:rPr>
        <w:t xml:space="preserve">% for tare weights </w:t>
      </w:r>
      <w:r w:rsidR="00F04822">
        <w:rPr>
          <w:rFonts w:eastAsia="Times New Roman"/>
          <w:b/>
          <w:color w:val="000000"/>
          <w:kern w:val="2"/>
          <w:szCs w:val="20"/>
          <w:u w:val="single" w:color="000000"/>
          <w14:ligatures w14:val="standardContextual"/>
        </w:rPr>
        <w:t xml:space="preserve">of </w:t>
      </w:r>
      <w:r w:rsidRPr="00B530E4">
        <w:rPr>
          <w:rFonts w:eastAsia="Times New Roman"/>
          <w:b/>
          <w:color w:val="000000"/>
          <w:kern w:val="2"/>
          <w:szCs w:val="20"/>
          <w:u w:val="single" w:color="000000"/>
          <w14:ligatures w14:val="standardContextual"/>
        </w:rPr>
        <w:t>more than 9 kg (20 lb</w:t>
      </w:r>
      <w:r w:rsidR="00A81AC2">
        <w:rPr>
          <w:rFonts w:eastAsia="Times New Roman"/>
          <w:b/>
          <w:color w:val="000000"/>
          <w:kern w:val="2"/>
          <w:szCs w:val="20"/>
          <w:u w:val="single" w:color="000000"/>
          <w14:ligatures w14:val="standardContextual"/>
        </w:rPr>
        <w:t>.</w:t>
      </w:r>
      <w:r w:rsidRPr="00B530E4">
        <w:rPr>
          <w:rFonts w:eastAsia="Times New Roman"/>
          <w:b/>
          <w:color w:val="000000"/>
          <w:kern w:val="2"/>
          <w:szCs w:val="20"/>
          <w:u w:val="single" w:color="000000"/>
          <w14:ligatures w14:val="standardContextual"/>
        </w:rPr>
        <w:t>)</w:t>
      </w:r>
      <w:r w:rsidR="0048549C">
        <w:rPr>
          <w:rFonts w:eastAsia="Times New Roman"/>
          <w:b/>
          <w:color w:val="000000"/>
          <w:kern w:val="2"/>
          <w:szCs w:val="20"/>
          <w:u w:val="single" w:color="000000"/>
          <w14:ligatures w14:val="standardContextual"/>
        </w:rPr>
        <w:t xml:space="preserve"> cylinders</w:t>
      </w:r>
      <w:r w:rsidRPr="00B530E4">
        <w:rPr>
          <w:rFonts w:eastAsia="Times New Roman"/>
          <w:b/>
          <w:color w:val="000000"/>
          <w:kern w:val="2"/>
          <w:szCs w:val="20"/>
          <w:u w:val="single" w:color="000000"/>
          <w14:ligatures w14:val="standardContextual"/>
        </w:rPr>
        <w:t>.</w:t>
      </w:r>
      <w:r w:rsidRPr="00B530E4">
        <w:rPr>
          <w:rFonts w:eastAsia="Times New Roman"/>
          <w:b/>
          <w:color w:val="000000"/>
          <w:kern w:val="2"/>
          <w:szCs w:val="20"/>
          <w14:ligatures w14:val="standardContextual"/>
        </w:rPr>
        <w:t xml:space="preserve"> </w:t>
      </w:r>
    </w:p>
    <w:p w14:paraId="716B186B" w14:textId="77777777" w:rsidR="001F5BC2" w:rsidRPr="00B530E4" w:rsidRDefault="001F5BC2" w:rsidP="0076491B">
      <w:pPr>
        <w:pStyle w:val="ListParagraph"/>
        <w:numPr>
          <w:ilvl w:val="0"/>
          <w:numId w:val="47"/>
        </w:numPr>
        <w:spacing w:after="119" w:line="239" w:lineRule="auto"/>
        <w:ind w:right="28"/>
        <w:rPr>
          <w:rFonts w:ascii="Calibri" w:hAnsi="Calibri" w:cs="Calibri"/>
          <w:strike/>
          <w:color w:val="000000"/>
          <w:kern w:val="2"/>
          <w:szCs w:val="20"/>
          <w14:ligatures w14:val="standardContextual"/>
        </w:rPr>
      </w:pPr>
      <w:r w:rsidRPr="00B530E4">
        <w:rPr>
          <w:rFonts w:eastAsia="Times New Roman"/>
          <w:b/>
          <w:strike/>
          <w:color w:val="000000"/>
          <w:kern w:val="2"/>
          <w:szCs w:val="20"/>
          <w:u w:val="single" w:color="000000"/>
          <w14:ligatures w14:val="standardContextual"/>
        </w:rPr>
        <w:t>For cylinders manufactured on or after December 28, 2022, shall be within the</w:t>
      </w:r>
      <w:r w:rsidRPr="00B530E4">
        <w:rPr>
          <w:rFonts w:eastAsia="Times New Roman"/>
          <w:b/>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 xml:space="preserve">following limits prescribed by general requirements for specification cylinders, </w:t>
      </w:r>
      <w:hyperlink r:id="rId13">
        <w:r w:rsidRPr="00B530E4">
          <w:rPr>
            <w:rFonts w:eastAsia="Times New Roman"/>
            <w:b/>
            <w:strike/>
            <w:color w:val="000000"/>
            <w:kern w:val="2"/>
            <w:szCs w:val="20"/>
            <w:u w:val="single" w:color="000000"/>
            <w14:ligatures w14:val="standardContextual"/>
          </w:rPr>
          <w:t>49</w:t>
        </w:r>
      </w:hyperlink>
      <w:hyperlink r:id="rId14">
        <w:r w:rsidRPr="00B530E4">
          <w:rPr>
            <w:rFonts w:eastAsia="Times New Roman"/>
            <w:b/>
            <w:strike/>
            <w:color w:val="000000"/>
            <w:kern w:val="2"/>
            <w:szCs w:val="20"/>
            <w14:ligatures w14:val="standardContextual"/>
          </w:rPr>
          <w:t xml:space="preserve"> </w:t>
        </w:r>
      </w:hyperlink>
      <w:hyperlink r:id="rId15">
        <w:r w:rsidRPr="00B530E4">
          <w:rPr>
            <w:rFonts w:eastAsia="Times New Roman"/>
            <w:b/>
            <w:strike/>
            <w:color w:val="000000"/>
            <w:kern w:val="2"/>
            <w:szCs w:val="20"/>
            <w:u w:val="single" w:color="000000"/>
            <w14:ligatures w14:val="standardContextual"/>
          </w:rPr>
          <w:t>C.F.R. § 178.35</w:t>
        </w:r>
      </w:hyperlink>
      <w:hyperlink r:id="rId16">
        <w:r w:rsidRPr="00B530E4">
          <w:rPr>
            <w:rFonts w:eastAsia="Times New Roman"/>
            <w:b/>
            <w:strike/>
            <w:color w:val="000000"/>
            <w:kern w:val="2"/>
            <w:szCs w:val="20"/>
            <w:u w:val="single" w:color="000000"/>
            <w14:ligatures w14:val="standardContextual"/>
          </w:rPr>
          <w:t>:</w:t>
        </w:r>
      </w:hyperlink>
      <w:r w:rsidRPr="00B530E4">
        <w:rPr>
          <w:rFonts w:eastAsia="Times New Roman"/>
          <w:b/>
          <w:strike/>
          <w:color w:val="000000"/>
          <w:kern w:val="2"/>
          <w:szCs w:val="20"/>
          <w14:ligatures w14:val="standardContextual"/>
        </w:rPr>
        <w:t xml:space="preserve"> </w:t>
      </w:r>
    </w:p>
    <w:p w14:paraId="3494B396" w14:textId="77777777" w:rsidR="001F5BC2" w:rsidRPr="00B530E4" w:rsidRDefault="001F5BC2" w:rsidP="0076491B">
      <w:pPr>
        <w:numPr>
          <w:ilvl w:val="2"/>
          <w:numId w:val="46"/>
        </w:numPr>
        <w:spacing w:after="160" w:line="239" w:lineRule="auto"/>
        <w:ind w:hanging="538"/>
        <w:rPr>
          <w:rFonts w:ascii="Calibri" w:hAnsi="Calibri" w:cs="Calibri"/>
          <w:strike/>
          <w:color w:val="000000"/>
          <w:kern w:val="2"/>
          <w:szCs w:val="20"/>
          <w14:ligatures w14:val="standardContextual"/>
        </w:rPr>
      </w:pPr>
      <w:r w:rsidRPr="00B530E4">
        <w:rPr>
          <w:rFonts w:eastAsia="Times New Roman"/>
          <w:b/>
          <w:strike/>
          <w:color w:val="000000"/>
          <w:kern w:val="2"/>
          <w:szCs w:val="20"/>
          <w:u w:val="single" w:color="000000"/>
          <w14:ligatures w14:val="standardContextual"/>
        </w:rPr>
        <w:t>For a cylinder of 25 lb or less at the time of manufacture, a lower tolerance</w:t>
      </w:r>
      <w:r w:rsidRPr="00B530E4">
        <w:rPr>
          <w:rFonts w:eastAsia="Times New Roman"/>
          <w:b/>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of (-) 3 % and an upper tolerance of (+) 1 %; or</w:t>
      </w:r>
      <w:r w:rsidRPr="00B530E4">
        <w:rPr>
          <w:rFonts w:eastAsia="Times New Roman"/>
          <w:b/>
          <w:strike/>
          <w:color w:val="000000"/>
          <w:kern w:val="2"/>
          <w:szCs w:val="20"/>
          <w14:ligatures w14:val="standardContextual"/>
        </w:rPr>
        <w:t xml:space="preserve"> </w:t>
      </w:r>
    </w:p>
    <w:p w14:paraId="47BA5EED" w14:textId="77777777" w:rsidR="001F5BC2" w:rsidRPr="00B530E4" w:rsidRDefault="001F5BC2" w:rsidP="0076491B">
      <w:pPr>
        <w:numPr>
          <w:ilvl w:val="2"/>
          <w:numId w:val="46"/>
        </w:numPr>
        <w:spacing w:after="160" w:line="239" w:lineRule="auto"/>
        <w:ind w:hanging="538"/>
        <w:rPr>
          <w:rFonts w:ascii="Calibri" w:hAnsi="Calibri" w:cs="Calibri"/>
          <w:strike/>
          <w:color w:val="000000"/>
          <w:kern w:val="2"/>
          <w:szCs w:val="20"/>
          <w14:ligatures w14:val="standardContextual"/>
        </w:rPr>
      </w:pPr>
      <w:r w:rsidRPr="00B530E4">
        <w:rPr>
          <w:rFonts w:eastAsia="Times New Roman"/>
          <w:b/>
          <w:strike/>
          <w:color w:val="000000"/>
          <w:kern w:val="2"/>
          <w:szCs w:val="20"/>
          <w:u w:val="single" w:color="000000"/>
          <w14:ligatures w14:val="standardContextual"/>
        </w:rPr>
        <w:t>For a cylinder exceeding 25 lb at the time of manufacture, a lower tolerance</w:t>
      </w:r>
      <w:r w:rsidRPr="00B530E4">
        <w:rPr>
          <w:rFonts w:eastAsia="Times New Roman"/>
          <w:b/>
          <w:strike/>
          <w:color w:val="000000"/>
          <w:kern w:val="2"/>
          <w:szCs w:val="20"/>
          <w14:ligatures w14:val="standardContextual"/>
        </w:rPr>
        <w:t xml:space="preserve"> </w:t>
      </w:r>
      <w:r w:rsidRPr="00B530E4">
        <w:rPr>
          <w:rFonts w:eastAsia="Times New Roman"/>
          <w:b/>
          <w:strike/>
          <w:color w:val="000000"/>
          <w:kern w:val="2"/>
          <w:szCs w:val="20"/>
          <w:u w:val="single" w:color="000000"/>
          <w14:ligatures w14:val="standardContextual"/>
        </w:rPr>
        <w:t xml:space="preserve">of (-) </w:t>
      </w:r>
      <w:r w:rsidRPr="00BE36B5">
        <w:rPr>
          <w:rFonts w:eastAsia="Times New Roman"/>
          <w:b/>
          <w:strike/>
          <w:color w:val="000000"/>
          <w:kern w:val="2"/>
          <w:szCs w:val="20"/>
          <w:u w:val="single" w:color="000000"/>
          <w14:ligatures w14:val="standardContextual"/>
        </w:rPr>
        <w:t>2 %</w:t>
      </w:r>
      <w:r w:rsidRPr="00B530E4">
        <w:rPr>
          <w:rFonts w:eastAsia="Times New Roman"/>
          <w:b/>
          <w:strike/>
          <w:color w:val="000000"/>
          <w:kern w:val="2"/>
          <w:szCs w:val="20"/>
          <w:u w:val="single" w:color="000000"/>
          <w14:ligatures w14:val="standardContextual"/>
        </w:rPr>
        <w:t xml:space="preserve"> and an upper tolerance of (+) 1 %.</w:t>
      </w:r>
      <w:r w:rsidRPr="00B530E4">
        <w:rPr>
          <w:rFonts w:eastAsia="Times New Roman"/>
          <w:b/>
          <w:strike/>
          <w:color w:val="000000"/>
          <w:kern w:val="2"/>
          <w:szCs w:val="20"/>
          <w14:ligatures w14:val="standardContextual"/>
        </w:rPr>
        <w:t xml:space="preserve"> </w:t>
      </w:r>
    </w:p>
    <w:p w14:paraId="1FB80AB9" w14:textId="00BDFF9B" w:rsidR="00175154" w:rsidRPr="00B530E4" w:rsidRDefault="004F72CC" w:rsidP="004F72CC">
      <w:pPr>
        <w:pStyle w:val="ListParagraph"/>
        <w:numPr>
          <w:ilvl w:val="0"/>
          <w:numId w:val="46"/>
        </w:numPr>
        <w:spacing w:after="112" w:line="366" w:lineRule="auto"/>
        <w:ind w:right="2428"/>
        <w:rPr>
          <w:b/>
          <w:bCs/>
          <w:color w:val="000000"/>
          <w:kern w:val="2"/>
          <w:szCs w:val="20"/>
          <w14:ligatures w14:val="standardContextual"/>
        </w:rPr>
      </w:pPr>
      <w:r w:rsidRPr="000717F3">
        <w:rPr>
          <w:b/>
          <w:bCs/>
          <w:color w:val="000000"/>
          <w:kern w:val="2"/>
          <w:szCs w:val="20"/>
          <w:u w:val="single"/>
          <w14:ligatures w14:val="standardContextual"/>
        </w:rPr>
        <w:t>The allowable difference between the actual tare weight and the</w:t>
      </w:r>
      <w:r w:rsidR="0078385D">
        <w:rPr>
          <w:b/>
          <w:bCs/>
          <w:color w:val="000000"/>
          <w:kern w:val="2"/>
          <w:szCs w:val="20"/>
          <w:u w:val="single"/>
          <w14:ligatures w14:val="standardContextual"/>
        </w:rPr>
        <w:t xml:space="preserve"> </w:t>
      </w:r>
      <w:r w:rsidRPr="000717F3">
        <w:rPr>
          <w:b/>
          <w:bCs/>
          <w:color w:val="000000"/>
          <w:kern w:val="2"/>
          <w:szCs w:val="20"/>
          <w:u w:val="single"/>
          <w14:ligatures w14:val="standardContextual"/>
        </w:rPr>
        <w:t xml:space="preserve">stamped (or stenciled) tare weight, or the tare weight on a tag attached to the cylinder for a new or used cylinder manufactured </w:t>
      </w:r>
      <w:r w:rsidR="00DB37FA">
        <w:rPr>
          <w:b/>
          <w:bCs/>
          <w:color w:val="000000"/>
          <w:kern w:val="2"/>
          <w:szCs w:val="20"/>
          <w:u w:val="single"/>
          <w14:ligatures w14:val="standardContextual"/>
        </w:rPr>
        <w:t xml:space="preserve">on or after </w:t>
      </w:r>
      <w:r w:rsidRPr="000717F3">
        <w:rPr>
          <w:b/>
          <w:bCs/>
          <w:color w:val="000000"/>
          <w:kern w:val="2"/>
          <w:szCs w:val="20"/>
          <w:u w:val="single"/>
          <w14:ligatures w14:val="standardContextual"/>
        </w:rPr>
        <w:t xml:space="preserve"> </w:t>
      </w:r>
      <w:r w:rsidRPr="009A3B65">
        <w:rPr>
          <w:b/>
          <w:bCs/>
          <w:color w:val="000000"/>
          <w:kern w:val="2"/>
          <w:szCs w:val="20"/>
          <w:u w:val="single"/>
          <w14:ligatures w14:val="standardContextual"/>
        </w:rPr>
        <w:t>December</w:t>
      </w:r>
      <w:r w:rsidRPr="000717F3">
        <w:rPr>
          <w:b/>
          <w:bCs/>
          <w:color w:val="000000"/>
          <w:kern w:val="2"/>
          <w:szCs w:val="20"/>
          <w:u w:val="single"/>
          <w14:ligatures w14:val="standardContextual"/>
        </w:rPr>
        <w:t xml:space="preserve"> 28, 2022 shall be within:</w:t>
      </w:r>
    </w:p>
    <w:p w14:paraId="6287F421" w14:textId="7E345249" w:rsidR="00A12B13" w:rsidRPr="002508C7" w:rsidRDefault="002952DE" w:rsidP="003C4E31">
      <w:pPr>
        <w:pStyle w:val="ListParagraph"/>
        <w:numPr>
          <w:ilvl w:val="0"/>
          <w:numId w:val="70"/>
        </w:numPr>
        <w:spacing w:after="112" w:line="366" w:lineRule="auto"/>
        <w:ind w:right="2428"/>
        <w:rPr>
          <w:b/>
          <w:bCs/>
          <w:color w:val="000000"/>
          <w:kern w:val="2"/>
          <w:szCs w:val="20"/>
          <w14:ligatures w14:val="standardContextual"/>
        </w:rPr>
      </w:pPr>
      <w:r w:rsidRPr="002508C7">
        <w:rPr>
          <w:b/>
          <w:bCs/>
          <w:color w:val="000000"/>
          <w:kern w:val="2"/>
          <w:szCs w:val="20"/>
          <w:u w:val="single"/>
          <w14:ligatures w14:val="standardContextual"/>
        </w:rPr>
        <w:t>f</w:t>
      </w:r>
      <w:r w:rsidR="00534315" w:rsidRPr="002508C7">
        <w:rPr>
          <w:b/>
          <w:bCs/>
          <w:color w:val="000000"/>
          <w:kern w:val="2"/>
          <w:szCs w:val="20"/>
          <w:u w:val="single"/>
          <w14:ligatures w14:val="standardContextual"/>
        </w:rPr>
        <w:t>or tare weights of 11 kg (25lb)</w:t>
      </w:r>
      <w:r w:rsidR="00E05EB1" w:rsidRPr="002508C7">
        <w:rPr>
          <w:b/>
          <w:bCs/>
          <w:color w:val="000000"/>
          <w:kern w:val="2"/>
          <w:szCs w:val="20"/>
          <w:u w:val="single"/>
          <w14:ligatures w14:val="standardContextual"/>
        </w:rPr>
        <w:t xml:space="preserve"> </w:t>
      </w:r>
      <w:r w:rsidR="00191FF9">
        <w:rPr>
          <w:b/>
          <w:bCs/>
          <w:color w:val="000000"/>
          <w:kern w:val="2"/>
          <w:szCs w:val="20"/>
          <w:u w:val="single"/>
          <w14:ligatures w14:val="standardContextual"/>
        </w:rPr>
        <w:t xml:space="preserve">or less </w:t>
      </w:r>
      <w:r w:rsidR="00E05EB1" w:rsidRPr="002508C7">
        <w:rPr>
          <w:b/>
          <w:bCs/>
          <w:color w:val="000000"/>
          <w:kern w:val="2"/>
          <w:szCs w:val="20"/>
          <w:u w:val="single"/>
          <w14:ligatures w14:val="standardContextual"/>
        </w:rPr>
        <w:t>cylinders</w:t>
      </w:r>
      <w:r w:rsidR="00534315" w:rsidRPr="002508C7">
        <w:rPr>
          <w:b/>
          <w:bCs/>
          <w:color w:val="000000"/>
          <w:kern w:val="2"/>
          <w:szCs w:val="20"/>
          <w:u w:val="single"/>
          <w14:ligatures w14:val="standardContextual"/>
        </w:rPr>
        <w:t xml:space="preserve"> :</w:t>
      </w:r>
    </w:p>
    <w:p w14:paraId="124B6480" w14:textId="587CCF81" w:rsidR="002952DE" w:rsidRPr="002508C7" w:rsidRDefault="00EC0F29" w:rsidP="002952DE">
      <w:pPr>
        <w:pStyle w:val="ListParagraph"/>
        <w:numPr>
          <w:ilvl w:val="1"/>
          <w:numId w:val="70"/>
        </w:numPr>
        <w:spacing w:after="112" w:line="366" w:lineRule="auto"/>
        <w:ind w:right="2428"/>
        <w:rPr>
          <w:b/>
          <w:bCs/>
          <w:color w:val="000000"/>
          <w:kern w:val="2"/>
          <w:szCs w:val="20"/>
          <w14:ligatures w14:val="standardContextual"/>
        </w:rPr>
      </w:pPr>
      <w:r w:rsidRPr="002508C7">
        <w:rPr>
          <w:b/>
          <w:bCs/>
          <w:color w:val="000000"/>
          <w:kern w:val="2"/>
          <w:szCs w:val="20"/>
          <w14:ligatures w14:val="standardContextual"/>
        </w:rPr>
        <w:t>a lower tolerance of (-) 3%</w:t>
      </w:r>
      <w:r w:rsidR="00BA1EAE" w:rsidRPr="002508C7">
        <w:rPr>
          <w:b/>
          <w:bCs/>
          <w:color w:val="000000"/>
          <w:kern w:val="2"/>
          <w:szCs w:val="20"/>
          <w14:ligatures w14:val="standardContextual"/>
        </w:rPr>
        <w:t xml:space="preserve"> and,</w:t>
      </w:r>
    </w:p>
    <w:p w14:paraId="3253FBC0" w14:textId="1403956F" w:rsidR="00BA1EAE" w:rsidRPr="002508C7" w:rsidRDefault="00F52A9B" w:rsidP="002952DE">
      <w:pPr>
        <w:pStyle w:val="ListParagraph"/>
        <w:numPr>
          <w:ilvl w:val="1"/>
          <w:numId w:val="70"/>
        </w:numPr>
        <w:spacing w:after="112" w:line="366" w:lineRule="auto"/>
        <w:ind w:right="2428"/>
        <w:rPr>
          <w:b/>
          <w:bCs/>
          <w:color w:val="000000"/>
          <w:kern w:val="2"/>
          <w:szCs w:val="20"/>
          <w14:ligatures w14:val="standardContextual"/>
        </w:rPr>
      </w:pPr>
      <w:r w:rsidRPr="002508C7">
        <w:rPr>
          <w:b/>
          <w:bCs/>
          <w:color w:val="000000"/>
          <w:kern w:val="2"/>
          <w:szCs w:val="20"/>
          <w14:ligatures w14:val="standardContextual"/>
        </w:rPr>
        <w:t>an</w:t>
      </w:r>
      <w:r w:rsidR="00BA1EAE" w:rsidRPr="002508C7">
        <w:rPr>
          <w:b/>
          <w:bCs/>
          <w:color w:val="000000"/>
          <w:kern w:val="2"/>
          <w:szCs w:val="20"/>
          <w14:ligatures w14:val="standardContextual"/>
        </w:rPr>
        <w:t xml:space="preserve"> upper tolerance of (+) 1%; or</w:t>
      </w:r>
    </w:p>
    <w:p w14:paraId="7534AA84" w14:textId="3845C6B6" w:rsidR="00557D77" w:rsidRPr="002508C7" w:rsidRDefault="009B30BD" w:rsidP="009B30BD">
      <w:pPr>
        <w:pStyle w:val="ListParagraph"/>
        <w:numPr>
          <w:ilvl w:val="0"/>
          <w:numId w:val="70"/>
        </w:numPr>
        <w:spacing w:after="112" w:line="366" w:lineRule="auto"/>
        <w:ind w:right="2428"/>
        <w:rPr>
          <w:b/>
          <w:bCs/>
          <w:color w:val="000000"/>
          <w:kern w:val="2"/>
          <w:szCs w:val="20"/>
          <w14:ligatures w14:val="standardContextual"/>
        </w:rPr>
      </w:pPr>
      <w:r w:rsidRPr="002508C7">
        <w:rPr>
          <w:b/>
          <w:bCs/>
          <w:color w:val="000000"/>
          <w:kern w:val="2"/>
          <w:szCs w:val="20"/>
          <w:u w:val="single"/>
          <w14:ligatures w14:val="standardContextual"/>
        </w:rPr>
        <w:t>for tare</w:t>
      </w:r>
      <w:r w:rsidR="007272A9" w:rsidRPr="002508C7">
        <w:rPr>
          <w:b/>
          <w:bCs/>
          <w:color w:val="000000"/>
          <w:kern w:val="2"/>
          <w:szCs w:val="20"/>
          <w:u w:val="single"/>
          <w14:ligatures w14:val="standardContextual"/>
        </w:rPr>
        <w:t xml:space="preserve"> weight </w:t>
      </w:r>
      <w:r w:rsidR="00191FF9">
        <w:rPr>
          <w:b/>
          <w:bCs/>
          <w:color w:val="000000"/>
          <w:kern w:val="2"/>
          <w:szCs w:val="20"/>
          <w:u w:val="single"/>
          <w14:ligatures w14:val="standardContextual"/>
        </w:rPr>
        <w:t xml:space="preserve">of more than </w:t>
      </w:r>
      <w:r w:rsidR="007272A9" w:rsidRPr="002508C7">
        <w:rPr>
          <w:b/>
          <w:bCs/>
          <w:color w:val="000000"/>
          <w:kern w:val="2"/>
          <w:szCs w:val="20"/>
          <w:u w:val="single"/>
          <w14:ligatures w14:val="standardContextual"/>
        </w:rPr>
        <w:t xml:space="preserve"> 11 kg (25lb)</w:t>
      </w:r>
      <w:r w:rsidR="00E05EB1" w:rsidRPr="002508C7">
        <w:rPr>
          <w:b/>
          <w:bCs/>
          <w:color w:val="000000"/>
          <w:kern w:val="2"/>
          <w:szCs w:val="20"/>
          <w:u w:val="single"/>
          <w14:ligatures w14:val="standardContextual"/>
        </w:rPr>
        <w:t xml:space="preserve"> </w:t>
      </w:r>
      <w:r w:rsidR="00406CA6" w:rsidRPr="002508C7">
        <w:rPr>
          <w:b/>
          <w:bCs/>
          <w:color w:val="000000"/>
          <w:kern w:val="2"/>
          <w:szCs w:val="20"/>
          <w:u w:val="single"/>
          <w14:ligatures w14:val="standardContextual"/>
        </w:rPr>
        <w:t>cylinders</w:t>
      </w:r>
      <w:r w:rsidR="007272A9" w:rsidRPr="002508C7">
        <w:rPr>
          <w:b/>
          <w:bCs/>
          <w:color w:val="000000"/>
          <w:kern w:val="2"/>
          <w:szCs w:val="20"/>
          <w:u w:val="single"/>
          <w14:ligatures w14:val="standardContextual"/>
        </w:rPr>
        <w:t>:</w:t>
      </w:r>
    </w:p>
    <w:p w14:paraId="6A23ED44" w14:textId="571DD883" w:rsidR="007272A9" w:rsidRPr="002508C7" w:rsidRDefault="007272A9" w:rsidP="007272A9">
      <w:pPr>
        <w:pStyle w:val="ListParagraph"/>
        <w:numPr>
          <w:ilvl w:val="1"/>
          <w:numId w:val="70"/>
        </w:numPr>
        <w:spacing w:after="112" w:line="366" w:lineRule="auto"/>
        <w:ind w:right="2428"/>
        <w:rPr>
          <w:b/>
          <w:bCs/>
          <w:color w:val="000000"/>
          <w:kern w:val="2"/>
          <w:szCs w:val="20"/>
          <w14:ligatures w14:val="standardContextual"/>
        </w:rPr>
      </w:pPr>
      <w:r w:rsidRPr="002508C7">
        <w:rPr>
          <w:b/>
          <w:bCs/>
          <w:color w:val="000000"/>
          <w:kern w:val="2"/>
          <w:szCs w:val="20"/>
          <w14:ligatures w14:val="standardContextual"/>
        </w:rPr>
        <w:t xml:space="preserve">a lower tolerance of (-) </w:t>
      </w:r>
      <w:r w:rsidR="009F5059" w:rsidRPr="00BE36B5">
        <w:rPr>
          <w:b/>
          <w:bCs/>
          <w:color w:val="000000"/>
          <w:kern w:val="2"/>
          <w:szCs w:val="20"/>
          <w14:ligatures w14:val="standardContextual"/>
        </w:rPr>
        <w:t>2</w:t>
      </w:r>
      <w:r w:rsidRPr="00BE36B5">
        <w:rPr>
          <w:b/>
          <w:bCs/>
          <w:color w:val="000000"/>
          <w:kern w:val="2"/>
          <w:szCs w:val="20"/>
          <w14:ligatures w14:val="standardContextual"/>
        </w:rPr>
        <w:t>%</w:t>
      </w:r>
      <w:r w:rsidRPr="002508C7">
        <w:rPr>
          <w:b/>
          <w:bCs/>
          <w:color w:val="000000"/>
          <w:kern w:val="2"/>
          <w:szCs w:val="20"/>
          <w14:ligatures w14:val="standardContextual"/>
        </w:rPr>
        <w:t xml:space="preserve"> and,</w:t>
      </w:r>
    </w:p>
    <w:p w14:paraId="7F523A04" w14:textId="688878AC" w:rsidR="007272A9" w:rsidRPr="002508C7" w:rsidRDefault="00F52A9B" w:rsidP="007272A9">
      <w:pPr>
        <w:pStyle w:val="ListParagraph"/>
        <w:numPr>
          <w:ilvl w:val="1"/>
          <w:numId w:val="70"/>
        </w:numPr>
        <w:spacing w:after="112" w:line="366" w:lineRule="auto"/>
        <w:ind w:right="2428"/>
        <w:rPr>
          <w:b/>
          <w:bCs/>
          <w:color w:val="000000"/>
          <w:kern w:val="2"/>
          <w:szCs w:val="20"/>
          <w14:ligatures w14:val="standardContextual"/>
        </w:rPr>
      </w:pPr>
      <w:r w:rsidRPr="002508C7">
        <w:rPr>
          <w:b/>
          <w:bCs/>
          <w:color w:val="000000"/>
          <w:kern w:val="2"/>
          <w:szCs w:val="20"/>
          <w14:ligatures w14:val="standardContextual"/>
        </w:rPr>
        <w:t>an</w:t>
      </w:r>
      <w:r w:rsidR="007272A9" w:rsidRPr="002508C7">
        <w:rPr>
          <w:b/>
          <w:bCs/>
          <w:color w:val="000000"/>
          <w:kern w:val="2"/>
          <w:szCs w:val="20"/>
          <w14:ligatures w14:val="standardContextual"/>
        </w:rPr>
        <w:t xml:space="preserve"> upper tolerance of (+) 1%</w:t>
      </w:r>
    </w:p>
    <w:p w14:paraId="53650BC7" w14:textId="3B29C78E" w:rsidR="00A023AA" w:rsidRDefault="00A023AA" w:rsidP="00B530E4">
      <w:pPr>
        <w:spacing w:after="112" w:line="366" w:lineRule="auto"/>
        <w:ind w:right="2428"/>
        <w:rPr>
          <w:b/>
          <w:bCs/>
          <w:color w:val="000000"/>
          <w:kern w:val="2"/>
          <w:szCs w:val="20"/>
          <w:u w:val="single"/>
          <w14:ligatures w14:val="standardContextual"/>
        </w:rPr>
      </w:pPr>
      <w:r>
        <w:rPr>
          <w:b/>
          <w:bCs/>
          <w:color w:val="000000"/>
          <w:kern w:val="2"/>
          <w:szCs w:val="20"/>
          <w:u w:val="single"/>
          <w14:ligatures w14:val="standardContextual"/>
        </w:rPr>
        <w:t xml:space="preserve">As prescribed </w:t>
      </w:r>
      <w:r w:rsidR="00A674C9">
        <w:rPr>
          <w:b/>
          <w:bCs/>
          <w:color w:val="000000"/>
          <w:kern w:val="2"/>
          <w:szCs w:val="20"/>
          <w:u w:val="single"/>
          <w14:ligatures w14:val="standardContextual"/>
        </w:rPr>
        <w:t xml:space="preserve">by general requirement for specification cylinders, 49 C.F.R </w:t>
      </w:r>
      <w:r w:rsidR="00A674C9" w:rsidRPr="00A674C9">
        <w:rPr>
          <w:b/>
          <w:bCs/>
          <w:color w:val="000000"/>
          <w:kern w:val="2"/>
          <w:szCs w:val="20"/>
          <w:u w:val="single"/>
          <w14:ligatures w14:val="standardContextual"/>
        </w:rPr>
        <w:t>§</w:t>
      </w:r>
      <w:r w:rsidR="003C3106">
        <w:rPr>
          <w:b/>
          <w:bCs/>
          <w:color w:val="000000"/>
          <w:kern w:val="2"/>
          <w:szCs w:val="20"/>
          <w:u w:val="single"/>
          <w14:ligatures w14:val="standardContextual"/>
        </w:rPr>
        <w:t xml:space="preserve"> 178.35</w:t>
      </w:r>
    </w:p>
    <w:p w14:paraId="47A1E5B6" w14:textId="590F8894" w:rsidR="00D31919" w:rsidRPr="001C526E" w:rsidRDefault="00BF64A0" w:rsidP="001C526E">
      <w:pPr>
        <w:spacing w:after="160" w:line="239" w:lineRule="auto"/>
        <w:ind w:left="1293"/>
        <w:rPr>
          <w:rFonts w:ascii="Calibri" w:hAnsi="Calibri" w:cs="Calibri"/>
          <w:color w:val="000000"/>
          <w:kern w:val="2"/>
          <w:szCs w:val="20"/>
          <w14:ligatures w14:val="standardContextual"/>
        </w:rPr>
      </w:pPr>
      <w:r w:rsidRPr="00EE42B4">
        <w:rPr>
          <w:rFonts w:eastAsia="Times New Roman"/>
          <w:b/>
          <w:i/>
          <w:szCs w:val="20"/>
        </w:rPr>
        <w:t xml:space="preserve">NOTE: </w:t>
      </w:r>
      <w:r w:rsidRPr="00EE42B4">
        <w:rPr>
          <w:rFonts w:eastAsia="Times New Roman"/>
          <w:color w:val="000000"/>
          <w:szCs w:val="20"/>
        </w:rPr>
        <w:t xml:space="preserve"> </w:t>
      </w:r>
      <w:r w:rsidRPr="00EE42B4">
        <w:rPr>
          <w:rFonts w:eastAsia="Times New Roman"/>
          <w:szCs w:val="20"/>
        </w:rPr>
        <w:t xml:space="preserve">Failure of a cylinder tare weight to be within the required allowable difference is considered a Method of Sale violation. </w:t>
      </w:r>
      <w:r w:rsidRPr="00EE42B4">
        <w:rPr>
          <w:rFonts w:eastAsia="Times New Roman"/>
          <w:color w:val="000000"/>
          <w:szCs w:val="20"/>
        </w:rPr>
        <w:t xml:space="preserve"> </w:t>
      </w:r>
      <w:r w:rsidRPr="00EE42B4">
        <w:rPr>
          <w:rFonts w:eastAsia="Times New Roman"/>
          <w:szCs w:val="20"/>
        </w:rPr>
        <w:t>The cylinder shall be removed from use until the tare weight is corrected.</w:t>
      </w:r>
    </w:p>
    <w:p w14:paraId="289B3139" w14:textId="77777777" w:rsidR="003603E6" w:rsidRPr="003E08FC" w:rsidRDefault="003603E6" w:rsidP="003603E6">
      <w:pPr>
        <w:rPr>
          <w:b/>
          <w:iCs/>
          <w:sz w:val="22"/>
        </w:rPr>
      </w:pPr>
      <w:bookmarkStart w:id="46" w:name="_Toc111622822"/>
      <w:bookmarkStart w:id="47" w:name="_Toc176940882"/>
      <w:bookmarkStart w:id="48" w:name="_Toc486756445"/>
      <w:bookmarkStart w:id="49" w:name="_Toc487504956"/>
      <w:bookmarkStart w:id="50" w:name="_Toc237353948"/>
      <w:bookmarkStart w:id="51" w:name="_Toc237415719"/>
      <w:bookmarkStart w:id="52" w:name="_Toc237416693"/>
      <w:bookmarkStart w:id="53" w:name="_Toc237429054"/>
      <w:bookmarkStart w:id="54" w:name="_Toc291667306"/>
      <w:bookmarkStart w:id="55" w:name="_Toc449416880"/>
      <w:bookmarkStart w:id="56" w:name="_Hlk216266803"/>
      <w:r w:rsidRPr="003E08FC">
        <w:rPr>
          <w:b/>
          <w:iCs/>
          <w:sz w:val="22"/>
        </w:rPr>
        <w:t>3.13.2</w:t>
      </w:r>
      <w:r w:rsidRPr="003E08FC">
        <w:rPr>
          <w:b/>
          <w:iCs/>
          <w:sz w:val="22"/>
        </w:rPr>
        <w:tab/>
        <w:t>Test Procedures</w:t>
      </w:r>
      <w:bookmarkEnd w:id="46"/>
      <w:bookmarkEnd w:id="47"/>
    </w:p>
    <w:p w14:paraId="64BC21E2" w14:textId="77777777" w:rsidR="003603E6" w:rsidRPr="003E08FC" w:rsidRDefault="003603E6" w:rsidP="003603E6">
      <w:pPr>
        <w:ind w:firstLine="720"/>
        <w:rPr>
          <w:b/>
          <w:iCs/>
          <w:sz w:val="22"/>
        </w:rPr>
      </w:pPr>
      <w:bookmarkStart w:id="57" w:name="_Toc111622823"/>
      <w:r w:rsidRPr="003E08FC">
        <w:rPr>
          <w:b/>
          <w:iCs/>
          <w:sz w:val="22"/>
        </w:rPr>
        <w:t>a.</w:t>
      </w:r>
      <w:r w:rsidRPr="003E08FC">
        <w:rPr>
          <w:b/>
          <w:iCs/>
          <w:sz w:val="22"/>
        </w:rPr>
        <w:tab/>
        <w:t>Test Procedure for Cylinders Labeled by Weight</w:t>
      </w:r>
      <w:bookmarkEnd w:id="48"/>
      <w:bookmarkEnd w:id="49"/>
      <w:bookmarkEnd w:id="50"/>
      <w:bookmarkEnd w:id="51"/>
      <w:bookmarkEnd w:id="52"/>
      <w:bookmarkEnd w:id="53"/>
      <w:bookmarkEnd w:id="54"/>
      <w:bookmarkEnd w:id="55"/>
      <w:bookmarkEnd w:id="57"/>
    </w:p>
    <w:p w14:paraId="206CD490" w14:textId="77777777" w:rsidR="003603E6" w:rsidRPr="003E08FC" w:rsidRDefault="003603E6" w:rsidP="003603E6">
      <w:pPr>
        <w:numPr>
          <w:ilvl w:val="0"/>
          <w:numId w:val="82"/>
        </w:numPr>
        <w:rPr>
          <w:bCs/>
          <w:iCs/>
        </w:rPr>
      </w:pPr>
      <w:bookmarkStart w:id="58" w:name="_Toc487504958"/>
      <w:bookmarkEnd w:id="58"/>
      <w:r w:rsidRPr="003E08FC">
        <w:rPr>
          <w:bCs/>
          <w:iCs/>
        </w:rPr>
        <w:t xml:space="preserve">Follow Section 2.3.1. “Define the Inspection Lot.”  Use a “Category A” sampling plan in the inspection; select a random sample. </w:t>
      </w:r>
      <w:r w:rsidRPr="003E08FC">
        <w:rPr>
          <w:bCs/>
          <w:iCs/>
        </w:rPr>
        <w:fldChar w:fldCharType="begin"/>
      </w:r>
      <w:r w:rsidRPr="003E08FC">
        <w:rPr>
          <w:bCs/>
          <w:iCs/>
        </w:rPr>
        <w:instrText xml:space="preserve"> XE "Test Procedure:Cylinders Labeled By Weight" </w:instrText>
      </w:r>
      <w:r w:rsidRPr="003E08FC">
        <w:rPr>
          <w:bCs/>
          <w:iCs/>
        </w:rPr>
        <w:fldChar w:fldCharType="end"/>
      </w:r>
    </w:p>
    <w:p w14:paraId="0A235CA7" w14:textId="77777777" w:rsidR="003603E6" w:rsidRDefault="003603E6" w:rsidP="003603E6">
      <w:pPr>
        <w:numPr>
          <w:ilvl w:val="0"/>
          <w:numId w:val="82"/>
        </w:numPr>
        <w:contextualSpacing/>
        <w:rPr>
          <w:rFonts w:cs="Arial"/>
          <w:bCs/>
          <w:szCs w:val="20"/>
        </w:rPr>
      </w:pPr>
      <w:r w:rsidRPr="003E08FC">
        <w:rPr>
          <w:rFonts w:cs="Arial"/>
          <w:bCs/>
          <w:szCs w:val="20"/>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p w14:paraId="09A618F6" w14:textId="77777777" w:rsidR="003603E6" w:rsidRPr="003E08FC" w:rsidRDefault="003603E6" w:rsidP="00346B96">
      <w:pPr>
        <w:suppressLineNumbers/>
        <w:contextualSpacing/>
        <w:rPr>
          <w:rFonts w:cs="Arial"/>
          <w:bCs/>
          <w:szCs w:val="20"/>
        </w:rPr>
      </w:pPr>
    </w:p>
    <w:bookmarkEnd w:id="56"/>
    <w:p w14:paraId="441841E0" w14:textId="77777777" w:rsidR="003603E6" w:rsidRPr="001C526E" w:rsidRDefault="003603E6" w:rsidP="003603E6">
      <w:pPr>
        <w:kinsoku w:val="0"/>
        <w:overflowPunct w:val="0"/>
        <w:autoSpaceDE w:val="0"/>
        <w:autoSpaceDN w:val="0"/>
        <w:adjustRightInd w:val="0"/>
        <w:spacing w:before="240" w:line="235" w:lineRule="auto"/>
        <w:ind w:left="360" w:right="115"/>
        <w:rPr>
          <w:b/>
        </w:rPr>
      </w:pPr>
      <w:r w:rsidRPr="001C526E">
        <w:rPr>
          <w:b/>
        </w:rPr>
        <w:lastRenderedPageBreak/>
        <w:t xml:space="preserve">Note: Check the accuracy of the stamped tare weights on empty cylinders whenever possible. </w:t>
      </w:r>
      <w:r w:rsidRPr="001C526E">
        <w:rPr>
          <w:b/>
          <w:strike/>
        </w:rPr>
        <w:t>The actual tare weight must be within (a) 1/2 % of the stamped tare weight for 9.07 kg (20 lb) tare weights or less or (b) 1/4 % of the stamped tare weight for greater than 9.07 kg (20 lb) tare weights.  (see</w:t>
      </w:r>
      <w:r w:rsidRPr="001C526E">
        <w:rPr>
          <w:b/>
        </w:rPr>
        <w:t xml:space="preserve"> NIST Handbook 130, Method of Sale Regulation, Section 2.16. “Compressed or Liquefied Gases in Refillable Cylinders.” </w:t>
      </w:r>
      <w:r w:rsidRPr="001C526E">
        <w:rPr>
          <w:b/>
          <w:u w:val="single"/>
        </w:rPr>
        <w:t>establishes the allowable tolerance for cylinders based on the date of manufacture</w:t>
      </w:r>
      <w:r w:rsidRPr="001C526E">
        <w:rPr>
          <w:b/>
        </w:rPr>
        <w:t>.</w:t>
      </w:r>
    </w:p>
    <w:p w14:paraId="71A4042A" w14:textId="77777777" w:rsidR="003603E6" w:rsidRPr="001C526E" w:rsidRDefault="003603E6" w:rsidP="003603E6">
      <w:pPr>
        <w:kinsoku w:val="0"/>
        <w:overflowPunct w:val="0"/>
        <w:autoSpaceDE w:val="0"/>
        <w:autoSpaceDN w:val="0"/>
        <w:adjustRightInd w:val="0"/>
        <w:spacing w:before="240" w:line="235" w:lineRule="auto"/>
        <w:ind w:left="360" w:right="115"/>
        <w:rPr>
          <w:rFonts w:cs="Arial"/>
          <w:b/>
          <w:bCs/>
          <w:szCs w:val="20"/>
          <w:u w:val="single"/>
        </w:rPr>
      </w:pPr>
      <w:r w:rsidRPr="001C526E">
        <w:rPr>
          <w:rFonts w:cs="Arial"/>
          <w:b/>
          <w:bCs/>
          <w:szCs w:val="20"/>
          <w:u w:val="single"/>
        </w:rPr>
        <w:t xml:space="preserve">The allowable difference between the actual tare weight and the stamped (or stenciled) tare weight, or the tare weight on a tag attached to the cylinder, for a new or used cylinder manufactured prior to December 28, 2022, shall be within: </w:t>
      </w:r>
    </w:p>
    <w:p w14:paraId="3C40BEA3" w14:textId="67E50842" w:rsidR="003603E6" w:rsidRPr="001C526E" w:rsidRDefault="003603E6" w:rsidP="003603E6">
      <w:pPr>
        <w:numPr>
          <w:ilvl w:val="0"/>
          <w:numId w:val="83"/>
        </w:numPr>
        <w:kinsoku w:val="0"/>
        <w:overflowPunct w:val="0"/>
        <w:autoSpaceDE w:val="0"/>
        <w:autoSpaceDN w:val="0"/>
        <w:adjustRightInd w:val="0"/>
        <w:spacing w:before="240" w:after="120" w:line="235" w:lineRule="auto"/>
        <w:ind w:left="1350" w:right="115"/>
        <w:rPr>
          <w:rFonts w:cs="Arial"/>
          <w:b/>
          <w:bCs/>
          <w:szCs w:val="20"/>
          <w:u w:val="single"/>
        </w:rPr>
      </w:pPr>
      <w:r w:rsidRPr="001C526E">
        <w:rPr>
          <w:rFonts w:cs="Arial"/>
          <w:b/>
          <w:bCs/>
          <w:szCs w:val="20"/>
          <w:u w:val="single"/>
        </w:rPr>
        <w:t xml:space="preserve"> 1/2 % for tare weights of 9 kg (20 lb)</w:t>
      </w:r>
      <w:r w:rsidR="00EB1F4C">
        <w:rPr>
          <w:rFonts w:cs="Arial"/>
          <w:b/>
          <w:bCs/>
          <w:szCs w:val="20"/>
          <w:u w:val="single"/>
        </w:rPr>
        <w:t xml:space="preserve"> </w:t>
      </w:r>
      <w:r w:rsidR="00191FF9">
        <w:rPr>
          <w:rFonts w:cs="Arial"/>
          <w:b/>
          <w:bCs/>
          <w:szCs w:val="20"/>
          <w:u w:val="single"/>
        </w:rPr>
        <w:t xml:space="preserve">or less </w:t>
      </w:r>
      <w:r w:rsidR="00EB1F4C">
        <w:rPr>
          <w:rFonts w:cs="Arial"/>
          <w:b/>
          <w:bCs/>
          <w:szCs w:val="20"/>
          <w:u w:val="single"/>
        </w:rPr>
        <w:t>cylinders</w:t>
      </w:r>
      <w:r w:rsidRPr="001C526E">
        <w:rPr>
          <w:rFonts w:cs="Arial"/>
          <w:b/>
          <w:bCs/>
          <w:szCs w:val="20"/>
          <w:u w:val="single"/>
        </w:rPr>
        <w:t xml:space="preserve"> ; or </w:t>
      </w:r>
    </w:p>
    <w:p w14:paraId="1ADE44F7" w14:textId="4C93D9EB" w:rsidR="003603E6" w:rsidRPr="001C526E" w:rsidRDefault="003603E6" w:rsidP="003603E6">
      <w:pPr>
        <w:numPr>
          <w:ilvl w:val="0"/>
          <w:numId w:val="83"/>
        </w:numPr>
        <w:kinsoku w:val="0"/>
        <w:overflowPunct w:val="0"/>
        <w:autoSpaceDE w:val="0"/>
        <w:autoSpaceDN w:val="0"/>
        <w:adjustRightInd w:val="0"/>
        <w:spacing w:before="240" w:line="235" w:lineRule="auto"/>
        <w:ind w:left="1350" w:right="115"/>
        <w:rPr>
          <w:rFonts w:cs="Arial"/>
          <w:b/>
          <w:bCs/>
          <w:szCs w:val="20"/>
          <w:u w:val="single"/>
        </w:rPr>
      </w:pPr>
      <w:r w:rsidRPr="001C526E">
        <w:rPr>
          <w:rFonts w:cs="Arial"/>
          <w:b/>
          <w:bCs/>
          <w:szCs w:val="20"/>
          <w:u w:val="single"/>
        </w:rPr>
        <w:t xml:space="preserve"> 1/4 % for tare weights of more than 9 kg (20 lb)</w:t>
      </w:r>
      <w:r w:rsidR="003B19B9">
        <w:rPr>
          <w:rFonts w:cs="Arial"/>
          <w:b/>
          <w:bCs/>
          <w:szCs w:val="20"/>
          <w:u w:val="single"/>
        </w:rPr>
        <w:t xml:space="preserve"> cylinders</w:t>
      </w:r>
      <w:r w:rsidRPr="001C526E">
        <w:rPr>
          <w:rFonts w:cs="Arial"/>
          <w:b/>
          <w:bCs/>
          <w:szCs w:val="20"/>
          <w:u w:val="single"/>
        </w:rPr>
        <w:t>.</w:t>
      </w:r>
    </w:p>
    <w:p w14:paraId="5C0871B9" w14:textId="77777777" w:rsidR="003603E6" w:rsidRPr="001C526E" w:rsidRDefault="003603E6" w:rsidP="003603E6">
      <w:pPr>
        <w:kinsoku w:val="0"/>
        <w:overflowPunct w:val="0"/>
        <w:autoSpaceDE w:val="0"/>
        <w:autoSpaceDN w:val="0"/>
        <w:adjustRightInd w:val="0"/>
        <w:spacing w:before="240"/>
        <w:ind w:left="360" w:right="115"/>
        <w:rPr>
          <w:rFonts w:cs="Arial"/>
          <w:b/>
          <w:bCs/>
          <w:szCs w:val="20"/>
          <w:u w:val="single"/>
        </w:rPr>
      </w:pPr>
      <w:r w:rsidRPr="001C526E">
        <w:rPr>
          <w:rFonts w:cs="Arial"/>
          <w:b/>
          <w:bCs/>
          <w:szCs w:val="20"/>
          <w:u w:val="single"/>
        </w:rPr>
        <w:t>The allowable difference between the actual tare weight and the stamped (or stenciled) tare weight, or the tare weight on a tag attached to the cylinder, for a new or used cylinder manufactured on or after December 28, 2022, shall be within</w:t>
      </w:r>
      <w:hyperlink r:id="rId17">
        <w:r w:rsidRPr="001C526E">
          <w:rPr>
            <w:rFonts w:cs="Arial"/>
            <w:b/>
            <w:bCs/>
            <w:color w:val="0000FF"/>
            <w:szCs w:val="20"/>
            <w:u w:val="single"/>
          </w:rPr>
          <w:t>:</w:t>
        </w:r>
      </w:hyperlink>
      <w:r w:rsidRPr="001C526E">
        <w:rPr>
          <w:rFonts w:cs="Arial"/>
          <w:b/>
          <w:bCs/>
          <w:szCs w:val="20"/>
          <w:u w:val="single"/>
        </w:rPr>
        <w:t xml:space="preserve"> </w:t>
      </w:r>
    </w:p>
    <w:p w14:paraId="4AFFB6AD" w14:textId="587ACB81" w:rsidR="003603E6" w:rsidRPr="001C526E" w:rsidRDefault="003603E6" w:rsidP="003603E6">
      <w:pPr>
        <w:numPr>
          <w:ilvl w:val="0"/>
          <w:numId w:val="84"/>
        </w:numPr>
        <w:kinsoku w:val="0"/>
        <w:overflowPunct w:val="0"/>
        <w:autoSpaceDE w:val="0"/>
        <w:autoSpaceDN w:val="0"/>
        <w:adjustRightInd w:val="0"/>
        <w:spacing w:before="240" w:after="0"/>
        <w:ind w:left="1350" w:right="115"/>
        <w:rPr>
          <w:rFonts w:cs="Arial"/>
          <w:b/>
          <w:bCs/>
          <w:szCs w:val="20"/>
          <w:u w:val="single"/>
        </w:rPr>
      </w:pPr>
      <w:r w:rsidRPr="001C526E">
        <w:rPr>
          <w:rFonts w:cs="Arial"/>
          <w:b/>
          <w:bCs/>
          <w:szCs w:val="20"/>
          <w:u w:val="single"/>
        </w:rPr>
        <w:t xml:space="preserve">for tare weights of 11 kg (25 lb) </w:t>
      </w:r>
      <w:r w:rsidR="00191FF9">
        <w:rPr>
          <w:rFonts w:cs="Arial"/>
          <w:b/>
          <w:bCs/>
          <w:szCs w:val="20"/>
          <w:u w:val="single"/>
        </w:rPr>
        <w:t xml:space="preserve">or less </w:t>
      </w:r>
      <w:r w:rsidR="003B19B9">
        <w:rPr>
          <w:rFonts w:cs="Arial"/>
          <w:b/>
          <w:bCs/>
          <w:szCs w:val="20"/>
          <w:u w:val="single"/>
        </w:rPr>
        <w:t xml:space="preserve">cylinders </w:t>
      </w:r>
      <w:r w:rsidRPr="001C526E">
        <w:rPr>
          <w:rFonts w:cs="Arial"/>
          <w:b/>
          <w:bCs/>
          <w:szCs w:val="20"/>
          <w:u w:val="single"/>
        </w:rPr>
        <w:t>s:</w:t>
      </w:r>
    </w:p>
    <w:p w14:paraId="4F0FD6F9" w14:textId="77777777" w:rsidR="003603E6" w:rsidRPr="001C526E" w:rsidRDefault="003603E6" w:rsidP="003603E6">
      <w:pPr>
        <w:numPr>
          <w:ilvl w:val="0"/>
          <w:numId w:val="85"/>
        </w:numPr>
        <w:kinsoku w:val="0"/>
        <w:overflowPunct w:val="0"/>
        <w:autoSpaceDE w:val="0"/>
        <w:autoSpaceDN w:val="0"/>
        <w:adjustRightInd w:val="0"/>
        <w:spacing w:before="60"/>
        <w:ind w:left="1710" w:right="115"/>
        <w:rPr>
          <w:rFonts w:cs="Arial"/>
          <w:b/>
          <w:bCs/>
          <w:szCs w:val="20"/>
          <w:u w:val="single"/>
        </w:rPr>
      </w:pPr>
      <w:r w:rsidRPr="001C526E">
        <w:rPr>
          <w:rFonts w:cs="Arial"/>
          <w:b/>
          <w:bCs/>
          <w:szCs w:val="20"/>
          <w:u w:val="single"/>
        </w:rPr>
        <w:t>a lower tolerance of (-) 3 % and,</w:t>
      </w:r>
    </w:p>
    <w:p w14:paraId="2DB6FD47" w14:textId="77777777" w:rsidR="003603E6" w:rsidRPr="001C526E" w:rsidRDefault="003603E6" w:rsidP="003603E6">
      <w:pPr>
        <w:numPr>
          <w:ilvl w:val="0"/>
          <w:numId w:val="85"/>
        </w:numPr>
        <w:kinsoku w:val="0"/>
        <w:overflowPunct w:val="0"/>
        <w:autoSpaceDE w:val="0"/>
        <w:autoSpaceDN w:val="0"/>
        <w:adjustRightInd w:val="0"/>
        <w:spacing w:before="60"/>
        <w:ind w:left="1710" w:right="115"/>
        <w:rPr>
          <w:rFonts w:cs="Arial"/>
          <w:b/>
          <w:bCs/>
          <w:szCs w:val="20"/>
          <w:u w:val="single"/>
        </w:rPr>
      </w:pPr>
      <w:r w:rsidRPr="001C526E">
        <w:rPr>
          <w:rFonts w:cs="Arial"/>
          <w:b/>
          <w:bCs/>
          <w:szCs w:val="20"/>
          <w:u w:val="single"/>
        </w:rPr>
        <w:t xml:space="preserve">an upper tolerance of (+) 1 %; or </w:t>
      </w:r>
    </w:p>
    <w:p w14:paraId="601F5911" w14:textId="79DDF38B" w:rsidR="003603E6" w:rsidRPr="001C526E" w:rsidRDefault="003603E6" w:rsidP="003603E6">
      <w:pPr>
        <w:numPr>
          <w:ilvl w:val="0"/>
          <w:numId w:val="84"/>
        </w:numPr>
        <w:kinsoku w:val="0"/>
        <w:overflowPunct w:val="0"/>
        <w:autoSpaceDE w:val="0"/>
        <w:autoSpaceDN w:val="0"/>
        <w:adjustRightInd w:val="0"/>
        <w:spacing w:before="240"/>
        <w:ind w:left="1350" w:right="115"/>
        <w:rPr>
          <w:rFonts w:cs="Arial"/>
          <w:b/>
          <w:bCs/>
          <w:szCs w:val="20"/>
          <w:u w:val="single"/>
        </w:rPr>
      </w:pPr>
      <w:r w:rsidRPr="001C526E">
        <w:rPr>
          <w:rFonts w:cs="Arial"/>
          <w:b/>
          <w:bCs/>
          <w:szCs w:val="20"/>
          <w:u w:val="single"/>
        </w:rPr>
        <w:t xml:space="preserve">for tares weight </w:t>
      </w:r>
      <w:r w:rsidR="00191FF9">
        <w:rPr>
          <w:rFonts w:cs="Arial"/>
          <w:b/>
          <w:bCs/>
          <w:szCs w:val="20"/>
          <w:u w:val="single"/>
        </w:rPr>
        <w:t xml:space="preserve">of more than </w:t>
      </w:r>
      <w:r w:rsidRPr="001C526E">
        <w:rPr>
          <w:rFonts w:cs="Arial"/>
          <w:b/>
          <w:bCs/>
          <w:szCs w:val="20"/>
          <w:u w:val="single"/>
        </w:rPr>
        <w:t xml:space="preserve"> 11 kg (25 lb)</w:t>
      </w:r>
      <w:r w:rsidR="003B19B9">
        <w:rPr>
          <w:rFonts w:cs="Arial"/>
          <w:b/>
          <w:bCs/>
          <w:szCs w:val="20"/>
          <w:u w:val="single"/>
        </w:rPr>
        <w:t xml:space="preserve"> cylinders</w:t>
      </w:r>
      <w:r w:rsidRPr="001C526E">
        <w:rPr>
          <w:rFonts w:cs="Arial"/>
          <w:b/>
          <w:bCs/>
          <w:szCs w:val="20"/>
          <w:u w:val="single"/>
        </w:rPr>
        <w:t>:</w:t>
      </w:r>
    </w:p>
    <w:p w14:paraId="2DA8DDEF" w14:textId="77777777" w:rsidR="003603E6" w:rsidRPr="001C526E" w:rsidRDefault="003603E6" w:rsidP="003603E6">
      <w:pPr>
        <w:numPr>
          <w:ilvl w:val="0"/>
          <w:numId w:val="86"/>
        </w:numPr>
        <w:kinsoku w:val="0"/>
        <w:overflowPunct w:val="0"/>
        <w:autoSpaceDE w:val="0"/>
        <w:autoSpaceDN w:val="0"/>
        <w:adjustRightInd w:val="0"/>
        <w:spacing w:before="60"/>
        <w:ind w:left="1710" w:right="115"/>
        <w:rPr>
          <w:rFonts w:cs="Arial"/>
          <w:b/>
          <w:bCs/>
          <w:szCs w:val="20"/>
          <w:u w:val="single"/>
        </w:rPr>
      </w:pPr>
      <w:r w:rsidRPr="001C526E">
        <w:rPr>
          <w:rFonts w:cs="Arial"/>
          <w:b/>
          <w:bCs/>
          <w:szCs w:val="20"/>
          <w:u w:val="single"/>
        </w:rPr>
        <w:t>a lower tolerance of (-) 2 % and,</w:t>
      </w:r>
    </w:p>
    <w:p w14:paraId="374C8208" w14:textId="6CB60932" w:rsidR="00FF34F2" w:rsidRPr="00C238F2" w:rsidRDefault="003603E6" w:rsidP="00683D0C">
      <w:pPr>
        <w:numPr>
          <w:ilvl w:val="0"/>
          <w:numId w:val="86"/>
        </w:numPr>
        <w:kinsoku w:val="0"/>
        <w:overflowPunct w:val="0"/>
        <w:autoSpaceDE w:val="0"/>
        <w:autoSpaceDN w:val="0"/>
        <w:adjustRightInd w:val="0"/>
        <w:spacing w:before="60"/>
        <w:ind w:left="1710" w:right="115"/>
        <w:rPr>
          <w:rFonts w:cs="Arial"/>
          <w:b/>
          <w:bCs/>
          <w:szCs w:val="20"/>
          <w:u w:val="single"/>
        </w:rPr>
      </w:pPr>
      <w:r w:rsidRPr="001C526E">
        <w:rPr>
          <w:rFonts w:cs="Arial"/>
          <w:b/>
          <w:bCs/>
          <w:szCs w:val="20"/>
          <w:u w:val="single"/>
        </w:rPr>
        <w:t>an upper tolerance of (+) 1 %.</w:t>
      </w:r>
    </w:p>
    <w:p w14:paraId="4A9463E9" w14:textId="1E8BB61B" w:rsidR="00C238F2" w:rsidRPr="00683D0C" w:rsidRDefault="00C238F2" w:rsidP="00683D0C">
      <w:pPr>
        <w:kinsoku w:val="0"/>
        <w:overflowPunct w:val="0"/>
        <w:autoSpaceDE w:val="0"/>
        <w:autoSpaceDN w:val="0"/>
        <w:adjustRightInd w:val="0"/>
        <w:spacing w:before="60"/>
        <w:ind w:right="115"/>
        <w:rPr>
          <w:rFonts w:cs="Arial"/>
          <w:b/>
          <w:bCs/>
          <w:szCs w:val="20"/>
          <w:u w:val="single"/>
        </w:rPr>
      </w:pPr>
      <w:r>
        <w:rPr>
          <w:rFonts w:cs="Arial"/>
          <w:b/>
          <w:bCs/>
          <w:szCs w:val="20"/>
          <w:u w:val="single"/>
        </w:rPr>
        <w:t xml:space="preserve">As described by general requirement for specification cylinders, 49 C.F.R. </w:t>
      </w:r>
      <w:r w:rsidRPr="00A674C9">
        <w:rPr>
          <w:b/>
          <w:bCs/>
          <w:color w:val="000000"/>
          <w:kern w:val="2"/>
          <w:szCs w:val="20"/>
          <w:u w:val="single"/>
          <w14:ligatures w14:val="standardContextual"/>
        </w:rPr>
        <w:t>§</w:t>
      </w:r>
      <w:r>
        <w:rPr>
          <w:rFonts w:cs="Arial"/>
          <w:b/>
          <w:bCs/>
          <w:szCs w:val="20"/>
          <w:u w:val="single"/>
        </w:rPr>
        <w:t xml:space="preserve"> 178.35</w:t>
      </w:r>
    </w:p>
    <w:p w14:paraId="106DC4EA" w14:textId="7943B6B1" w:rsidR="0082288B" w:rsidRPr="001C526E" w:rsidRDefault="003603E6" w:rsidP="001C526E">
      <w:pPr>
        <w:rPr>
          <w:rFonts w:ascii="Aptos" w:eastAsia="Aptos" w:hAnsi="Aptos"/>
          <w:bCs/>
        </w:rPr>
      </w:pPr>
      <w:r w:rsidRPr="001C526E">
        <w:rPr>
          <w:rFonts w:cs="Arial"/>
          <w:bCs/>
          <w:sz w:val="22"/>
        </w:rPr>
        <w:t>The cap is not included in the tare weight.</w:t>
      </w:r>
    </w:p>
    <w:p w14:paraId="02EE2A9D" w14:textId="7B2082A8" w:rsidR="002F4E07" w:rsidRDefault="002F4E07" w:rsidP="002F4E07">
      <w:pPr>
        <w:keepNext/>
        <w:spacing w:after="0"/>
      </w:pPr>
      <w:r w:rsidRPr="00E025F9">
        <w:rPr>
          <w:b/>
        </w:rPr>
        <w:t xml:space="preserve">Previous </w:t>
      </w:r>
      <w:r>
        <w:rPr>
          <w:b/>
        </w:rPr>
        <w:t>Status</w:t>
      </w:r>
      <w:r w:rsidRPr="00E025F9">
        <w:rPr>
          <w:b/>
        </w:rPr>
        <w:t>:</w:t>
      </w:r>
    </w:p>
    <w:p w14:paraId="7AF73B37" w14:textId="2FFB9A19" w:rsidR="00AA424B" w:rsidRDefault="00AA424B" w:rsidP="00AA424B">
      <w:pPr>
        <w:spacing w:after="0"/>
        <w:ind w:left="360"/>
      </w:pPr>
      <w:bookmarkStart w:id="59" w:name="_Hlk143506736"/>
      <w:r>
        <w:t>2025: Voting – Returned to Committee</w:t>
      </w:r>
    </w:p>
    <w:p w14:paraId="2246E574" w14:textId="7BFB83AB" w:rsidR="00AA424B" w:rsidRDefault="00B50CBD" w:rsidP="00AA424B">
      <w:pPr>
        <w:ind w:left="360"/>
      </w:pPr>
      <w:r>
        <w:t xml:space="preserve">2024: </w:t>
      </w:r>
      <w:bookmarkEnd w:id="59"/>
      <w:r w:rsidR="005A5AEB">
        <w:t>Informational</w:t>
      </w:r>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1D217E0D"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w:t>
      </w:r>
      <w:r w:rsidR="000B201F" w:rsidRPr="004F3E04">
        <w:rPr>
          <w:szCs w:val="20"/>
        </w:rPr>
        <w:t>course,</w:t>
      </w:r>
      <w:r w:rsidRPr="004F3E04">
        <w:rPr>
          <w:szCs w:val="20"/>
        </w:rPr>
        <w:t xml:space="preserve"> that the great majority of cylinders, even new cylinders, were not in compliance. The reasons for that include the following:</w:t>
      </w:r>
    </w:p>
    <w:p w14:paraId="5E1C2092" w14:textId="58E630F1" w:rsidR="00FF4EEA" w:rsidRPr="004F3E04" w:rsidRDefault="00FF4EEA" w:rsidP="009405A0">
      <w:pPr>
        <w:numPr>
          <w:ilvl w:val="0"/>
          <w:numId w:val="30"/>
        </w:numPr>
        <w:spacing w:before="40" w:after="0"/>
        <w:ind w:left="1080"/>
        <w:rPr>
          <w:szCs w:val="20"/>
        </w:rPr>
      </w:pPr>
      <w:r w:rsidRPr="004F3E04">
        <w:rPr>
          <w:szCs w:val="20"/>
        </w:rPr>
        <w:t xml:space="preserve">As quoted from the report, </w:t>
      </w:r>
      <w:r w:rsidRPr="004F3E04">
        <w:rPr>
          <w:i/>
          <w:iCs/>
          <w:szCs w:val="20"/>
        </w:rPr>
        <w:t xml:space="preserve">“Initial assessments suggest that cylinder manufactures use a tolerance of 1%, which is primarily based on </w:t>
      </w:r>
      <w:r w:rsidR="006E03A8">
        <w:rPr>
          <w:i/>
          <w:iCs/>
          <w:szCs w:val="20"/>
        </w:rPr>
        <w:t>Transport Canada</w:t>
      </w:r>
      <w:r w:rsidRPr="004F3E04">
        <w:rPr>
          <w:i/>
          <w:iCs/>
          <w:szCs w:val="20"/>
        </w:rPr>
        <w:t>’s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9405A0">
      <w:pPr>
        <w:numPr>
          <w:ilvl w:val="0"/>
          <w:numId w:val="30"/>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DF4E80">
      <w:pPr>
        <w:keepNext/>
        <w:keepLines/>
        <w:numPr>
          <w:ilvl w:val="0"/>
          <w:numId w:val="30"/>
        </w:numPr>
        <w:spacing w:before="40" w:after="0"/>
        <w:ind w:left="1080"/>
        <w:rPr>
          <w:szCs w:val="20"/>
        </w:rPr>
      </w:pPr>
      <w:r w:rsidRPr="004F3E04">
        <w:rPr>
          <w:szCs w:val="20"/>
        </w:rPr>
        <w:lastRenderedPageBreak/>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9405A0">
      <w:pPr>
        <w:numPr>
          <w:ilvl w:val="0"/>
          <w:numId w:val="30"/>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9405A0">
      <w:pPr>
        <w:numPr>
          <w:ilvl w:val="0"/>
          <w:numId w:val="30"/>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9405A0">
      <w:pPr>
        <w:keepNext/>
        <w:numPr>
          <w:ilvl w:val="0"/>
          <w:numId w:val="30"/>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9405A0">
      <w:pPr>
        <w:keepNext/>
        <w:numPr>
          <w:ilvl w:val="0"/>
          <w:numId w:val="30"/>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8FA1022" w14:textId="230952C5" w:rsidR="006E03A8" w:rsidRPr="00346B96" w:rsidRDefault="000E02AA" w:rsidP="000F6A3F">
      <w:pPr>
        <w:pStyle w:val="ListParagraph"/>
        <w:numPr>
          <w:ilvl w:val="0"/>
          <w:numId w:val="31"/>
        </w:numPr>
        <w:spacing w:before="40" w:after="0"/>
        <w:ind w:left="1080"/>
        <w:contextualSpacing/>
        <w:rPr>
          <w:b/>
        </w:rPr>
      </w:pPr>
      <w:r w:rsidRPr="00346B96">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52DA3F6D" w14:textId="1FD9E887" w:rsidR="006E03A8" w:rsidRPr="000E02AA" w:rsidRDefault="006E03A8" w:rsidP="006E03A8">
      <w:pPr>
        <w:pStyle w:val="ListParagraph"/>
        <w:keepNext/>
        <w:keepLines/>
        <w:numPr>
          <w:ilvl w:val="0"/>
          <w:numId w:val="31"/>
        </w:numPr>
        <w:spacing w:before="40"/>
        <w:ind w:left="1080"/>
        <w:contextualSpacing/>
        <w:rPr>
          <w:b/>
        </w:rPr>
      </w:pPr>
      <w:r w:rsidRPr="000E02AA">
        <w:rPr>
          <w:szCs w:val="20"/>
        </w:rPr>
        <w:t>“We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weight of a cylinder becomes very difficult unless specific procedures are followed to ensure that the cylinder is truly “empty.”</w:t>
      </w:r>
    </w:p>
    <w:p w14:paraId="3A509682" w14:textId="19C01523" w:rsidR="006E03A8" w:rsidRPr="0049496F" w:rsidRDefault="006E03A8" w:rsidP="0049496F">
      <w:pPr>
        <w:pStyle w:val="ListParagraph"/>
        <w:spacing w:before="40" w:after="0"/>
        <w:ind w:left="1080"/>
        <w:contextualSpacing/>
        <w:rPr>
          <w:b/>
        </w:rPr>
      </w:pPr>
    </w:p>
    <w:p w14:paraId="730D5870" w14:textId="4E8F2367" w:rsidR="000C49A7" w:rsidRPr="000E02AA" w:rsidRDefault="00537E02" w:rsidP="000E02AA">
      <w:pPr>
        <w:keepNext/>
        <w:spacing w:before="40"/>
        <w:rPr>
          <w:bCs/>
        </w:rPr>
      </w:pPr>
      <w:r>
        <w:rPr>
          <w:szCs w:val="20"/>
        </w:rPr>
        <w:lastRenderedPageBreak/>
        <w:t>The submitter requested that this be a voting item in 2024 and a retroactive requirement, enforceable to all devices</w:t>
      </w:r>
      <w:r w:rsidR="000E02AA" w:rsidRPr="000E02AA">
        <w:rPr>
          <w:bCs/>
        </w:rPr>
        <w:t xml:space="preserve">. </w:t>
      </w:r>
    </w:p>
    <w:p w14:paraId="3DBE440B" w14:textId="77777777" w:rsidR="005D742F" w:rsidRPr="002A7C3B" w:rsidRDefault="005D742F" w:rsidP="005D742F">
      <w:pPr>
        <w:keepNext/>
        <w:rPr>
          <w:b/>
        </w:rPr>
      </w:pPr>
      <w:bookmarkStart w:id="60" w:name="_Hlk158737865"/>
      <w:r>
        <w:rPr>
          <w:b/>
        </w:rPr>
        <w:t>Comments</w:t>
      </w:r>
      <w:r w:rsidRPr="002A7C3B">
        <w:rPr>
          <w:b/>
        </w:rPr>
        <w:t xml:space="preserve"> in Favor:</w:t>
      </w:r>
    </w:p>
    <w:p w14:paraId="4745394E" w14:textId="67BAF4C4" w:rsidR="005D742F" w:rsidRDefault="0042639E" w:rsidP="005D742F">
      <w:pPr>
        <w:keepNext/>
        <w:spacing w:after="0"/>
        <w:ind w:left="720"/>
        <w:rPr>
          <w:b/>
        </w:rPr>
      </w:pPr>
      <w:r>
        <w:rPr>
          <w:b/>
        </w:rPr>
        <w:t>Weights and Measures Officials</w:t>
      </w:r>
      <w:r w:rsidR="005D742F" w:rsidRPr="002A7C3B">
        <w:rPr>
          <w:b/>
        </w:rPr>
        <w:t>:</w:t>
      </w:r>
    </w:p>
    <w:p w14:paraId="4A186193" w14:textId="5B45E0C5" w:rsidR="000D61CB" w:rsidRPr="000D61CB" w:rsidRDefault="00296CD3" w:rsidP="000D61CB">
      <w:pPr>
        <w:pStyle w:val="ListParagraph"/>
        <w:keepNext/>
        <w:numPr>
          <w:ilvl w:val="0"/>
          <w:numId w:val="65"/>
        </w:numPr>
        <w:spacing w:after="0"/>
        <w:rPr>
          <w:b/>
        </w:rPr>
      </w:pPr>
      <w:r w:rsidRPr="00B530E4">
        <w:rPr>
          <w:bCs/>
        </w:rPr>
        <w:t xml:space="preserve">Several </w:t>
      </w:r>
      <w:r w:rsidR="001B29F9">
        <w:rPr>
          <w:bCs/>
        </w:rPr>
        <w:t>w</w:t>
      </w:r>
      <w:r w:rsidR="009A411E" w:rsidRPr="001B29F9">
        <w:rPr>
          <w:bCs/>
        </w:rPr>
        <w:t xml:space="preserve">eights and </w:t>
      </w:r>
      <w:r w:rsidR="001B29F9">
        <w:rPr>
          <w:bCs/>
        </w:rPr>
        <w:t>m</w:t>
      </w:r>
      <w:r w:rsidR="009A411E" w:rsidRPr="001B29F9">
        <w:rPr>
          <w:bCs/>
        </w:rPr>
        <w:t xml:space="preserve">easures </w:t>
      </w:r>
      <w:r w:rsidR="0000792B" w:rsidRPr="001B29F9">
        <w:rPr>
          <w:bCs/>
        </w:rPr>
        <w:t>o</w:t>
      </w:r>
      <w:r w:rsidR="0042639E" w:rsidRPr="001B29F9">
        <w:rPr>
          <w:bCs/>
        </w:rPr>
        <w:t>fficial</w:t>
      </w:r>
      <w:r w:rsidR="00A1544D" w:rsidRPr="001B29F9">
        <w:rPr>
          <w:bCs/>
        </w:rPr>
        <w:t>s</w:t>
      </w:r>
      <w:r w:rsidR="0068627A">
        <w:rPr>
          <w:bCs/>
        </w:rPr>
        <w:t xml:space="preserve"> </w:t>
      </w:r>
      <w:r w:rsidR="009A411E" w:rsidRPr="00B530E4">
        <w:rPr>
          <w:bCs/>
        </w:rPr>
        <w:t xml:space="preserve">supported </w:t>
      </w:r>
      <w:r w:rsidR="00E901C2" w:rsidRPr="00B530E4">
        <w:rPr>
          <w:bCs/>
        </w:rPr>
        <w:t>amending the Item as proposed by NIST OWM and moving it forward as a Voting item</w:t>
      </w:r>
      <w:r w:rsidR="00E901C2">
        <w:rPr>
          <w:b/>
        </w:rPr>
        <w:t>.</w:t>
      </w:r>
    </w:p>
    <w:p w14:paraId="7171C9BB" w14:textId="77777777" w:rsidR="00E87262" w:rsidRDefault="005D742F" w:rsidP="00DF4E80">
      <w:pPr>
        <w:keepNext/>
        <w:keepLines/>
        <w:spacing w:before="240" w:after="0"/>
        <w:ind w:left="720"/>
        <w:rPr>
          <w:b/>
        </w:rPr>
      </w:pPr>
      <w:r w:rsidRPr="002A7C3B">
        <w:rPr>
          <w:b/>
        </w:rPr>
        <w:t>Industry:</w:t>
      </w:r>
    </w:p>
    <w:p w14:paraId="610B0E25" w14:textId="05F3F5D9" w:rsidR="00C757EF" w:rsidRPr="00C27632" w:rsidRDefault="001F4C04" w:rsidP="00C27632">
      <w:pPr>
        <w:pStyle w:val="ListParagraph"/>
        <w:keepNext/>
        <w:keepLines/>
        <w:numPr>
          <w:ilvl w:val="0"/>
          <w:numId w:val="26"/>
        </w:numPr>
        <w:spacing w:after="0"/>
        <w:rPr>
          <w:bCs/>
        </w:rPr>
      </w:pPr>
      <w:r>
        <w:rPr>
          <w:bCs/>
        </w:rPr>
        <w:t xml:space="preserve">The representative for the National Propane Gas </w:t>
      </w:r>
      <w:r w:rsidR="006E03A8">
        <w:rPr>
          <w:bCs/>
        </w:rPr>
        <w:t>A</w:t>
      </w:r>
      <w:r>
        <w:rPr>
          <w:bCs/>
        </w:rPr>
        <w:t xml:space="preserve">ssociation recommended that the Committee adopt the </w:t>
      </w:r>
      <w:r w:rsidR="0068627A">
        <w:rPr>
          <w:bCs/>
        </w:rPr>
        <w:t>language</w:t>
      </w:r>
      <w:r>
        <w:rPr>
          <w:bCs/>
        </w:rPr>
        <w:t xml:space="preserve"> changes provided by NIST OWM and move the item forward as a Voting item.</w:t>
      </w:r>
    </w:p>
    <w:p w14:paraId="7580180F" w14:textId="77777777" w:rsidR="00C757EF" w:rsidRPr="00C757EF" w:rsidRDefault="00C757EF" w:rsidP="00C757EF">
      <w:pPr>
        <w:pStyle w:val="ListParagraph"/>
        <w:spacing w:before="240" w:after="0" w:line="259" w:lineRule="auto"/>
        <w:contextualSpacing/>
        <w:jc w:val="left"/>
        <w:rPr>
          <w:b/>
        </w:rPr>
      </w:pPr>
    </w:p>
    <w:p w14:paraId="738D47FC" w14:textId="34CB8435" w:rsidR="00B308BB" w:rsidRPr="00161AB1" w:rsidRDefault="005D742F" w:rsidP="00B32AD5">
      <w:pPr>
        <w:pStyle w:val="ListParagraph"/>
        <w:spacing w:before="240" w:after="0" w:line="259" w:lineRule="auto"/>
        <w:contextualSpacing/>
        <w:jc w:val="left"/>
        <w:rPr>
          <w:b/>
        </w:rPr>
      </w:pPr>
      <w:r w:rsidRPr="00C757EF">
        <w:rPr>
          <w:b/>
        </w:rPr>
        <w:t>Advisory:</w:t>
      </w:r>
    </w:p>
    <w:p w14:paraId="611B2E4A" w14:textId="02E0BCD6" w:rsidR="005D742F" w:rsidRPr="002A7C3B" w:rsidRDefault="00AD2513" w:rsidP="005D742F">
      <w:pPr>
        <w:pStyle w:val="ListParagraph"/>
        <w:numPr>
          <w:ilvl w:val="0"/>
          <w:numId w:val="26"/>
        </w:numPr>
        <w:spacing w:after="0" w:line="259" w:lineRule="auto"/>
        <w:contextualSpacing/>
        <w:jc w:val="left"/>
      </w:pPr>
      <w:r>
        <w:t>None</w:t>
      </w:r>
    </w:p>
    <w:p w14:paraId="6ACBC36B" w14:textId="77777777" w:rsidR="005D742F" w:rsidRPr="002A7C3B" w:rsidRDefault="005D742F" w:rsidP="005D742F">
      <w:pPr>
        <w:spacing w:before="240"/>
        <w:rPr>
          <w:b/>
        </w:rPr>
      </w:pPr>
      <w:r>
        <w:rPr>
          <w:b/>
        </w:rPr>
        <w:t>Comments</w:t>
      </w:r>
      <w:r w:rsidRPr="002A7C3B">
        <w:rPr>
          <w:b/>
        </w:rPr>
        <w:t xml:space="preserve"> Against:</w:t>
      </w:r>
    </w:p>
    <w:p w14:paraId="51311253" w14:textId="7B2B2885" w:rsidR="0000792B" w:rsidRDefault="0042639E" w:rsidP="005D742F">
      <w:pPr>
        <w:spacing w:after="0"/>
        <w:ind w:left="720"/>
        <w:rPr>
          <w:b/>
        </w:rPr>
      </w:pPr>
      <w:r>
        <w:rPr>
          <w:b/>
        </w:rPr>
        <w:t>Weights and Measures Officials</w:t>
      </w:r>
      <w:r w:rsidR="005D742F" w:rsidRPr="002A7C3B">
        <w:rPr>
          <w:b/>
        </w:rPr>
        <w:t>:</w:t>
      </w:r>
      <w:r w:rsidR="00E901C2">
        <w:rPr>
          <w:b/>
        </w:rPr>
        <w:t xml:space="preserve"> </w:t>
      </w:r>
    </w:p>
    <w:p w14:paraId="07E8419E" w14:textId="28331847" w:rsidR="005D742F" w:rsidRPr="0000792B" w:rsidRDefault="0068627A" w:rsidP="0049496F">
      <w:pPr>
        <w:pStyle w:val="ListParagraph"/>
        <w:numPr>
          <w:ilvl w:val="0"/>
          <w:numId w:val="26"/>
        </w:numPr>
        <w:spacing w:after="0"/>
        <w:rPr>
          <w:bCs/>
        </w:rPr>
      </w:pPr>
      <w:r w:rsidRPr="0000792B">
        <w:rPr>
          <w:bCs/>
        </w:rPr>
        <w:t xml:space="preserve">A </w:t>
      </w:r>
      <w:r w:rsidR="001B29F9">
        <w:rPr>
          <w:bCs/>
        </w:rPr>
        <w:t>w</w:t>
      </w:r>
      <w:r w:rsidR="00AD2513" w:rsidRPr="001B29F9">
        <w:rPr>
          <w:bCs/>
        </w:rPr>
        <w:t xml:space="preserve">eights and </w:t>
      </w:r>
      <w:r w:rsidR="001B29F9">
        <w:rPr>
          <w:bCs/>
        </w:rPr>
        <w:t>m</w:t>
      </w:r>
      <w:r w:rsidR="00AD2513" w:rsidRPr="001B29F9">
        <w:rPr>
          <w:bCs/>
        </w:rPr>
        <w:t xml:space="preserve">easures </w:t>
      </w:r>
      <w:r w:rsidR="0000792B" w:rsidRPr="001B29F9">
        <w:rPr>
          <w:bCs/>
        </w:rPr>
        <w:t>o</w:t>
      </w:r>
      <w:r w:rsidR="00AD2513" w:rsidRPr="001B29F9">
        <w:rPr>
          <w:bCs/>
        </w:rPr>
        <w:t>fficial</w:t>
      </w:r>
      <w:r w:rsidR="00AD2513" w:rsidRPr="0000792B">
        <w:rPr>
          <w:bCs/>
        </w:rPr>
        <w:t xml:space="preserve"> representing California opposed this item and recommended Withdraw.</w:t>
      </w:r>
    </w:p>
    <w:p w14:paraId="742A0BE2" w14:textId="77777777" w:rsidR="005D742F" w:rsidRPr="002A7C3B" w:rsidRDefault="005D742F" w:rsidP="005D742F">
      <w:pPr>
        <w:spacing w:before="240" w:after="0"/>
        <w:ind w:left="720"/>
        <w:rPr>
          <w:b/>
        </w:rPr>
      </w:pPr>
      <w:r w:rsidRPr="002A7C3B">
        <w:rPr>
          <w:b/>
        </w:rPr>
        <w:t>Industry:</w:t>
      </w:r>
    </w:p>
    <w:p w14:paraId="0C16D3DE" w14:textId="39B54976" w:rsidR="005D742F" w:rsidRPr="002A7C3B" w:rsidRDefault="00AD2513" w:rsidP="005D742F">
      <w:pPr>
        <w:pStyle w:val="ListParagraph"/>
        <w:numPr>
          <w:ilvl w:val="0"/>
          <w:numId w:val="27"/>
        </w:numPr>
        <w:spacing w:after="0" w:line="259" w:lineRule="auto"/>
        <w:contextualSpacing/>
        <w:jc w:val="left"/>
      </w:pPr>
      <w:r>
        <w:t>None</w:t>
      </w:r>
    </w:p>
    <w:p w14:paraId="62CA9B60" w14:textId="77777777" w:rsidR="005D742F" w:rsidRPr="00AC5B86" w:rsidRDefault="005D742F" w:rsidP="005D742F">
      <w:pPr>
        <w:spacing w:before="240" w:after="0"/>
        <w:ind w:left="720"/>
        <w:rPr>
          <w:b/>
        </w:rPr>
      </w:pPr>
      <w:r w:rsidRPr="002A7C3B">
        <w:rPr>
          <w:b/>
        </w:rPr>
        <w:t>Advisory:</w:t>
      </w:r>
    </w:p>
    <w:p w14:paraId="78D4138B" w14:textId="5D3658B5" w:rsidR="008C1FCD" w:rsidRPr="008C1FCD" w:rsidRDefault="008C1FCD" w:rsidP="008C1FCD">
      <w:pPr>
        <w:pStyle w:val="ListParagraph"/>
        <w:numPr>
          <w:ilvl w:val="0"/>
          <w:numId w:val="27"/>
        </w:numPr>
      </w:pPr>
      <w:r>
        <w:t>The NIST OWM representative</w:t>
      </w:r>
      <w:r w:rsidR="00183D44">
        <w:t xml:space="preserve"> shared that the Federal </w:t>
      </w:r>
      <w:r w:rsidRPr="008C1FCD">
        <w:t>DOT code</w:t>
      </w:r>
      <w:r w:rsidR="00802FE0">
        <w:t xml:space="preserve"> changes</w:t>
      </w:r>
      <w:r w:rsidR="006C2840">
        <w:t xml:space="preserve"> </w:t>
      </w:r>
      <w:r w:rsidR="00D07FC9">
        <w:t xml:space="preserve">on </w:t>
      </w:r>
      <w:r w:rsidR="00CA19C4">
        <w:t>tare weight</w:t>
      </w:r>
      <w:r w:rsidRPr="008C1FCD">
        <w:t xml:space="preserve"> </w:t>
      </w:r>
      <w:r w:rsidR="00EC3E30">
        <w:t>allowable differences</w:t>
      </w:r>
      <w:r w:rsidRPr="008C1FCD">
        <w:t xml:space="preserve"> </w:t>
      </w:r>
      <w:r w:rsidR="007F4B9C">
        <w:t xml:space="preserve">have </w:t>
      </w:r>
      <w:r w:rsidRPr="008C1FCD">
        <w:t xml:space="preserve"> been implemented</w:t>
      </w:r>
      <w:r w:rsidR="00183D44">
        <w:t xml:space="preserve"> </w:t>
      </w:r>
      <w:r w:rsidR="00D203B0">
        <w:t>and the</w:t>
      </w:r>
      <w:r w:rsidR="00556B03">
        <w:t xml:space="preserve">y </w:t>
      </w:r>
      <w:r w:rsidR="0071155B">
        <w:t>supersede the</w:t>
      </w:r>
      <w:r w:rsidR="00D203B0">
        <w:t xml:space="preserve"> NIST Handbook regulation</w:t>
      </w:r>
      <w:r w:rsidRPr="008C1FCD">
        <w:t xml:space="preserve"> </w:t>
      </w:r>
      <w:r w:rsidR="00E2489A">
        <w:t xml:space="preserve">. He stated that we </w:t>
      </w:r>
      <w:r w:rsidR="00E2489A" w:rsidRPr="008C1FCD">
        <w:t>need</w:t>
      </w:r>
      <w:r w:rsidRPr="008C1FCD">
        <w:t xml:space="preserve"> to move</w:t>
      </w:r>
      <w:r w:rsidR="00E2489A">
        <w:t xml:space="preserve"> to avoid Federal</w:t>
      </w:r>
      <w:r w:rsidRPr="008C1FCD">
        <w:t xml:space="preserve"> preemption</w:t>
      </w:r>
      <w:r w:rsidR="00F03F5E">
        <w:t xml:space="preserve">. </w:t>
      </w:r>
      <w:r w:rsidR="00AA464C">
        <w:t>The NIST OWM representative provided suggested language changes</w:t>
      </w:r>
      <w:r w:rsidR="0026567F">
        <w:t xml:space="preserve"> and requested </w:t>
      </w:r>
      <w:r w:rsidR="00882D02">
        <w:t>them to be reflected in H</w:t>
      </w:r>
      <w:r w:rsidR="00832F99">
        <w:t xml:space="preserve">B </w:t>
      </w:r>
      <w:r w:rsidR="00882D02">
        <w:t>130 and H</w:t>
      </w:r>
      <w:r w:rsidR="00832F99">
        <w:t xml:space="preserve">B </w:t>
      </w:r>
      <w:r w:rsidR="00882D02">
        <w:t xml:space="preserve">133 to align </w:t>
      </w:r>
      <w:r w:rsidR="00300F69">
        <w:t xml:space="preserve">the requirements in </w:t>
      </w:r>
      <w:r w:rsidR="00882D02">
        <w:t>both pub</w:t>
      </w:r>
      <w:r w:rsidR="00BA61CA">
        <w:t xml:space="preserve">lications. </w:t>
      </w:r>
    </w:p>
    <w:p w14:paraId="11B7A6C4" w14:textId="47E9F017" w:rsidR="005D742F" w:rsidRDefault="00AD2513" w:rsidP="005D742F">
      <w:pPr>
        <w:pStyle w:val="ListParagraph"/>
        <w:numPr>
          <w:ilvl w:val="0"/>
          <w:numId w:val="27"/>
        </w:numPr>
        <w:spacing w:after="0" w:line="259" w:lineRule="auto"/>
        <w:contextualSpacing/>
        <w:jc w:val="left"/>
      </w:pPr>
      <w:r>
        <w:t>None</w:t>
      </w:r>
    </w:p>
    <w:p w14:paraId="4D856E77" w14:textId="77777777" w:rsidR="005D742F" w:rsidRPr="002A7C3B" w:rsidRDefault="005D742F" w:rsidP="005D742F">
      <w:pPr>
        <w:spacing w:before="240"/>
        <w:rPr>
          <w:b/>
        </w:rPr>
      </w:pPr>
      <w:r>
        <w:rPr>
          <w:b/>
        </w:rPr>
        <w:t>Neutral Comments</w:t>
      </w:r>
      <w:r w:rsidRPr="002A7C3B">
        <w:rPr>
          <w:b/>
        </w:rPr>
        <w:t>:</w:t>
      </w:r>
    </w:p>
    <w:p w14:paraId="12EBAD17" w14:textId="52461C81" w:rsidR="005D742F" w:rsidRPr="002A7C3B" w:rsidRDefault="0042639E" w:rsidP="005D742F">
      <w:pPr>
        <w:spacing w:after="0"/>
        <w:ind w:left="720"/>
        <w:rPr>
          <w:b/>
        </w:rPr>
      </w:pPr>
      <w:r>
        <w:rPr>
          <w:b/>
        </w:rPr>
        <w:t>Weights and Measures Officials</w:t>
      </w:r>
      <w:r w:rsidR="005D742F" w:rsidRPr="002A7C3B">
        <w:rPr>
          <w:b/>
        </w:rPr>
        <w:t>:</w:t>
      </w:r>
    </w:p>
    <w:p w14:paraId="765C075F" w14:textId="7820FFC1" w:rsidR="005D742F" w:rsidRPr="002A7C3B" w:rsidRDefault="00AD2513" w:rsidP="005D742F">
      <w:pPr>
        <w:pStyle w:val="ListParagraph"/>
        <w:numPr>
          <w:ilvl w:val="0"/>
          <w:numId w:val="27"/>
        </w:numPr>
        <w:spacing w:after="0" w:line="259" w:lineRule="auto"/>
        <w:contextualSpacing/>
        <w:jc w:val="left"/>
      </w:pPr>
      <w:r>
        <w:t>None</w:t>
      </w:r>
      <w:r w:rsidR="00E95A12">
        <w:t>.</w:t>
      </w:r>
    </w:p>
    <w:p w14:paraId="4393B44F" w14:textId="73249A7C" w:rsidR="005D742F" w:rsidRPr="002A7C3B" w:rsidRDefault="005D742F" w:rsidP="005D742F">
      <w:pPr>
        <w:spacing w:before="240" w:after="0"/>
        <w:ind w:left="720"/>
        <w:rPr>
          <w:b/>
        </w:rPr>
      </w:pPr>
      <w:r w:rsidRPr="002A7C3B">
        <w:rPr>
          <w:b/>
        </w:rPr>
        <w:t>Industry:</w:t>
      </w:r>
    </w:p>
    <w:p w14:paraId="14790AA7" w14:textId="383C0DB8" w:rsidR="005D742F" w:rsidRPr="002A7C3B" w:rsidRDefault="00AD2513" w:rsidP="005D742F">
      <w:pPr>
        <w:pStyle w:val="ListParagraph"/>
        <w:numPr>
          <w:ilvl w:val="0"/>
          <w:numId w:val="27"/>
        </w:numPr>
        <w:spacing w:after="0" w:line="259" w:lineRule="auto"/>
        <w:contextualSpacing/>
        <w:jc w:val="left"/>
      </w:pPr>
      <w:r>
        <w:t>None</w:t>
      </w:r>
    </w:p>
    <w:p w14:paraId="029A54E1" w14:textId="77777777" w:rsidR="005D742F" w:rsidRPr="002A7C3B" w:rsidRDefault="005D742F" w:rsidP="005D742F">
      <w:pPr>
        <w:spacing w:before="240" w:after="0"/>
        <w:ind w:left="720"/>
        <w:rPr>
          <w:b/>
        </w:rPr>
      </w:pPr>
      <w:r w:rsidRPr="002A7C3B">
        <w:rPr>
          <w:b/>
        </w:rPr>
        <w:t>Advisory:</w:t>
      </w:r>
    </w:p>
    <w:p w14:paraId="5893DF87" w14:textId="761ABBBF" w:rsidR="006E03A8" w:rsidRDefault="00AD2513" w:rsidP="006E03A8">
      <w:pPr>
        <w:pStyle w:val="ListParagraph"/>
        <w:keepNext/>
        <w:keepLines/>
        <w:numPr>
          <w:ilvl w:val="0"/>
          <w:numId w:val="27"/>
        </w:numPr>
        <w:spacing w:after="0" w:line="259" w:lineRule="auto"/>
        <w:contextualSpacing/>
        <w:jc w:val="left"/>
      </w:pPr>
      <w:r>
        <w:t>None</w:t>
      </w:r>
    </w:p>
    <w:p w14:paraId="70FE8299" w14:textId="77777777" w:rsidR="006C2840" w:rsidRDefault="006C2840" w:rsidP="006C2840">
      <w:pPr>
        <w:pStyle w:val="ListParagraph"/>
        <w:keepNext/>
        <w:keepLines/>
        <w:spacing w:after="0" w:line="259" w:lineRule="auto"/>
        <w:ind w:left="1080"/>
        <w:contextualSpacing/>
        <w:jc w:val="left"/>
      </w:pPr>
    </w:p>
    <w:bookmarkEnd w:id="60"/>
    <w:p w14:paraId="1C115FAB" w14:textId="77777777" w:rsidR="00854A3E" w:rsidRDefault="002F4E07" w:rsidP="00346B96">
      <w:pPr>
        <w:spacing w:after="0"/>
        <w:rPr>
          <w:szCs w:val="20"/>
          <w:u w:val="single"/>
        </w:rPr>
      </w:pPr>
      <w:r w:rsidRPr="002A7C3B">
        <w:rPr>
          <w:b/>
        </w:rPr>
        <w:t>Item Develop</w:t>
      </w:r>
      <w:r w:rsidRPr="00E025F9">
        <w:rPr>
          <w:b/>
        </w:rPr>
        <w:t>ment:</w:t>
      </w:r>
      <w:r w:rsidR="006E03A8" w:rsidRPr="006E03A8">
        <w:rPr>
          <w:szCs w:val="20"/>
          <w:u w:val="single"/>
        </w:rPr>
        <w:t xml:space="preserve"> </w:t>
      </w:r>
    </w:p>
    <w:p w14:paraId="2E676B15" w14:textId="1176A8DF" w:rsidR="002F4E07" w:rsidRPr="00346B96" w:rsidRDefault="006E03A8" w:rsidP="00346B96">
      <w:pPr>
        <w:spacing w:after="0"/>
        <w:rPr>
          <w:szCs w:val="20"/>
          <w:u w:val="single"/>
        </w:rPr>
      </w:pPr>
      <w:r w:rsidRPr="00960A2B">
        <w:rPr>
          <w:szCs w:val="20"/>
          <w:u w:val="single"/>
        </w:rPr>
        <w:t>NCWM 202</w:t>
      </w:r>
      <w:r>
        <w:rPr>
          <w:szCs w:val="20"/>
          <w:u w:val="single"/>
        </w:rPr>
        <w:t>6</w:t>
      </w:r>
      <w:r w:rsidRPr="00960A2B">
        <w:rPr>
          <w:szCs w:val="20"/>
          <w:u w:val="single"/>
        </w:rPr>
        <w:t xml:space="preserve"> Interim:</w:t>
      </w:r>
      <w:r w:rsidRPr="00325A55">
        <w:rPr>
          <w:szCs w:val="20"/>
        </w:rPr>
        <w:t xml:space="preserve"> The Committee accepted the proposed changes by NIST OWM including adding the new language to NIST Handbook 133 to harmonize the requirements in both Handbooks. The item now shows Section 3.13.</w:t>
      </w:r>
      <w:r>
        <w:rPr>
          <w:szCs w:val="20"/>
        </w:rPr>
        <w:t>2</w:t>
      </w:r>
      <w:r w:rsidRPr="00325A55">
        <w:rPr>
          <w:szCs w:val="20"/>
        </w:rPr>
        <w:t xml:space="preserve"> of</w:t>
      </w:r>
      <w:r>
        <w:rPr>
          <w:szCs w:val="20"/>
        </w:rPr>
        <w:t xml:space="preserve"> </w:t>
      </w:r>
      <w:r w:rsidRPr="00325A55">
        <w:rPr>
          <w:szCs w:val="20"/>
        </w:rPr>
        <w:t>HB</w:t>
      </w:r>
      <w:r>
        <w:rPr>
          <w:szCs w:val="20"/>
        </w:rPr>
        <w:t xml:space="preserve"> </w:t>
      </w:r>
      <w:r w:rsidRPr="00325A55">
        <w:rPr>
          <w:szCs w:val="20"/>
        </w:rPr>
        <w:t>133</w:t>
      </w:r>
      <w:r w:rsidR="002B06D6">
        <w:rPr>
          <w:szCs w:val="20"/>
        </w:rPr>
        <w:t>, incorporating a reference to the allowable tare</w:t>
      </w:r>
      <w:r w:rsidRPr="00325A55">
        <w:rPr>
          <w:szCs w:val="20"/>
        </w:rPr>
        <w:t xml:space="preserve"> differences in HB</w:t>
      </w:r>
      <w:r>
        <w:rPr>
          <w:szCs w:val="20"/>
        </w:rPr>
        <w:t xml:space="preserve"> </w:t>
      </w:r>
      <w:r w:rsidRPr="00325A55">
        <w:rPr>
          <w:szCs w:val="20"/>
        </w:rPr>
        <w:t xml:space="preserve">130. Additionally, the Committee added the words “cylinders” to that language to better denote the allowable tare differences of each specific cylinder size, per example, instead of reading “for tare weight of 11 kg (25 lb.) or less” it reads “for tare weights of 11 kg (25 lb.) </w:t>
      </w:r>
      <w:r w:rsidR="00191FF9">
        <w:rPr>
          <w:szCs w:val="20"/>
        </w:rPr>
        <w:t xml:space="preserve">or less </w:t>
      </w:r>
      <w:r>
        <w:rPr>
          <w:szCs w:val="20"/>
        </w:rPr>
        <w:t xml:space="preserve">cylinders </w:t>
      </w:r>
      <w:r w:rsidRPr="00325A55">
        <w:rPr>
          <w:szCs w:val="20"/>
        </w:rPr>
        <w:t>”. W</w:t>
      </w:r>
      <w:r>
        <w:rPr>
          <w:szCs w:val="20"/>
        </w:rPr>
        <w:t>ith</w:t>
      </w:r>
      <w:r w:rsidRPr="00325A55">
        <w:rPr>
          <w:szCs w:val="20"/>
        </w:rPr>
        <w:t xml:space="preserve"> these changes the item is moving forward as Voting. </w:t>
      </w:r>
    </w:p>
    <w:p w14:paraId="276CD57B" w14:textId="08C38370" w:rsidR="002C6158" w:rsidRDefault="000B0DA7" w:rsidP="002C6158">
      <w:pPr>
        <w:keepNext/>
        <w:keepLines/>
        <w:spacing w:after="0"/>
      </w:pPr>
      <w:r>
        <w:rPr>
          <w:szCs w:val="20"/>
          <w:u w:val="single"/>
        </w:rPr>
        <w:lastRenderedPageBreak/>
        <w:t>NCWM 2025 Annual</w:t>
      </w:r>
      <w:r w:rsidRPr="0047185B">
        <w:rPr>
          <w:szCs w:val="20"/>
        </w:rPr>
        <w:t>:</w:t>
      </w:r>
      <w:r w:rsidR="002513EC" w:rsidRPr="0047185B">
        <w:rPr>
          <w:szCs w:val="20"/>
        </w:rPr>
        <w:t xml:space="preserve"> </w:t>
      </w:r>
      <w:r w:rsidR="002513EC">
        <w:rPr>
          <w:rFonts w:eastAsia="Times New Roman"/>
          <w:szCs w:val="24"/>
        </w:rPr>
        <w:t>The Committee was provided with proposed new language for the item from NIST OWM. The new language was developed in consultation with the National Propane Gas Association.   The Committee</w:t>
      </w:r>
      <w:r w:rsidR="00147C5B">
        <w:rPr>
          <w:rFonts w:eastAsia="Times New Roman"/>
          <w:szCs w:val="24"/>
        </w:rPr>
        <w:t>,</w:t>
      </w:r>
      <w:r w:rsidR="002513EC">
        <w:rPr>
          <w:rFonts w:eastAsia="Times New Roman"/>
          <w:szCs w:val="24"/>
        </w:rPr>
        <w:t xml:space="preserve"> hearing support for the language from membership</w:t>
      </w:r>
      <w:r w:rsidR="00147C5B">
        <w:rPr>
          <w:rFonts w:eastAsia="Times New Roman"/>
          <w:szCs w:val="24"/>
        </w:rPr>
        <w:t>,</w:t>
      </w:r>
      <w:r w:rsidR="002513EC">
        <w:rPr>
          <w:rFonts w:eastAsia="Times New Roman"/>
          <w:szCs w:val="24"/>
        </w:rPr>
        <w:t xml:space="preserve"> accepted the proposed changes from NIST OWM</w:t>
      </w:r>
      <w:r w:rsidR="00C41562">
        <w:rPr>
          <w:rFonts w:eastAsia="Times New Roman"/>
          <w:szCs w:val="24"/>
        </w:rPr>
        <w:t>.</w:t>
      </w:r>
      <w:r w:rsidR="002513EC">
        <w:rPr>
          <w:rFonts w:eastAsia="Times New Roman"/>
          <w:szCs w:val="24"/>
        </w:rPr>
        <w:t xml:space="preserve"> </w:t>
      </w:r>
      <w:r w:rsidR="00F906CB">
        <w:rPr>
          <w:rFonts w:eastAsia="Times New Roman"/>
          <w:szCs w:val="24"/>
        </w:rPr>
        <w:t xml:space="preserve"> The new language appears in this report.  </w:t>
      </w:r>
      <w:r w:rsidR="002C6158">
        <w:t>The previous version can be found in NCWM 2025 Publication 16.</w:t>
      </w:r>
    </w:p>
    <w:p w14:paraId="57592CA4" w14:textId="77777777" w:rsidR="00017F75" w:rsidRDefault="00017F75" w:rsidP="00C41562">
      <w:pPr>
        <w:keepNext/>
        <w:keepLines/>
        <w:widowControl w:val="0"/>
        <w:spacing w:after="0"/>
        <w:rPr>
          <w:rFonts w:eastAsia="Times New Roman"/>
          <w:szCs w:val="24"/>
        </w:rPr>
      </w:pPr>
    </w:p>
    <w:p w14:paraId="03F1E2A8" w14:textId="261513E0" w:rsidR="00017F75" w:rsidRPr="00C41562" w:rsidRDefault="00993C14" w:rsidP="00C41562">
      <w:pPr>
        <w:keepNext/>
        <w:keepLines/>
        <w:widowControl w:val="0"/>
        <w:spacing w:after="0"/>
        <w:rPr>
          <w:rFonts w:eastAsia="Times New Roman"/>
          <w:szCs w:val="24"/>
        </w:rPr>
      </w:pPr>
      <w:r>
        <w:rPr>
          <w:rFonts w:eastAsia="Times New Roman"/>
          <w:szCs w:val="24"/>
        </w:rPr>
        <w:t xml:space="preserve">The Item, however, did not receive </w:t>
      </w:r>
      <w:r w:rsidR="0051564B">
        <w:rPr>
          <w:rFonts w:eastAsia="Times New Roman"/>
          <w:szCs w:val="24"/>
        </w:rPr>
        <w:t xml:space="preserve">enough </w:t>
      </w:r>
      <w:r>
        <w:rPr>
          <w:rFonts w:eastAsia="Times New Roman"/>
          <w:szCs w:val="24"/>
        </w:rPr>
        <w:t>votes to pass or fail and was returned to the Committee.</w:t>
      </w:r>
    </w:p>
    <w:p w14:paraId="201DBA9F" w14:textId="629EC83D" w:rsidR="00AA7636" w:rsidRPr="00AA7636" w:rsidRDefault="00326A9B" w:rsidP="00AA7636">
      <w:pPr>
        <w:pStyle w:val="NormalWeb"/>
        <w:rPr>
          <w:color w:val="000000"/>
          <w:sz w:val="20"/>
          <w:szCs w:val="20"/>
        </w:rPr>
      </w:pPr>
      <w:bookmarkStart w:id="61" w:name="_Hlk219184671"/>
      <w:r w:rsidRPr="00960A2B">
        <w:rPr>
          <w:sz w:val="20"/>
          <w:szCs w:val="20"/>
          <w:u w:val="single"/>
        </w:rPr>
        <w:t>NCWM 2025 Interim:</w:t>
      </w:r>
      <w:r w:rsidR="00AA7636">
        <w:t xml:space="preserve"> </w:t>
      </w:r>
      <w:bookmarkEnd w:id="61"/>
      <w:r w:rsidR="00AA7636" w:rsidRPr="00AA7636">
        <w:rPr>
          <w:color w:val="000000"/>
          <w:sz w:val="20"/>
          <w:szCs w:val="20"/>
        </w:rPr>
        <w:t xml:space="preserve">During open hearings the Committee heard support for this item to remain Informational. </w:t>
      </w:r>
      <w:r w:rsidR="007128A1">
        <w:rPr>
          <w:color w:val="000000"/>
          <w:sz w:val="20"/>
          <w:szCs w:val="20"/>
        </w:rPr>
        <w:t xml:space="preserve"> </w:t>
      </w:r>
      <w:r w:rsidR="00AA7636" w:rsidRPr="00AA7636">
        <w:rPr>
          <w:color w:val="000000"/>
          <w:sz w:val="20"/>
          <w:szCs w:val="20"/>
        </w:rPr>
        <w:t xml:space="preserve">During the L&amp;R </w:t>
      </w:r>
      <w:r w:rsidR="0033513D" w:rsidRPr="00AA7636">
        <w:rPr>
          <w:color w:val="000000"/>
          <w:sz w:val="20"/>
          <w:szCs w:val="20"/>
        </w:rPr>
        <w:t>committee’s</w:t>
      </w:r>
      <w:r w:rsidR="00AA7636" w:rsidRPr="00AA7636">
        <w:rPr>
          <w:color w:val="000000"/>
          <w:sz w:val="20"/>
          <w:szCs w:val="20"/>
        </w:rPr>
        <w:t xml:space="preserve"> work session the committee assigned a </w:t>
      </w:r>
      <w:r w:rsidR="00DA1B07">
        <w:rPr>
          <w:color w:val="000000"/>
          <w:sz w:val="20"/>
          <w:szCs w:val="20"/>
        </w:rPr>
        <w:t>V</w:t>
      </w:r>
      <w:r w:rsidR="00AA7636" w:rsidRPr="00AA7636">
        <w:rPr>
          <w:color w:val="000000"/>
          <w:sz w:val="20"/>
          <w:szCs w:val="20"/>
        </w:rPr>
        <w:t>oting status</w:t>
      </w:r>
      <w:r w:rsidR="0033513D">
        <w:rPr>
          <w:color w:val="000000"/>
          <w:sz w:val="20"/>
          <w:szCs w:val="20"/>
        </w:rPr>
        <w:t>.</w:t>
      </w:r>
      <w:r w:rsidR="00AA7636" w:rsidRPr="00AA7636">
        <w:rPr>
          <w:color w:val="000000"/>
          <w:sz w:val="20"/>
          <w:szCs w:val="20"/>
        </w:rPr>
        <w:t xml:space="preserve"> NIST OWM suggested assigning Voting status to it pending information from DOT which at the time of writing this report has not been received from DOT.</w:t>
      </w:r>
    </w:p>
    <w:p w14:paraId="2F8D37E2" w14:textId="2441138E" w:rsidR="00AA7636" w:rsidRDefault="00AA7636" w:rsidP="00AA7636">
      <w:pPr>
        <w:pStyle w:val="NormalWeb"/>
        <w:rPr>
          <w:color w:val="000000"/>
          <w:sz w:val="20"/>
          <w:szCs w:val="20"/>
        </w:rPr>
      </w:pPr>
      <w:r w:rsidRPr="00AA7636">
        <w:rPr>
          <w:color w:val="000000"/>
          <w:sz w:val="20"/>
          <w:szCs w:val="20"/>
        </w:rPr>
        <w:t>However, during a subsequent Committee work session dated February 14, 2024, Mr. John McGuire, NIST OWM, stated that additional language previously submitted within the 2023 Southern Weights and Measures regional meeting from NIST OWM should be considered</w:t>
      </w:r>
      <w:r w:rsidR="0033513D">
        <w:rPr>
          <w:color w:val="000000"/>
          <w:sz w:val="20"/>
          <w:szCs w:val="20"/>
        </w:rPr>
        <w:t>.</w:t>
      </w:r>
    </w:p>
    <w:p w14:paraId="635A1A7A" w14:textId="46DB333F" w:rsidR="00261E0E" w:rsidRPr="00B80D32" w:rsidRDefault="00794BAB" w:rsidP="00B80D32">
      <w:pPr>
        <w:pStyle w:val="NormalWeb"/>
        <w:rPr>
          <w:color w:val="000000"/>
          <w:sz w:val="20"/>
          <w:szCs w:val="20"/>
        </w:rPr>
      </w:pPr>
      <w:r>
        <w:rPr>
          <w:color w:val="000000"/>
          <w:sz w:val="20"/>
          <w:szCs w:val="20"/>
        </w:rPr>
        <w:t xml:space="preserve">This </w:t>
      </w:r>
      <w:r w:rsidR="00DA1B07">
        <w:rPr>
          <w:color w:val="000000"/>
          <w:sz w:val="20"/>
          <w:szCs w:val="20"/>
        </w:rPr>
        <w:t xml:space="preserve">NIST OWM </w:t>
      </w:r>
      <w:r>
        <w:rPr>
          <w:color w:val="000000"/>
          <w:sz w:val="20"/>
          <w:szCs w:val="20"/>
        </w:rPr>
        <w:t xml:space="preserve">additional language can be found </w:t>
      </w:r>
      <w:r w:rsidR="001671FA">
        <w:rPr>
          <w:color w:val="000000"/>
          <w:sz w:val="20"/>
          <w:szCs w:val="20"/>
        </w:rPr>
        <w:t>on the NCWM website under supporting documents.</w:t>
      </w:r>
    </w:p>
    <w:p w14:paraId="0AB2FFDA" w14:textId="7972533D" w:rsidR="00E421AE" w:rsidRPr="002B393A" w:rsidRDefault="002B393A" w:rsidP="002F4E07">
      <w:r>
        <w:rPr>
          <w:u w:val="single"/>
        </w:rPr>
        <w:t>NCWM 2024 Annual</w:t>
      </w:r>
      <w:r w:rsidRPr="002B393A">
        <w:t xml:space="preserve">: The Committee </w:t>
      </w:r>
      <w:r>
        <w:t>continue</w:t>
      </w:r>
      <w:r w:rsidR="006548AF">
        <w:t>s</w:t>
      </w:r>
      <w:r>
        <w:t xml:space="preserve"> to receive little </w:t>
      </w:r>
      <w:r w:rsidRPr="002B393A">
        <w:t xml:space="preserve">comment on this issue. The Committee also heard from </w:t>
      </w:r>
      <w:r w:rsidR="00C5728D">
        <w:t xml:space="preserve">John McGuire </w:t>
      </w:r>
      <w:r w:rsidRPr="002B393A">
        <w:t xml:space="preserve">NIST OWM who </w:t>
      </w:r>
      <w:r w:rsidR="0096236D">
        <w:t xml:space="preserve">reiterated </w:t>
      </w:r>
      <w:r w:rsidRPr="002B393A">
        <w:t>that they are still working with DOT</w:t>
      </w:r>
      <w:r w:rsidR="006548AF">
        <w:t>.  This item remains Informational</w:t>
      </w:r>
      <w:r w:rsidR="00836CB1">
        <w:t xml:space="preserve"> pending the results of the DOT survey</w:t>
      </w:r>
      <w:r w:rsidR="00B73291">
        <w:t>.</w:t>
      </w:r>
    </w:p>
    <w:p w14:paraId="45BA3C6F" w14:textId="145136E1" w:rsidR="001908CA" w:rsidRPr="002647B9" w:rsidRDefault="002647B9" w:rsidP="002F4E07">
      <w:bookmarkStart w:id="62" w:name="_Hlk185318579"/>
      <w:r>
        <w:rPr>
          <w:u w:val="single"/>
        </w:rPr>
        <w:t>NCWM 2024 Interim:</w:t>
      </w:r>
      <w:r>
        <w:t xml:space="preserve"> </w:t>
      </w:r>
      <w:bookmarkStart w:id="63" w:name="_Hlk172620060"/>
      <w:bookmarkEnd w:id="62"/>
      <w:r>
        <w:t>The Committee heard little comment on this issue.</w:t>
      </w:r>
      <w:r w:rsidR="00FB22EB">
        <w:t xml:space="preserve"> </w:t>
      </w:r>
      <w:r w:rsidR="00FE6DA1">
        <w:t>The Committee also heard f</w:t>
      </w:r>
      <w:r w:rsidR="00A67C76">
        <w:t xml:space="preserve">rom NIST OWM who informed the Committee that they are still working with DOT </w:t>
      </w:r>
      <w:bookmarkEnd w:id="63"/>
      <w:r w:rsidR="00A67C76">
        <w:t xml:space="preserve">and recommended the item </w:t>
      </w:r>
      <w:r w:rsidR="004A7319">
        <w:t>remain informational.</w:t>
      </w:r>
      <w:r w:rsidR="00FB22EB">
        <w:t xml:space="preserve"> F</w:t>
      </w:r>
      <w:r w:rsidR="004A7319">
        <w:t>or this reason, the Committee assigned Informational status to the item.</w:t>
      </w:r>
    </w:p>
    <w:p w14:paraId="6E4546E7" w14:textId="77777777" w:rsidR="002F4E07" w:rsidRDefault="002F4E07" w:rsidP="008C0C52">
      <w:pPr>
        <w:rPr>
          <w:b/>
        </w:rPr>
      </w:pPr>
      <w:r w:rsidRPr="00E025F9">
        <w:rPr>
          <w:b/>
        </w:rPr>
        <w:t>Regional Associations’ Comments:</w:t>
      </w:r>
    </w:p>
    <w:p w14:paraId="23C041BD" w14:textId="77777777" w:rsidR="00C8190C" w:rsidRDefault="00C8190C" w:rsidP="00C8190C">
      <w:pPr>
        <w:spacing w:after="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F1E892D" w14:textId="77777777" w:rsidR="00B55C17" w:rsidRDefault="00B55C17" w:rsidP="00C8190C">
      <w:pPr>
        <w:spacing w:after="0"/>
        <w:rPr>
          <w:rFonts w:eastAsia="Times New Roman"/>
          <w:szCs w:val="24"/>
          <w:u w:val="single"/>
        </w:rPr>
      </w:pPr>
    </w:p>
    <w:p w14:paraId="40FF50BE" w14:textId="2BB16711" w:rsidR="007C0167" w:rsidRDefault="007C0167" w:rsidP="00346B96">
      <w:pPr>
        <w:rPr>
          <w:rFonts w:eastAsia="Times New Roman"/>
          <w:szCs w:val="24"/>
        </w:rPr>
      </w:pPr>
      <w:r w:rsidRPr="002477D9">
        <w:rPr>
          <w:rFonts w:eastAsia="Times New Roman"/>
          <w:szCs w:val="24"/>
        </w:rPr>
        <w:t>Mr. Chris Wagner with the National Propane Gas Association</w:t>
      </w:r>
      <w:r>
        <w:rPr>
          <w:rFonts w:eastAsia="Times New Roman"/>
          <w:szCs w:val="24"/>
        </w:rPr>
        <w:t xml:space="preserve"> (NPGA)</w:t>
      </w:r>
      <w:r w:rsidRPr="002477D9">
        <w:rPr>
          <w:rFonts w:eastAsia="Times New Roman"/>
          <w:szCs w:val="24"/>
        </w:rPr>
        <w:t xml:space="preserve"> stated that during the NCWM Annual Meeting both </w:t>
      </w:r>
      <w:r>
        <w:rPr>
          <w:rFonts w:eastAsia="Times New Roman"/>
          <w:szCs w:val="24"/>
        </w:rPr>
        <w:t>the National Institute of Standards and Technology (</w:t>
      </w:r>
      <w:r w:rsidRPr="002477D9">
        <w:rPr>
          <w:rFonts w:eastAsia="Times New Roman"/>
          <w:szCs w:val="24"/>
        </w:rPr>
        <w:t>NIST</w:t>
      </w:r>
      <w:r>
        <w:rPr>
          <w:rFonts w:eastAsia="Times New Roman"/>
          <w:szCs w:val="24"/>
        </w:rPr>
        <w:t>)</w:t>
      </w:r>
      <w:r w:rsidRPr="002477D9">
        <w:rPr>
          <w:rFonts w:eastAsia="Times New Roman"/>
          <w:szCs w:val="24"/>
        </w:rPr>
        <w:t xml:space="preserve"> and NPGA testified in support of this joint proposal as currently written.  As part of this testimony, both NIST and NPGA addressed the fact that </w:t>
      </w:r>
      <w:r>
        <w:rPr>
          <w:rFonts w:eastAsia="Times New Roman"/>
          <w:szCs w:val="24"/>
        </w:rPr>
        <w:t>the Department of Transportation (</w:t>
      </w:r>
      <w:r w:rsidRPr="002477D9">
        <w:rPr>
          <w:rFonts w:eastAsia="Times New Roman"/>
          <w:szCs w:val="24"/>
        </w:rPr>
        <w:t>DOT</w:t>
      </w:r>
      <w:r>
        <w:rPr>
          <w:rFonts w:eastAsia="Times New Roman"/>
          <w:szCs w:val="24"/>
        </w:rPr>
        <w:t>) maintains a federal code</w:t>
      </w:r>
      <w:r w:rsidRPr="002477D9">
        <w:rPr>
          <w:rFonts w:eastAsia="Times New Roman"/>
          <w:szCs w:val="24"/>
        </w:rPr>
        <w:t xml:space="preserve"> prohibit</w:t>
      </w:r>
      <w:r>
        <w:rPr>
          <w:rFonts w:eastAsia="Times New Roman"/>
          <w:szCs w:val="24"/>
        </w:rPr>
        <w:t>ing</w:t>
      </w:r>
      <w:r w:rsidRPr="002477D9">
        <w:rPr>
          <w:rFonts w:eastAsia="Times New Roman"/>
          <w:szCs w:val="24"/>
        </w:rPr>
        <w:t xml:space="preserve"> any other entity from imposing rules in conflict with 49 CFR.  The current wording contained in 2.16.3.1. Tare Weights, Part (c) Allowable difference is in conflict with 49 C.F.R. § 178.35, and thusly prohibited by</w:t>
      </w:r>
      <w:r>
        <w:rPr>
          <w:rFonts w:eastAsia="Times New Roman"/>
          <w:szCs w:val="24"/>
        </w:rPr>
        <w:t xml:space="preserve"> 49 C.F.R</w:t>
      </w:r>
      <w:r w:rsidRPr="00076613">
        <w:rPr>
          <w:rFonts w:eastAsia="Times New Roman"/>
          <w:szCs w:val="24"/>
        </w:rPr>
        <w:t xml:space="preserve">. § </w:t>
      </w:r>
      <w:r>
        <w:rPr>
          <w:rFonts w:eastAsia="Times New Roman"/>
          <w:szCs w:val="24"/>
        </w:rPr>
        <w:t xml:space="preserve"> 107.202 </w:t>
      </w:r>
      <w:r w:rsidRPr="002477D9">
        <w:rPr>
          <w:rFonts w:eastAsia="Times New Roman"/>
          <w:szCs w:val="24"/>
        </w:rPr>
        <w:t>.  It is NPGA</w:t>
      </w:r>
      <w:r>
        <w:rPr>
          <w:rFonts w:eastAsia="Times New Roman"/>
          <w:szCs w:val="24"/>
        </w:rPr>
        <w:t>’</w:t>
      </w:r>
      <w:r w:rsidRPr="002477D9">
        <w:rPr>
          <w:rFonts w:eastAsia="Times New Roman"/>
          <w:szCs w:val="24"/>
        </w:rPr>
        <w:t xml:space="preserve">s belief that the current proposal as written rectifies this conflict and allows DOT to continue to work through public comments submitted by the industry. Mr. Chris Wagner stated that he supports a voting status. </w:t>
      </w:r>
    </w:p>
    <w:p w14:paraId="1DC95EE5" w14:textId="77777777" w:rsidR="007C0167" w:rsidRDefault="007C0167" w:rsidP="00346B96">
      <w:pPr>
        <w:rPr>
          <w:rFonts w:eastAsia="Times New Roman"/>
          <w:szCs w:val="24"/>
        </w:rPr>
      </w:pPr>
      <w:r>
        <w:rPr>
          <w:rFonts w:eastAsia="Times New Roman"/>
          <w:szCs w:val="24"/>
        </w:rPr>
        <w:t>Mr. Scott Simmons, representing P 20:10 Services LLC, expressed support for the item and agrees with Mr. Wagner’s comments.</w:t>
      </w:r>
    </w:p>
    <w:p w14:paraId="263F6931" w14:textId="77777777" w:rsidR="007C0167" w:rsidRDefault="007C0167" w:rsidP="00346B96">
      <w:pPr>
        <w:rPr>
          <w:rFonts w:eastAsia="Times New Roman"/>
          <w:szCs w:val="24"/>
        </w:rPr>
      </w:pPr>
      <w:r>
        <w:rPr>
          <w:rFonts w:eastAsia="Times New Roman"/>
          <w:szCs w:val="24"/>
        </w:rPr>
        <w:t xml:space="preserve">Mr. Kurt Floren (County of Los Angeles, California) posed a question regarding whether the intention of the item was to cause a difference in enforcement based upon the 2022 date. </w:t>
      </w:r>
    </w:p>
    <w:p w14:paraId="2770ED90" w14:textId="0A982891" w:rsidR="007C0167" w:rsidRDefault="007C0167" w:rsidP="00346B96">
      <w:pPr>
        <w:rPr>
          <w:rFonts w:eastAsia="Times New Roman"/>
          <w:szCs w:val="24"/>
        </w:rPr>
      </w:pPr>
      <w:r>
        <w:rPr>
          <w:rFonts w:eastAsia="Times New Roman"/>
          <w:szCs w:val="24"/>
        </w:rPr>
        <w:t xml:space="preserve">Mr. Chris Wagner responded with a statement that this creates a cleaner proposal for Weights and Measures. The NPGA’s opinion is that 49 CFR 107.202 could be interpreted to retroactively preempt the Weights and Measures tolerances, but the industry prefers a non-retroactive interpretation. </w:t>
      </w:r>
    </w:p>
    <w:p w14:paraId="3A38AF9C" w14:textId="4CEF543C" w:rsidR="007C0167" w:rsidRDefault="007C0167" w:rsidP="00346B96">
      <w:pPr>
        <w:rPr>
          <w:rFonts w:eastAsia="Times New Roman"/>
          <w:szCs w:val="24"/>
        </w:rPr>
      </w:pPr>
      <w:r>
        <w:rPr>
          <w:rFonts w:eastAsia="Times New Roman"/>
          <w:szCs w:val="24"/>
        </w:rPr>
        <w:t>Mr. Matt Douglas (California Division of Measurement Standards) expressed opposition because the consumer protection parameters fall within the safety requirements. Mr. Douglas was not aware of the CFR code regarding preemption referenced and would like more time to review.</w:t>
      </w:r>
    </w:p>
    <w:p w14:paraId="21A6C0A9" w14:textId="271E1D0A" w:rsidR="00C8190C" w:rsidRPr="00A43BF4" w:rsidRDefault="007C0167" w:rsidP="00346B96">
      <w:pPr>
        <w:rPr>
          <w:rFonts w:eastAsia="Times New Roman"/>
          <w:szCs w:val="24"/>
        </w:rPr>
      </w:pPr>
      <w:r>
        <w:rPr>
          <w:rFonts w:eastAsia="Times New Roman"/>
          <w:szCs w:val="24"/>
        </w:rPr>
        <w:t>The WWMA L&amp;R committee recommends a voting status for this item.</w:t>
      </w:r>
    </w:p>
    <w:p w14:paraId="1539D46F" w14:textId="719FCFF7" w:rsidR="00C8190C" w:rsidRDefault="00C8190C" w:rsidP="00C8190C">
      <w:pPr>
        <w:rPr>
          <w:rFonts w:eastAsia="Times New Roman"/>
          <w:szCs w:val="24"/>
          <w:u w:val="single"/>
        </w:rPr>
      </w:pPr>
      <w:r>
        <w:rPr>
          <w:rFonts w:eastAsia="Times New Roman"/>
          <w:szCs w:val="24"/>
          <w:u w:val="single"/>
        </w:rPr>
        <w:lastRenderedPageBreak/>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537F47">
        <w:rPr>
          <w:rFonts w:eastAsia="Times New Roman"/>
          <w:szCs w:val="24"/>
          <w:u w:val="single"/>
        </w:rPr>
        <w:t>Interim</w:t>
      </w:r>
      <w:r w:rsidRPr="0051426D">
        <w:rPr>
          <w:rFonts w:eastAsia="Times New Roman"/>
          <w:szCs w:val="24"/>
          <w:u w:val="single"/>
        </w:rPr>
        <w:t xml:space="preserve"> Meeting:</w:t>
      </w:r>
    </w:p>
    <w:p w14:paraId="110D2E4D" w14:textId="5F2AC666" w:rsidR="005C29FB" w:rsidRDefault="005C29FB" w:rsidP="006C2AB6">
      <w:pPr>
        <w:jc w:val="left"/>
        <w:rPr>
          <w:rFonts w:eastAsia="Times New Roman"/>
          <w:szCs w:val="24"/>
        </w:rPr>
      </w:pPr>
      <w:r>
        <w:rPr>
          <w:rFonts w:eastAsia="Times New Roman"/>
          <w:szCs w:val="24"/>
        </w:rPr>
        <w:t>No comments.</w:t>
      </w:r>
    </w:p>
    <w:p w14:paraId="4E6E182C" w14:textId="2C918B04" w:rsidR="00E701E6" w:rsidRDefault="00B6612A" w:rsidP="006C2AB6">
      <w:pPr>
        <w:spacing w:before="240"/>
        <w:jc w:val="left"/>
        <w:rPr>
          <w:u w:val="single"/>
        </w:rPr>
      </w:pPr>
      <w:r>
        <w:rPr>
          <w:rFonts w:eastAsia="Times New Roman"/>
          <w:szCs w:val="24"/>
        </w:rPr>
        <w:t xml:space="preserve">The CWM L&amp;R committee recommends an information status for this item. </w:t>
      </w:r>
    </w:p>
    <w:p w14:paraId="4564826B" w14:textId="681D7DC0" w:rsidR="000401A0" w:rsidRPr="006C2AB6" w:rsidRDefault="00C8190C" w:rsidP="006C2AB6">
      <w:pPr>
        <w:spacing w:before="240"/>
        <w:jc w:val="left"/>
        <w:rPr>
          <w:rFonts w:eastAsia="Times New Roman"/>
          <w:szCs w:val="24"/>
        </w:rPr>
      </w:pPr>
      <w:r w:rsidRPr="006C7BFB">
        <w:rPr>
          <w:u w:val="single"/>
        </w:rPr>
        <w:t>NEWMA 202</w:t>
      </w:r>
      <w:r>
        <w:rPr>
          <w:u w:val="single"/>
        </w:rPr>
        <w:t>5</w:t>
      </w:r>
      <w:r w:rsidRPr="006C7BFB">
        <w:rPr>
          <w:u w:val="single"/>
        </w:rPr>
        <w:t xml:space="preserve"> Interim Meeting:</w:t>
      </w:r>
    </w:p>
    <w:p w14:paraId="19777169" w14:textId="1E72B151" w:rsidR="000401A0" w:rsidRDefault="000401A0" w:rsidP="00E701E6">
      <w:pPr>
        <w:rPr>
          <w:rFonts w:eastAsia="Times New Roman"/>
          <w:szCs w:val="24"/>
        </w:rPr>
      </w:pPr>
      <w:r>
        <w:rPr>
          <w:rFonts w:eastAsia="Times New Roman"/>
          <w:szCs w:val="24"/>
        </w:rPr>
        <w:t>A regulator from New Jersey commented that they are not in favor of this item as the tolerances are too large.  However, due to not receiving any feedback from USDOT, the item is fully developed to be aligned with the federal code and recommends a Voting status.</w:t>
      </w:r>
    </w:p>
    <w:p w14:paraId="2491D3AC" w14:textId="0ED04EA0" w:rsidR="00E701E6" w:rsidRDefault="000401A0" w:rsidP="00E701E6">
      <w:pPr>
        <w:spacing w:before="240" w:after="0"/>
        <w:rPr>
          <w:u w:val="single"/>
        </w:rPr>
      </w:pPr>
      <w:r>
        <w:rPr>
          <w:rFonts w:eastAsia="Times New Roman"/>
          <w:szCs w:val="24"/>
        </w:rPr>
        <w:t>After hearing comments from the floor, the committee recommended a Voting status, and the body concurred.</w:t>
      </w:r>
    </w:p>
    <w:p w14:paraId="45D3795D" w14:textId="234EEA8B" w:rsidR="00243B2D" w:rsidRPr="00346B96" w:rsidRDefault="00C8190C" w:rsidP="00346B96">
      <w:pPr>
        <w:spacing w:before="240"/>
        <w:rPr>
          <w:u w:val="single"/>
        </w:rPr>
      </w:pPr>
      <w:r>
        <w:rPr>
          <w:u w:val="single"/>
        </w:rPr>
        <w:t>S</w:t>
      </w:r>
      <w:r w:rsidRPr="00EF1ACC">
        <w:rPr>
          <w:u w:val="single"/>
        </w:rPr>
        <w:t>WMA 202</w:t>
      </w:r>
      <w:r>
        <w:rPr>
          <w:u w:val="single"/>
        </w:rPr>
        <w:t>5</w:t>
      </w:r>
      <w:r w:rsidRPr="00EF1ACC">
        <w:rPr>
          <w:u w:val="single"/>
        </w:rPr>
        <w:t xml:space="preserve"> </w:t>
      </w:r>
      <w:r w:rsidR="00537F47">
        <w:rPr>
          <w:u w:val="single"/>
        </w:rPr>
        <w:t>Annual</w:t>
      </w:r>
      <w:r w:rsidRPr="00EF1ACC">
        <w:rPr>
          <w:u w:val="single"/>
        </w:rPr>
        <w:t xml:space="preserve"> Meeting</w:t>
      </w:r>
      <w:r>
        <w:rPr>
          <w:u w:val="single"/>
        </w:rPr>
        <w:t>:</w:t>
      </w:r>
    </w:p>
    <w:p w14:paraId="3B1CA92A" w14:textId="069D255C" w:rsidR="00243B2D" w:rsidRDefault="00243B2D" w:rsidP="00E701E6">
      <w:pPr>
        <w:rPr>
          <w:rFonts w:eastAsia="Times New Roman"/>
          <w:szCs w:val="24"/>
        </w:rPr>
      </w:pPr>
      <w:r>
        <w:rPr>
          <w:rFonts w:eastAsia="Times New Roman"/>
          <w:szCs w:val="24"/>
        </w:rPr>
        <w:t xml:space="preserve">Mr. Chris Wagner with NPGA provided the following comments: </w:t>
      </w:r>
    </w:p>
    <w:p w14:paraId="73835ED6" w14:textId="4C0FE717" w:rsidR="00243B2D" w:rsidRPr="00CE048B" w:rsidRDefault="00243B2D" w:rsidP="00E701E6">
      <w:pPr>
        <w:rPr>
          <w:rFonts w:eastAsia="Times New Roman"/>
          <w:szCs w:val="24"/>
        </w:rPr>
      </w:pPr>
      <w:r w:rsidRPr="00CE048B">
        <w:rPr>
          <w:rFonts w:eastAsia="Times New Roman"/>
          <w:szCs w:val="24"/>
        </w:rPr>
        <w:t>DOT prohibits any other entity from imposing rules in conflict with 49 CFR with regard to the design, manufacturing, fabrication, marking, maintenance, reconditioning, repairing, or testing of a packaging or a container which is represented, marked, certified, or sold as qualified for use in the transportation of hazardous materials.  The current wording contained in 2.16.3.1. Tare Weights, Part (c) Allowable difference is in conflict with 49 C.F.R. § 178.35, and thusly prohibited by law.  It is NPGAs belief that the current proposal as written rectifies this conflict and allows DOT to continue to work through public comments submitted by the industry.  The specific language contained in DOTs preemption rule is listed below.</w:t>
      </w:r>
      <w:r w:rsidRPr="00CE048B">
        <w:rPr>
          <w:rFonts w:eastAsia="Times New Roman"/>
          <w:b/>
          <w:bCs/>
          <w:szCs w:val="24"/>
        </w:rPr>
        <w:t> </w:t>
      </w:r>
    </w:p>
    <w:p w14:paraId="11DA22AB" w14:textId="77777777" w:rsidR="00243B2D" w:rsidRPr="00CE048B" w:rsidRDefault="00243B2D" w:rsidP="00243B2D">
      <w:pPr>
        <w:spacing w:after="0"/>
        <w:rPr>
          <w:rFonts w:eastAsia="Times New Roman"/>
          <w:szCs w:val="24"/>
        </w:rPr>
      </w:pPr>
      <w:r w:rsidRPr="00CE048B">
        <w:rPr>
          <w:rFonts w:eastAsia="Times New Roman"/>
          <w:b/>
          <w:bCs/>
          <w:szCs w:val="24"/>
        </w:rPr>
        <w:t>49 CFR</w:t>
      </w:r>
      <w:r w:rsidRPr="00CE048B">
        <w:rPr>
          <w:rFonts w:eastAsia="Times New Roman"/>
          <w:szCs w:val="24"/>
        </w:rPr>
        <w:t> </w:t>
      </w:r>
      <w:r w:rsidRPr="00CE048B">
        <w:rPr>
          <w:rFonts w:eastAsia="Times New Roman"/>
          <w:b/>
          <w:bCs/>
          <w:szCs w:val="24"/>
        </w:rPr>
        <w:t>§ 107.202 Standards for determining preemption.</w:t>
      </w:r>
    </w:p>
    <w:p w14:paraId="7870B563" w14:textId="77777777" w:rsidR="00243B2D" w:rsidRPr="00CE048B" w:rsidRDefault="00243B2D" w:rsidP="00243B2D">
      <w:pPr>
        <w:spacing w:after="0"/>
        <w:rPr>
          <w:rFonts w:eastAsia="Times New Roman"/>
          <w:szCs w:val="24"/>
        </w:rPr>
      </w:pPr>
      <w:r w:rsidRPr="00CE048B">
        <w:rPr>
          <w:rFonts w:eastAsia="Times New Roman"/>
          <w:szCs w:val="24"/>
        </w:rPr>
        <w:t>(a) Except as provided in </w:t>
      </w:r>
      <w:hyperlink r:id="rId18" w:tgtFrame="_blank" w:tooltip="Original URL: https://www.ecfr.gov/current/title-49/section-107.221. Click or tap if you trust this link." w:history="1">
        <w:r w:rsidRPr="00CE048B">
          <w:rPr>
            <w:rStyle w:val="Hyperlink"/>
            <w:rFonts w:eastAsia="Times New Roman"/>
            <w:noProof w:val="0"/>
            <w:szCs w:val="24"/>
          </w:rPr>
          <w:t>§ 107.221</w:t>
        </w:r>
      </w:hyperlink>
      <w:r w:rsidRPr="00CE048B">
        <w:rPr>
          <w:rFonts w:eastAsia="Times New Roman"/>
          <w:szCs w:val="24"/>
        </w:rPr>
        <w:t> and unless otherwise authorized by Federal law, any requirement of a State or political subdivision thereof or an Indian tribe that concerns one of the following subjects and that is not substantively the same as any provision of the Federal hazardous materials transportation law, a regulation issued under the Federal hazardous material transportation law, or a hazardous material transportation security regulation or directive issued by the Secretary of Homeland Security that concerns that subject, is preempted:</w:t>
      </w:r>
    </w:p>
    <w:p w14:paraId="16EB8ACF" w14:textId="77777777" w:rsidR="00243B2D" w:rsidRPr="00CE048B" w:rsidRDefault="00243B2D" w:rsidP="00243B2D">
      <w:pPr>
        <w:spacing w:after="0"/>
        <w:rPr>
          <w:rFonts w:eastAsia="Times New Roman"/>
          <w:szCs w:val="24"/>
        </w:rPr>
      </w:pPr>
      <w:r w:rsidRPr="00CE048B">
        <w:rPr>
          <w:rFonts w:eastAsia="Times New Roman"/>
          <w:szCs w:val="24"/>
        </w:rPr>
        <w:t>(1) The designation, description, and classification of hazardous material.</w:t>
      </w:r>
    </w:p>
    <w:p w14:paraId="6538D3C8" w14:textId="77777777" w:rsidR="00243B2D" w:rsidRPr="00CE048B" w:rsidRDefault="00243B2D" w:rsidP="00243B2D">
      <w:pPr>
        <w:spacing w:after="0"/>
        <w:rPr>
          <w:rFonts w:eastAsia="Times New Roman"/>
          <w:szCs w:val="24"/>
        </w:rPr>
      </w:pPr>
      <w:r w:rsidRPr="00CE048B">
        <w:rPr>
          <w:rFonts w:eastAsia="Times New Roman"/>
          <w:szCs w:val="24"/>
        </w:rPr>
        <w:t>(2) The packing, repacking, handling, labeling, marking, and placarding of hazardous material.</w:t>
      </w:r>
    </w:p>
    <w:p w14:paraId="50217C6B" w14:textId="77777777" w:rsidR="00243B2D" w:rsidRPr="00CE048B" w:rsidRDefault="00243B2D" w:rsidP="00243B2D">
      <w:pPr>
        <w:spacing w:after="0"/>
        <w:rPr>
          <w:rFonts w:eastAsia="Times New Roman"/>
          <w:szCs w:val="24"/>
        </w:rPr>
      </w:pPr>
      <w:r w:rsidRPr="00CE048B">
        <w:rPr>
          <w:rFonts w:eastAsia="Times New Roman"/>
          <w:szCs w:val="24"/>
        </w:rPr>
        <w:t>(3) The preparation, execution, and use of shipping documents pertaining to hazardous material and requirements related to the number, content, and placement of those documents.</w:t>
      </w:r>
    </w:p>
    <w:p w14:paraId="2FAEE9C4" w14:textId="77777777" w:rsidR="00243B2D" w:rsidRPr="00CE048B" w:rsidRDefault="00243B2D" w:rsidP="00243B2D">
      <w:pPr>
        <w:spacing w:after="0"/>
        <w:rPr>
          <w:rFonts w:eastAsia="Times New Roman"/>
          <w:szCs w:val="24"/>
        </w:rPr>
      </w:pPr>
      <w:r w:rsidRPr="00CE048B">
        <w:rPr>
          <w:rFonts w:eastAsia="Times New Roman"/>
          <w:szCs w:val="24"/>
        </w:rPr>
        <w:t>(4) The written notification, recording, and reporting of the unintentional release in transportation of hazardous material and other written hazardous materials transportation incident reporting involving State or local emergency responders in the initial response to the incident.</w:t>
      </w:r>
    </w:p>
    <w:p w14:paraId="260D0AFE" w14:textId="52A48EC7" w:rsidR="00243B2D" w:rsidRPr="00A43BF4" w:rsidRDefault="00243B2D" w:rsidP="00E701E6">
      <w:pPr>
        <w:rPr>
          <w:rFonts w:eastAsia="Times New Roman"/>
          <w:szCs w:val="24"/>
        </w:rPr>
      </w:pPr>
      <w:r w:rsidRPr="00CE048B">
        <w:rPr>
          <w:rFonts w:eastAsia="Times New Roman"/>
          <w:szCs w:val="24"/>
        </w:rPr>
        <w:t>(5) The design, manufacturing, fabrication, marking, maintenance, reconditioning, repairing, or testing of a packaging or a container which is represented, marked, certified, or sold as qualified for use in the transportation of hazardous material.</w:t>
      </w:r>
    </w:p>
    <w:p w14:paraId="7C78E4ED" w14:textId="7BAC9F1F" w:rsidR="00243B2D" w:rsidRDefault="00243B2D" w:rsidP="00243B2D">
      <w:pPr>
        <w:spacing w:after="0"/>
        <w:rPr>
          <w:rFonts w:eastAsia="Times New Roman"/>
          <w:szCs w:val="24"/>
        </w:rPr>
      </w:pPr>
      <w:r>
        <w:rPr>
          <w:rFonts w:eastAsia="Times New Roman"/>
          <w:szCs w:val="24"/>
        </w:rPr>
        <w:t>He supports this item and recommends moving forward with Voting status.</w:t>
      </w:r>
    </w:p>
    <w:p w14:paraId="0D4E3FB9" w14:textId="4CC1577D" w:rsidR="003E4662" w:rsidRPr="00243B2D" w:rsidRDefault="00243B2D" w:rsidP="00346B96">
      <w:pPr>
        <w:rPr>
          <w:rFonts w:eastAsia="Times New Roman"/>
          <w:szCs w:val="24"/>
        </w:rPr>
      </w:pPr>
      <w:r>
        <w:rPr>
          <w:rFonts w:eastAsia="Times New Roman"/>
          <w:szCs w:val="24"/>
        </w:rPr>
        <w:t xml:space="preserve">The Committee has considered the comments and finds this item to be fully developed and recommends a Voting status. </w:t>
      </w:r>
    </w:p>
    <w:p w14:paraId="76D12355" w14:textId="27133988" w:rsidR="00537E02" w:rsidRDefault="00537E02" w:rsidP="000E02AA">
      <w:r>
        <w:t xml:space="preserve">Additional letters, </w:t>
      </w:r>
      <w:r w:rsidR="00243B2D">
        <w:t>presentations</w:t>
      </w:r>
      <w:r>
        <w:t xml:space="preserve"> and data may have been submitted for consideration with this item.  Please refer to </w:t>
      </w:r>
      <w:r>
        <w:rPr>
          <w:u w:val="single"/>
        </w:rPr>
        <w:t>https://www.ncwm.com/publication-15</w:t>
      </w:r>
      <w:r>
        <w:t xml:space="preserve"> to review these documents.</w:t>
      </w:r>
    </w:p>
    <w:p w14:paraId="2D5DB289" w14:textId="4189F2A5" w:rsidR="006540E5" w:rsidRPr="003C355F" w:rsidRDefault="006540E5" w:rsidP="00347DDC">
      <w:pPr>
        <w:pStyle w:val="ItemHeading"/>
      </w:pPr>
      <w:bookmarkStart w:id="64" w:name="_Toc224019616"/>
      <w:r>
        <w:lastRenderedPageBreak/>
        <w:t>MOS-26.</w:t>
      </w:r>
      <w:r w:rsidR="00D32862">
        <w:t>2</w:t>
      </w:r>
      <w:r w:rsidRPr="003C355F">
        <w:tab/>
      </w:r>
      <w:r w:rsidR="00185357">
        <w:t>A</w:t>
      </w:r>
      <w:r w:rsidRPr="003C355F">
        <w:tab/>
      </w:r>
      <w:r>
        <w:t>2.21.2. Metered Sales by Liquid Volume.</w:t>
      </w:r>
      <w:bookmarkEnd w:id="64"/>
    </w:p>
    <w:p w14:paraId="7E96F80C" w14:textId="77777777" w:rsidR="006540E5" w:rsidRPr="00E025F9" w:rsidRDefault="006540E5" w:rsidP="00347DDC">
      <w:pPr>
        <w:keepNext/>
        <w:keepLines/>
        <w:spacing w:after="0"/>
        <w:rPr>
          <w:b/>
        </w:rPr>
      </w:pPr>
      <w:r w:rsidRPr="00E025F9">
        <w:rPr>
          <w:b/>
        </w:rPr>
        <w:t>Source:</w:t>
      </w:r>
    </w:p>
    <w:p w14:paraId="00B6F31A" w14:textId="77777777" w:rsidR="006540E5" w:rsidRDefault="006540E5" w:rsidP="00347DDC">
      <w:pPr>
        <w:keepNext/>
        <w:keepLines/>
      </w:pPr>
      <w:r>
        <w:t>National Propane Gas Association</w:t>
      </w:r>
    </w:p>
    <w:p w14:paraId="0598E0F9" w14:textId="77777777" w:rsidR="006540E5" w:rsidRPr="00E025F9" w:rsidRDefault="006540E5" w:rsidP="00347DDC">
      <w:pPr>
        <w:keepNext/>
        <w:keepLines/>
        <w:spacing w:after="0"/>
        <w:rPr>
          <w:b/>
        </w:rPr>
      </w:pPr>
      <w:r w:rsidRPr="00E025F9">
        <w:rPr>
          <w:b/>
        </w:rPr>
        <w:t>Purpose:</w:t>
      </w:r>
    </w:p>
    <w:p w14:paraId="54FB7099" w14:textId="77777777" w:rsidR="006540E5" w:rsidRPr="00C36659" w:rsidRDefault="006540E5" w:rsidP="00347DDC">
      <w:pPr>
        <w:keepNext/>
        <w:keepLines/>
      </w:pPr>
      <w:r w:rsidRPr="00C36659">
        <w:t>Modify 2.21.2 (b) and (c) of IV. Uniform Regulations B. Uniform Regulation for the Method of Sale of Commodities, to require automatic temperature compensation to be performed electronically to ensure the most immediate reaction time of compensation equipment due to questionable reaction time data for mechanical temperature compensation devices in low flow applications.</w:t>
      </w:r>
    </w:p>
    <w:p w14:paraId="4D1B6F23" w14:textId="77777777" w:rsidR="006540E5" w:rsidRPr="00E025F9" w:rsidRDefault="006540E5" w:rsidP="006540E5">
      <w:pPr>
        <w:spacing w:after="0"/>
        <w:rPr>
          <w:b/>
        </w:rPr>
      </w:pPr>
      <w:r w:rsidRPr="00E025F9">
        <w:rPr>
          <w:b/>
        </w:rPr>
        <w:t>Item under Consideration:</w:t>
      </w:r>
    </w:p>
    <w:p w14:paraId="30836C3B" w14:textId="4B5B1414" w:rsidR="006540E5" w:rsidRDefault="006540E5" w:rsidP="006540E5">
      <w:r>
        <w:t>Amend NIST Handbook 130 Uniform Regulation for the Method of Sale of Commodities as follows:</w:t>
      </w:r>
    </w:p>
    <w:p w14:paraId="3CDBD718" w14:textId="77777777" w:rsidR="006540E5" w:rsidRPr="006604E2" w:rsidRDefault="006540E5" w:rsidP="006540E5">
      <w:pPr>
        <w:pStyle w:val="NormalWeb"/>
        <w:spacing w:before="200" w:beforeAutospacing="0" w:after="0" w:afterAutospacing="0" w:line="216" w:lineRule="auto"/>
        <w:ind w:left="360"/>
        <w:rPr>
          <w:sz w:val="20"/>
          <w:szCs w:val="20"/>
        </w:rPr>
      </w:pPr>
      <w:r w:rsidRPr="006604E2">
        <w:rPr>
          <w:rFonts w:eastAsia="+mn-ea"/>
          <w:color w:val="000000"/>
          <w:kern w:val="24"/>
          <w:position w:val="1"/>
          <w:sz w:val="20"/>
          <w:szCs w:val="20"/>
        </w:rPr>
        <w:t>2.21.2. Metered Sales by Liquid Volume. – All metered sales by liquid volume shall be accomplished using metering systems as follows:</w:t>
      </w:r>
    </w:p>
    <w:p w14:paraId="58D78E61" w14:textId="77777777" w:rsidR="006540E5" w:rsidRPr="006604E2" w:rsidRDefault="006540E5" w:rsidP="006540E5">
      <w:pPr>
        <w:pStyle w:val="NormalWeb"/>
        <w:spacing w:beforeAutospacing="0" w:after="0" w:afterAutospacing="0" w:line="216" w:lineRule="auto"/>
        <w:ind w:left="1267" w:hanging="547"/>
        <w:rPr>
          <w:sz w:val="20"/>
          <w:szCs w:val="20"/>
        </w:rPr>
      </w:pPr>
      <w:r w:rsidRPr="006604E2">
        <w:rPr>
          <w:rFonts w:eastAsia="+mn-ea"/>
          <w:color w:val="000000"/>
          <w:kern w:val="24"/>
          <w:sz w:val="20"/>
          <w:szCs w:val="20"/>
        </w:rPr>
        <w:t>(a) Sales using metering systems with a maximum rated capacity greater than 20 gal/min shall be accomplished using a metering system that automatically compensates for the effects of temperature.</w:t>
      </w:r>
    </w:p>
    <w:p w14:paraId="607E1732" w14:textId="77777777" w:rsidR="006540E5" w:rsidRPr="006604E2" w:rsidRDefault="006540E5" w:rsidP="006540E5">
      <w:pPr>
        <w:pStyle w:val="NormalWeb"/>
        <w:tabs>
          <w:tab w:val="left" w:pos="1360"/>
        </w:tabs>
        <w:spacing w:beforeAutospacing="0" w:after="0" w:afterAutospacing="0" w:line="216" w:lineRule="auto"/>
        <w:ind w:left="1267" w:hanging="547"/>
        <w:rPr>
          <w:sz w:val="20"/>
          <w:szCs w:val="20"/>
        </w:rPr>
      </w:pPr>
      <w:r w:rsidRPr="006604E2">
        <w:rPr>
          <w:rFonts w:eastAsia="+mn-ea"/>
          <w:color w:val="000000"/>
          <w:kern w:val="24"/>
          <w:sz w:val="20"/>
          <w:szCs w:val="20"/>
        </w:rPr>
        <w:t>(b) Sales using metering systems with a maximum rated capacity equal to or less than 20 gal/min that were placed into service after January 1, 202</w:t>
      </w:r>
      <w:r w:rsidRPr="006604E2">
        <w:rPr>
          <w:rFonts w:eastAsia="+mn-ea"/>
          <w:strike/>
          <w:color w:val="FF0000"/>
          <w:kern w:val="24"/>
          <w:sz w:val="20"/>
          <w:szCs w:val="20"/>
        </w:rPr>
        <w:t>6</w:t>
      </w:r>
      <w:r w:rsidRPr="006604E2">
        <w:rPr>
          <w:rFonts w:eastAsia="+mn-ea"/>
          <w:color w:val="0070C0"/>
          <w:kern w:val="24"/>
          <w:sz w:val="20"/>
          <w:szCs w:val="20"/>
          <w:u w:val="single"/>
        </w:rPr>
        <w:t>7</w:t>
      </w:r>
      <w:r w:rsidRPr="006604E2">
        <w:rPr>
          <w:rFonts w:eastAsia="+mn-ea"/>
          <w:color w:val="000000"/>
          <w:kern w:val="24"/>
          <w:sz w:val="20"/>
          <w:szCs w:val="20"/>
        </w:rPr>
        <w:t xml:space="preserve">, shall be accomplished by use of a metering system that automatically </w:t>
      </w:r>
      <w:r w:rsidRPr="006604E2">
        <w:rPr>
          <w:rFonts w:eastAsia="+mn-ea"/>
          <w:b/>
          <w:bCs/>
          <w:color w:val="000000"/>
          <w:kern w:val="24"/>
          <w:sz w:val="20"/>
          <w:szCs w:val="20"/>
          <w:u w:val="single"/>
        </w:rPr>
        <w:t>and electronically</w:t>
      </w:r>
      <w:r w:rsidRPr="006604E2">
        <w:rPr>
          <w:rFonts w:eastAsia="+mn-ea"/>
          <w:color w:val="0070C0"/>
          <w:kern w:val="24"/>
          <w:sz w:val="20"/>
          <w:szCs w:val="20"/>
          <w:u w:val="single"/>
        </w:rPr>
        <w:t xml:space="preserve"> </w:t>
      </w:r>
      <w:r w:rsidRPr="006604E2">
        <w:rPr>
          <w:rFonts w:eastAsia="+mn-ea"/>
          <w:color w:val="000000"/>
          <w:kern w:val="24"/>
          <w:sz w:val="20"/>
          <w:szCs w:val="20"/>
        </w:rPr>
        <w:t>compensates for the effects of temperature.</w:t>
      </w:r>
    </w:p>
    <w:p w14:paraId="604CD1F2" w14:textId="77777777" w:rsidR="006540E5" w:rsidRDefault="006540E5" w:rsidP="006540E5">
      <w:pPr>
        <w:pStyle w:val="NormalWeb"/>
        <w:spacing w:beforeAutospacing="0" w:after="240" w:afterAutospacing="0" w:line="216" w:lineRule="auto"/>
        <w:ind w:left="1267" w:hanging="547"/>
      </w:pPr>
      <w:r w:rsidRPr="006604E2">
        <w:rPr>
          <w:rFonts w:eastAsia="+mn-ea"/>
          <w:color w:val="000000"/>
          <w:kern w:val="24"/>
          <w:sz w:val="20"/>
          <w:szCs w:val="20"/>
        </w:rPr>
        <w:t xml:space="preserve">(c) Effective January 1, 2034, all metered sales </w:t>
      </w:r>
      <w:r w:rsidRPr="006604E2">
        <w:rPr>
          <w:rFonts w:eastAsia="+mn-ea"/>
          <w:b/>
          <w:bCs/>
          <w:strike/>
          <w:color w:val="000000"/>
          <w:kern w:val="24"/>
          <w:sz w:val="20"/>
          <w:szCs w:val="20"/>
        </w:rPr>
        <w:t>(through all capacities of metering devices, regardless of installation and service date)</w:t>
      </w:r>
      <w:r w:rsidRPr="006604E2">
        <w:rPr>
          <w:rFonts w:eastAsia="+mn-ea"/>
          <w:b/>
          <w:bCs/>
          <w:color w:val="000000"/>
          <w:kern w:val="24"/>
          <w:sz w:val="20"/>
          <w:szCs w:val="20"/>
          <w:u w:val="single"/>
        </w:rPr>
        <w:t>through devices with a maximum rated capacity equal to or less than 20 gal/min that were placed into service prior to January 1, 2027,</w:t>
      </w:r>
      <w:r w:rsidRPr="006604E2">
        <w:rPr>
          <w:rFonts w:eastAsia="+mn-ea"/>
          <w:color w:val="0070C0"/>
          <w:kern w:val="24"/>
          <w:sz w:val="20"/>
          <w:szCs w:val="20"/>
          <w:u w:val="single"/>
        </w:rPr>
        <w:t xml:space="preserve"> </w:t>
      </w:r>
      <w:r w:rsidRPr="006604E2">
        <w:rPr>
          <w:rFonts w:eastAsia="+mn-ea"/>
          <w:color w:val="000000"/>
          <w:kern w:val="24"/>
          <w:sz w:val="20"/>
          <w:szCs w:val="20"/>
        </w:rPr>
        <w:t xml:space="preserve">shall be accomplished by use of a metering system that automatically </w:t>
      </w:r>
      <w:r w:rsidRPr="006604E2">
        <w:rPr>
          <w:rFonts w:eastAsia="+mn-ea"/>
          <w:b/>
          <w:bCs/>
          <w:color w:val="000000"/>
          <w:kern w:val="24"/>
          <w:sz w:val="20"/>
          <w:szCs w:val="20"/>
          <w:u w:val="single"/>
        </w:rPr>
        <w:t>and electronically</w:t>
      </w:r>
      <w:r w:rsidRPr="006604E2">
        <w:rPr>
          <w:rFonts w:eastAsia="+mn-ea"/>
          <w:color w:val="0070C0"/>
          <w:kern w:val="24"/>
          <w:sz w:val="20"/>
          <w:szCs w:val="20"/>
          <w:u w:val="single"/>
        </w:rPr>
        <w:t xml:space="preserve"> </w:t>
      </w:r>
      <w:r w:rsidRPr="006604E2">
        <w:rPr>
          <w:rFonts w:eastAsia="+mn-ea"/>
          <w:color w:val="000000"/>
          <w:kern w:val="24"/>
          <w:sz w:val="20"/>
          <w:szCs w:val="20"/>
        </w:rPr>
        <w:t xml:space="preserve">compensates for </w:t>
      </w:r>
      <w:r w:rsidRPr="006604E2">
        <w:rPr>
          <w:rFonts w:eastAsia="+mn-ea"/>
          <w:b/>
          <w:bCs/>
          <w:color w:val="000000"/>
          <w:kern w:val="24"/>
          <w:sz w:val="20"/>
          <w:szCs w:val="20"/>
          <w:u w:val="single"/>
        </w:rPr>
        <w:t>the effects of</w:t>
      </w:r>
      <w:r w:rsidRPr="006604E2">
        <w:rPr>
          <w:rFonts w:eastAsia="+mn-ea"/>
          <w:color w:val="0070C0"/>
          <w:kern w:val="24"/>
          <w:sz w:val="20"/>
          <w:szCs w:val="20"/>
          <w:u w:val="single"/>
        </w:rPr>
        <w:t xml:space="preserve"> </w:t>
      </w:r>
      <w:r w:rsidRPr="006604E2">
        <w:rPr>
          <w:rFonts w:eastAsia="+mn-ea"/>
          <w:color w:val="000000"/>
          <w:kern w:val="24"/>
          <w:sz w:val="20"/>
          <w:szCs w:val="20"/>
        </w:rPr>
        <w:t>temperature.</w:t>
      </w:r>
    </w:p>
    <w:p w14:paraId="7E1F299F" w14:textId="77777777" w:rsidR="006540E5" w:rsidRDefault="006540E5" w:rsidP="006540E5">
      <w:pPr>
        <w:spacing w:after="0"/>
      </w:pPr>
      <w:r w:rsidRPr="00E025F9">
        <w:rPr>
          <w:b/>
        </w:rPr>
        <w:t xml:space="preserve">Previous </w:t>
      </w:r>
      <w:r>
        <w:rPr>
          <w:b/>
        </w:rPr>
        <w:t>Status</w:t>
      </w:r>
      <w:r w:rsidRPr="00E025F9">
        <w:rPr>
          <w:b/>
        </w:rPr>
        <w:t>:</w:t>
      </w:r>
    </w:p>
    <w:p w14:paraId="0C8CAA82" w14:textId="77777777" w:rsidR="006540E5" w:rsidRDefault="006540E5" w:rsidP="00C26F86">
      <w:r>
        <w:t xml:space="preserve">New Proposal </w:t>
      </w:r>
    </w:p>
    <w:p w14:paraId="0B75E684" w14:textId="77777777" w:rsidR="006540E5" w:rsidRPr="00AB010B" w:rsidRDefault="006540E5" w:rsidP="006540E5">
      <w:pPr>
        <w:keepNext/>
        <w:spacing w:after="0"/>
        <w:rPr>
          <w:b/>
        </w:rPr>
      </w:pPr>
      <w:r w:rsidRPr="00AB010B">
        <w:rPr>
          <w:b/>
        </w:rPr>
        <w:t>Original Justification:</w:t>
      </w:r>
    </w:p>
    <w:p w14:paraId="45190CA7" w14:textId="32DD2B73" w:rsidR="006540E5" w:rsidRPr="00C36659" w:rsidRDefault="006540E5" w:rsidP="00C36659">
      <w:r w:rsidRPr="00C36659">
        <w:t>Existing data has been presented by way of a Linco-Electromatic, Inc.</w:t>
      </w:r>
      <w:r w:rsidR="006C0B95">
        <w:t xml:space="preserve"> </w:t>
      </w:r>
      <w:r w:rsidRPr="00C36659">
        <w:t>Technical Paper that calls into question the efficacy of mechanical temperature compensation equipment when connected to low flow pumping or dispensing systems. This paper calls out a reaction time ranging from three to six minutes before adequate compensation begins. With this lag time no single container filled by a</w:t>
      </w:r>
      <w:r w:rsidR="00F574F5">
        <w:t>n</w:t>
      </w:r>
      <w:r w:rsidRPr="00C36659">
        <w:t xml:space="preserve"> LP Gas dispenser would receive compensated </w:t>
      </w:r>
      <w:r w:rsidR="00F574F5" w:rsidRPr="00C36659">
        <w:t>product</w:t>
      </w:r>
      <w:r w:rsidR="00FD4A37">
        <w:t xml:space="preserve"> </w:t>
      </w:r>
      <w:r w:rsidRPr="00C36659">
        <w:t>if utilizing a mechanical temperature compensator. To ensure equity for propane sellers and buyers proper and immediately reactive temperature compensation equipment is needed.</w:t>
      </w:r>
    </w:p>
    <w:p w14:paraId="6D072D12" w14:textId="4439F9F9" w:rsidR="006540E5" w:rsidRPr="00C36659" w:rsidRDefault="006540E5" w:rsidP="00C36659">
      <w:r w:rsidRPr="00C36659">
        <w:t>The submitter acknowledged that State Weights and Measures officials have stated that during the</w:t>
      </w:r>
      <w:r w:rsidR="00BF191B">
        <w:t xml:space="preserve"> </w:t>
      </w:r>
      <w:r w:rsidRPr="00C36659">
        <w:t>conduction of meter proving with mechanical temperature compensation they have not witnessed the slow reaction times stated in the Linco- Electromatic, Inc. Technical Paper, although there is a flush performed prior to the actual meter flow test and not from direct start up.</w:t>
      </w:r>
    </w:p>
    <w:p w14:paraId="369BD07B" w14:textId="72057B9F" w:rsidR="00AD2513" w:rsidRPr="00C36659" w:rsidRDefault="006540E5" w:rsidP="00C36659">
      <w:r w:rsidRPr="00C36659">
        <w:t>The submitter requested Voting status in 2026.</w:t>
      </w:r>
    </w:p>
    <w:p w14:paraId="3A83D378" w14:textId="77777777" w:rsidR="006540E5" w:rsidRPr="002A7C3B" w:rsidRDefault="006540E5" w:rsidP="006540E5">
      <w:pPr>
        <w:keepNext/>
        <w:rPr>
          <w:b/>
        </w:rPr>
      </w:pPr>
      <w:r>
        <w:rPr>
          <w:b/>
        </w:rPr>
        <w:t>Comments</w:t>
      </w:r>
      <w:r w:rsidRPr="002A7C3B">
        <w:rPr>
          <w:b/>
        </w:rPr>
        <w:t xml:space="preserve"> in Favor:</w:t>
      </w:r>
    </w:p>
    <w:p w14:paraId="6E54705E" w14:textId="0074B524" w:rsidR="006540E5" w:rsidRPr="002A7C3B" w:rsidRDefault="0042639E" w:rsidP="006540E5">
      <w:pPr>
        <w:keepNext/>
        <w:spacing w:after="0"/>
        <w:ind w:left="720"/>
        <w:rPr>
          <w:b/>
        </w:rPr>
      </w:pPr>
      <w:r>
        <w:rPr>
          <w:b/>
        </w:rPr>
        <w:t>Weights and Measures Officials</w:t>
      </w:r>
      <w:r w:rsidR="006540E5" w:rsidRPr="002A7C3B">
        <w:rPr>
          <w:b/>
        </w:rPr>
        <w:t>:</w:t>
      </w:r>
    </w:p>
    <w:p w14:paraId="3867B4D1" w14:textId="59B5ED23" w:rsidR="006540E5" w:rsidRPr="002A7C3B" w:rsidRDefault="008D2645" w:rsidP="006540E5">
      <w:pPr>
        <w:pStyle w:val="ListParagraph"/>
        <w:numPr>
          <w:ilvl w:val="0"/>
          <w:numId w:val="26"/>
        </w:numPr>
        <w:spacing w:after="0" w:line="259" w:lineRule="auto"/>
        <w:contextualSpacing/>
        <w:jc w:val="left"/>
      </w:pPr>
      <w:r>
        <w:t>None</w:t>
      </w:r>
    </w:p>
    <w:p w14:paraId="7D909AB3" w14:textId="77777777" w:rsidR="006540E5" w:rsidRPr="002A7C3B" w:rsidRDefault="006540E5" w:rsidP="006540E5">
      <w:pPr>
        <w:spacing w:before="240" w:after="0"/>
        <w:ind w:left="720"/>
        <w:rPr>
          <w:b/>
        </w:rPr>
      </w:pPr>
      <w:r w:rsidRPr="002A7C3B">
        <w:rPr>
          <w:b/>
        </w:rPr>
        <w:t>Industry:</w:t>
      </w:r>
    </w:p>
    <w:p w14:paraId="2F8BD0FF" w14:textId="5DF0BC74" w:rsidR="006540E5" w:rsidRPr="002A7C3B" w:rsidRDefault="008D2645" w:rsidP="006540E5">
      <w:pPr>
        <w:pStyle w:val="ListParagraph"/>
        <w:numPr>
          <w:ilvl w:val="0"/>
          <w:numId w:val="26"/>
        </w:numPr>
        <w:spacing w:after="0" w:line="259" w:lineRule="auto"/>
        <w:contextualSpacing/>
        <w:jc w:val="left"/>
      </w:pPr>
      <w:r>
        <w:t>None</w:t>
      </w:r>
    </w:p>
    <w:p w14:paraId="21DD85CE" w14:textId="77777777" w:rsidR="006540E5" w:rsidRPr="002A7C3B" w:rsidRDefault="006540E5" w:rsidP="006540E5">
      <w:pPr>
        <w:spacing w:before="240" w:after="0"/>
        <w:ind w:left="720"/>
        <w:rPr>
          <w:b/>
        </w:rPr>
      </w:pPr>
      <w:r w:rsidRPr="002A7C3B">
        <w:rPr>
          <w:b/>
        </w:rPr>
        <w:t>Advisory:</w:t>
      </w:r>
    </w:p>
    <w:p w14:paraId="4A62E808" w14:textId="43FCB347" w:rsidR="006540E5" w:rsidRPr="002A7C3B" w:rsidRDefault="008D2645" w:rsidP="006540E5">
      <w:pPr>
        <w:pStyle w:val="ListParagraph"/>
        <w:numPr>
          <w:ilvl w:val="0"/>
          <w:numId w:val="26"/>
        </w:numPr>
        <w:spacing w:after="0" w:line="259" w:lineRule="auto"/>
        <w:contextualSpacing/>
        <w:jc w:val="left"/>
      </w:pPr>
      <w:r>
        <w:t>None</w:t>
      </w:r>
    </w:p>
    <w:p w14:paraId="4F6C5D96" w14:textId="77777777" w:rsidR="006540E5" w:rsidRPr="002A7C3B" w:rsidRDefault="006540E5" w:rsidP="006540E5">
      <w:pPr>
        <w:spacing w:before="240"/>
        <w:rPr>
          <w:b/>
        </w:rPr>
      </w:pPr>
      <w:r>
        <w:rPr>
          <w:b/>
        </w:rPr>
        <w:lastRenderedPageBreak/>
        <w:t>Comments</w:t>
      </w:r>
      <w:r w:rsidRPr="002A7C3B">
        <w:rPr>
          <w:b/>
        </w:rPr>
        <w:t xml:space="preserve"> Against:</w:t>
      </w:r>
    </w:p>
    <w:p w14:paraId="0B4F25CD" w14:textId="1855C58D" w:rsidR="006540E5" w:rsidRPr="002A7C3B" w:rsidRDefault="0042639E" w:rsidP="006540E5">
      <w:pPr>
        <w:spacing w:after="0"/>
        <w:ind w:left="720"/>
        <w:rPr>
          <w:b/>
        </w:rPr>
      </w:pPr>
      <w:r>
        <w:rPr>
          <w:b/>
        </w:rPr>
        <w:t>Weights and Measures Officials</w:t>
      </w:r>
      <w:r w:rsidR="006540E5" w:rsidRPr="002A7C3B">
        <w:rPr>
          <w:b/>
        </w:rPr>
        <w:t>:</w:t>
      </w:r>
    </w:p>
    <w:p w14:paraId="7669E8EF" w14:textId="63F578A8" w:rsidR="006540E5" w:rsidRPr="002A7C3B" w:rsidRDefault="008D2645" w:rsidP="006540E5">
      <w:pPr>
        <w:pStyle w:val="ListParagraph"/>
        <w:numPr>
          <w:ilvl w:val="0"/>
          <w:numId w:val="27"/>
        </w:numPr>
        <w:spacing w:after="0" w:line="259" w:lineRule="auto"/>
        <w:contextualSpacing/>
        <w:jc w:val="left"/>
      </w:pPr>
      <w:r>
        <w:t>None</w:t>
      </w:r>
    </w:p>
    <w:p w14:paraId="581A1342" w14:textId="77777777" w:rsidR="006540E5" w:rsidRPr="002A7C3B" w:rsidRDefault="006540E5" w:rsidP="006540E5">
      <w:pPr>
        <w:spacing w:before="240" w:after="0"/>
        <w:ind w:left="720"/>
        <w:rPr>
          <w:b/>
        </w:rPr>
      </w:pPr>
      <w:r w:rsidRPr="002A7C3B">
        <w:rPr>
          <w:b/>
        </w:rPr>
        <w:t>Industry:</w:t>
      </w:r>
    </w:p>
    <w:p w14:paraId="7B619D52" w14:textId="29F89651" w:rsidR="006540E5" w:rsidRPr="002A7C3B" w:rsidRDefault="008D2645" w:rsidP="006540E5">
      <w:pPr>
        <w:pStyle w:val="ListParagraph"/>
        <w:numPr>
          <w:ilvl w:val="0"/>
          <w:numId w:val="27"/>
        </w:numPr>
        <w:spacing w:after="0" w:line="259" w:lineRule="auto"/>
        <w:contextualSpacing/>
        <w:jc w:val="left"/>
      </w:pPr>
      <w:r>
        <w:t>None</w:t>
      </w:r>
    </w:p>
    <w:p w14:paraId="6ADD4487" w14:textId="77777777" w:rsidR="006540E5" w:rsidRPr="00AC5B86" w:rsidRDefault="006540E5" w:rsidP="006540E5">
      <w:pPr>
        <w:spacing w:before="240" w:after="0"/>
        <w:ind w:left="720"/>
        <w:rPr>
          <w:b/>
        </w:rPr>
      </w:pPr>
      <w:r w:rsidRPr="002A7C3B">
        <w:rPr>
          <w:b/>
        </w:rPr>
        <w:t>Advisory:</w:t>
      </w:r>
    </w:p>
    <w:p w14:paraId="459AE50E" w14:textId="598A16F0" w:rsidR="006540E5" w:rsidRDefault="008D2645" w:rsidP="006540E5">
      <w:pPr>
        <w:pStyle w:val="ListParagraph"/>
        <w:numPr>
          <w:ilvl w:val="0"/>
          <w:numId w:val="27"/>
        </w:numPr>
        <w:spacing w:after="0" w:line="259" w:lineRule="auto"/>
        <w:contextualSpacing/>
        <w:jc w:val="left"/>
      </w:pPr>
      <w:r>
        <w:t>None</w:t>
      </w:r>
    </w:p>
    <w:p w14:paraId="62522738" w14:textId="77777777" w:rsidR="006540E5" w:rsidRPr="002A7C3B" w:rsidRDefault="006540E5" w:rsidP="006540E5">
      <w:pPr>
        <w:spacing w:before="240"/>
        <w:rPr>
          <w:b/>
        </w:rPr>
      </w:pPr>
      <w:r>
        <w:rPr>
          <w:b/>
        </w:rPr>
        <w:t>Neutral Comments</w:t>
      </w:r>
      <w:r w:rsidRPr="002A7C3B">
        <w:rPr>
          <w:b/>
        </w:rPr>
        <w:t>:</w:t>
      </w:r>
    </w:p>
    <w:p w14:paraId="04B78715" w14:textId="2D8870CA" w:rsidR="006540E5" w:rsidRPr="002A7C3B" w:rsidRDefault="0042639E" w:rsidP="00F10657">
      <w:pPr>
        <w:keepNext/>
        <w:keepLines/>
        <w:spacing w:after="0"/>
        <w:ind w:left="720"/>
        <w:rPr>
          <w:b/>
        </w:rPr>
      </w:pPr>
      <w:r>
        <w:rPr>
          <w:b/>
        </w:rPr>
        <w:t>Weights and Measures Officials</w:t>
      </w:r>
      <w:r w:rsidR="006540E5" w:rsidRPr="002A7C3B">
        <w:rPr>
          <w:b/>
        </w:rPr>
        <w:t>:</w:t>
      </w:r>
    </w:p>
    <w:p w14:paraId="0FC5EE26" w14:textId="63E06AE0" w:rsidR="006540E5" w:rsidRPr="002A7C3B" w:rsidRDefault="00C9358C" w:rsidP="00F10657">
      <w:pPr>
        <w:pStyle w:val="ListParagraph"/>
        <w:keepNext/>
        <w:keepLines/>
        <w:numPr>
          <w:ilvl w:val="0"/>
          <w:numId w:val="27"/>
        </w:numPr>
        <w:spacing w:after="0" w:line="259" w:lineRule="auto"/>
        <w:contextualSpacing/>
        <w:jc w:val="left"/>
      </w:pPr>
      <w:r>
        <w:t xml:space="preserve">The Committee heard from </w:t>
      </w:r>
      <w:r w:rsidR="005F53F2">
        <w:t xml:space="preserve">multiple </w:t>
      </w:r>
      <w:r w:rsidR="001B29F9" w:rsidRPr="00FD3A16">
        <w:t>w</w:t>
      </w:r>
      <w:r w:rsidR="005F53F2" w:rsidRPr="001B29F9">
        <w:t xml:space="preserve">eights and </w:t>
      </w:r>
      <w:r w:rsidR="001B29F9" w:rsidRPr="00FD3A16">
        <w:t>m</w:t>
      </w:r>
      <w:r w:rsidR="005F53F2" w:rsidRPr="001B29F9">
        <w:t xml:space="preserve">easures </w:t>
      </w:r>
      <w:r w:rsidR="00AC6485" w:rsidRPr="001B29F9">
        <w:t>officials</w:t>
      </w:r>
      <w:r w:rsidR="005F53F2">
        <w:t xml:space="preserve"> who recommended the item </w:t>
      </w:r>
      <w:r w:rsidR="00A05611">
        <w:t xml:space="preserve">to </w:t>
      </w:r>
      <w:r w:rsidR="005F53F2">
        <w:t xml:space="preserve">be </w:t>
      </w:r>
      <w:r w:rsidR="003A4373">
        <w:t>D</w:t>
      </w:r>
      <w:r w:rsidR="000C6181">
        <w:t xml:space="preserve">eveloping or </w:t>
      </w:r>
      <w:r w:rsidR="003A4373">
        <w:t>A</w:t>
      </w:r>
      <w:r w:rsidR="005F53F2">
        <w:t>ssigned to a Work Group.</w:t>
      </w:r>
      <w:r w:rsidR="00C47B6F">
        <w:t xml:space="preserve"> They expressed concerns regarding the additional burden placed on the i</w:t>
      </w:r>
      <w:r w:rsidR="003A4373">
        <w:t>n</w:t>
      </w:r>
      <w:r w:rsidR="00C47B6F">
        <w:t>dustry, the availability of these dev</w:t>
      </w:r>
      <w:r w:rsidR="00BC7E81">
        <w:t xml:space="preserve">ices as well as their suitability and accuracy under </w:t>
      </w:r>
      <w:r w:rsidR="00E06E47">
        <w:t xml:space="preserve">normal testing conditions. Most of them concurred on the need </w:t>
      </w:r>
      <w:r w:rsidR="00674263">
        <w:t>for</w:t>
      </w:r>
      <w:r w:rsidR="00E06E47">
        <w:t xml:space="preserve"> a study to obtain sound data </w:t>
      </w:r>
      <w:r w:rsidR="00B62F0B">
        <w:t xml:space="preserve">supporting an electronic </w:t>
      </w:r>
      <w:r w:rsidR="009367C9">
        <w:t xml:space="preserve">temperature compensation requirement. </w:t>
      </w:r>
    </w:p>
    <w:p w14:paraId="374DE027" w14:textId="77777777" w:rsidR="006540E5" w:rsidRPr="002A7C3B" w:rsidRDefault="006540E5" w:rsidP="006540E5">
      <w:pPr>
        <w:spacing w:before="240" w:after="0"/>
        <w:ind w:left="720"/>
        <w:rPr>
          <w:b/>
        </w:rPr>
      </w:pPr>
      <w:r w:rsidRPr="002A7C3B">
        <w:rPr>
          <w:b/>
        </w:rPr>
        <w:t>Industry:</w:t>
      </w:r>
    </w:p>
    <w:p w14:paraId="419D026C" w14:textId="6E49CC37" w:rsidR="006540E5" w:rsidRPr="002A7C3B" w:rsidRDefault="00AF1515" w:rsidP="006540E5">
      <w:pPr>
        <w:pStyle w:val="ListParagraph"/>
        <w:numPr>
          <w:ilvl w:val="0"/>
          <w:numId w:val="27"/>
        </w:numPr>
        <w:spacing w:after="0" w:line="259" w:lineRule="auto"/>
        <w:contextualSpacing/>
        <w:jc w:val="left"/>
      </w:pPr>
      <w:r>
        <w:t>Representatives from t</w:t>
      </w:r>
      <w:r w:rsidR="003B0CA1">
        <w:t>he National Propane Gas Association and Meter Manufacturers</w:t>
      </w:r>
      <w:r w:rsidR="008D2645">
        <w:t xml:space="preserve"> Association </w:t>
      </w:r>
      <w:r w:rsidR="00DB7370">
        <w:t xml:space="preserve"> </w:t>
      </w:r>
      <w:r w:rsidR="008D2645">
        <w:t>recommended the item be assigned to a Work Group.</w:t>
      </w:r>
    </w:p>
    <w:p w14:paraId="3F72C34C" w14:textId="77777777" w:rsidR="006540E5" w:rsidRPr="002A7C3B" w:rsidRDefault="006540E5" w:rsidP="006540E5">
      <w:pPr>
        <w:spacing w:before="240" w:after="0"/>
        <w:ind w:left="720"/>
        <w:rPr>
          <w:b/>
        </w:rPr>
      </w:pPr>
      <w:r w:rsidRPr="002A7C3B">
        <w:rPr>
          <w:b/>
        </w:rPr>
        <w:t>Advisory:</w:t>
      </w:r>
    </w:p>
    <w:p w14:paraId="30BB2130" w14:textId="58DEE057" w:rsidR="006540E5" w:rsidRDefault="00DF3FFB" w:rsidP="006540E5">
      <w:pPr>
        <w:pStyle w:val="ListParagraph"/>
        <w:numPr>
          <w:ilvl w:val="0"/>
          <w:numId w:val="27"/>
        </w:numPr>
        <w:spacing w:after="0" w:line="259" w:lineRule="auto"/>
        <w:contextualSpacing/>
        <w:jc w:val="left"/>
      </w:pPr>
      <w:r>
        <w:rPr>
          <w:szCs w:val="20"/>
          <w:lang w:eastAsia="ja-JP"/>
        </w:rPr>
        <w:t xml:space="preserve">The representative of </w:t>
      </w:r>
      <w:r w:rsidR="00780072">
        <w:rPr>
          <w:szCs w:val="20"/>
          <w:lang w:eastAsia="ja-JP"/>
        </w:rPr>
        <w:t xml:space="preserve">NIST </w:t>
      </w:r>
      <w:r>
        <w:rPr>
          <w:szCs w:val="20"/>
          <w:lang w:eastAsia="ja-JP"/>
        </w:rPr>
        <w:t>OWM supported the item to be</w:t>
      </w:r>
      <w:r w:rsidR="00C70870">
        <w:rPr>
          <w:szCs w:val="20"/>
          <w:lang w:eastAsia="ja-JP"/>
        </w:rPr>
        <w:t xml:space="preserve"> Developing or assign it to a Work Group.  </w:t>
      </w:r>
      <w:r w:rsidR="00780072">
        <w:rPr>
          <w:szCs w:val="20"/>
          <w:lang w:eastAsia="ja-JP"/>
        </w:rPr>
        <w:t xml:space="preserve"> </w:t>
      </w:r>
    </w:p>
    <w:p w14:paraId="15F4FB77" w14:textId="77777777" w:rsidR="006540E5" w:rsidRPr="00E025F9" w:rsidRDefault="006540E5" w:rsidP="006540E5">
      <w:pPr>
        <w:spacing w:before="240" w:after="0"/>
        <w:rPr>
          <w:b/>
        </w:rPr>
      </w:pPr>
      <w:r w:rsidRPr="002A7C3B">
        <w:rPr>
          <w:b/>
        </w:rPr>
        <w:t>Item Develop</w:t>
      </w:r>
      <w:r w:rsidRPr="00E025F9">
        <w:rPr>
          <w:b/>
        </w:rPr>
        <w:t>ment:</w:t>
      </w:r>
    </w:p>
    <w:p w14:paraId="725FD394" w14:textId="23B1C253" w:rsidR="006540E5" w:rsidRDefault="006540E5" w:rsidP="006540E5">
      <w:r>
        <w:t>New Proposal</w:t>
      </w:r>
      <w:r w:rsidR="00DB7370">
        <w:t xml:space="preserve"> </w:t>
      </w:r>
      <w:r w:rsidR="00362642">
        <w:t>2026</w:t>
      </w:r>
    </w:p>
    <w:p w14:paraId="796A8AEE" w14:textId="14434575" w:rsidR="00362642" w:rsidRPr="001224CF" w:rsidRDefault="00362642" w:rsidP="00346B96">
      <w:pPr>
        <w:keepNext/>
        <w:keepLines/>
        <w:rPr>
          <w:szCs w:val="20"/>
        </w:rPr>
      </w:pPr>
      <w:r w:rsidRPr="00960A2B">
        <w:rPr>
          <w:szCs w:val="20"/>
          <w:u w:val="single"/>
        </w:rPr>
        <w:t>NCWM 202</w:t>
      </w:r>
      <w:r>
        <w:rPr>
          <w:szCs w:val="20"/>
          <w:u w:val="single"/>
        </w:rPr>
        <w:t>6</w:t>
      </w:r>
      <w:r w:rsidRPr="00960A2B">
        <w:rPr>
          <w:szCs w:val="20"/>
          <w:u w:val="single"/>
        </w:rPr>
        <w:t xml:space="preserve"> Interim:</w:t>
      </w:r>
      <w:r w:rsidR="008D2645" w:rsidRPr="001224CF">
        <w:rPr>
          <w:szCs w:val="20"/>
        </w:rPr>
        <w:t xml:space="preserve">  </w:t>
      </w:r>
      <w:r w:rsidR="00703F96" w:rsidRPr="001224CF">
        <w:rPr>
          <w:szCs w:val="20"/>
        </w:rPr>
        <w:t>Taking in</w:t>
      </w:r>
      <w:r w:rsidR="001224CF">
        <w:rPr>
          <w:szCs w:val="20"/>
        </w:rPr>
        <w:t>to</w:t>
      </w:r>
      <w:r w:rsidR="00703F96" w:rsidRPr="001224CF">
        <w:rPr>
          <w:szCs w:val="20"/>
        </w:rPr>
        <w:t xml:space="preserve"> consideration </w:t>
      </w:r>
      <w:r w:rsidR="007D17C0" w:rsidRPr="001224CF">
        <w:rPr>
          <w:szCs w:val="20"/>
        </w:rPr>
        <w:t>the concerns of those that provided comments and the requ</w:t>
      </w:r>
      <w:r w:rsidR="00973B90" w:rsidRPr="001224CF">
        <w:rPr>
          <w:szCs w:val="20"/>
        </w:rPr>
        <w:t>est of the</w:t>
      </w:r>
      <w:r w:rsidR="00C63EB4" w:rsidRPr="001224CF">
        <w:rPr>
          <w:szCs w:val="20"/>
        </w:rPr>
        <w:t xml:space="preserve"> submitter,</w:t>
      </w:r>
      <w:r w:rsidR="00973B90" w:rsidRPr="001224CF">
        <w:rPr>
          <w:szCs w:val="20"/>
        </w:rPr>
        <w:t xml:space="preserve"> </w:t>
      </w:r>
      <w:r w:rsidR="00874F35">
        <w:rPr>
          <w:szCs w:val="20"/>
        </w:rPr>
        <w:t>t</w:t>
      </w:r>
      <w:r w:rsidR="008D2645" w:rsidRPr="001224CF">
        <w:rPr>
          <w:szCs w:val="20"/>
        </w:rPr>
        <w:t>he Committee</w:t>
      </w:r>
      <w:r w:rsidR="00472A87" w:rsidRPr="001224CF">
        <w:rPr>
          <w:szCs w:val="20"/>
        </w:rPr>
        <w:t xml:space="preserve"> decided to re</w:t>
      </w:r>
      <w:r w:rsidR="00116A15">
        <w:rPr>
          <w:szCs w:val="20"/>
        </w:rPr>
        <w:t>commend that</w:t>
      </w:r>
      <w:r w:rsidR="00472A87" w:rsidRPr="001224CF">
        <w:rPr>
          <w:szCs w:val="20"/>
        </w:rPr>
        <w:t xml:space="preserve"> </w:t>
      </w:r>
      <w:r w:rsidR="00225FC4" w:rsidRPr="001224CF">
        <w:rPr>
          <w:szCs w:val="20"/>
        </w:rPr>
        <w:t xml:space="preserve">this </w:t>
      </w:r>
      <w:r w:rsidR="00DB7370" w:rsidRPr="001224CF">
        <w:rPr>
          <w:szCs w:val="20"/>
        </w:rPr>
        <w:t>item</w:t>
      </w:r>
      <w:r w:rsidR="00225FC4" w:rsidRPr="001224CF">
        <w:rPr>
          <w:szCs w:val="20"/>
        </w:rPr>
        <w:t xml:space="preserve"> </w:t>
      </w:r>
      <w:r w:rsidR="00231400" w:rsidRPr="001224CF">
        <w:rPr>
          <w:szCs w:val="20"/>
        </w:rPr>
        <w:t xml:space="preserve">be assigned to </w:t>
      </w:r>
      <w:r w:rsidR="00225FC4" w:rsidRPr="001224CF">
        <w:rPr>
          <w:szCs w:val="20"/>
        </w:rPr>
        <w:t xml:space="preserve">a Work </w:t>
      </w:r>
      <w:r w:rsidR="00B02E40" w:rsidRPr="001224CF">
        <w:rPr>
          <w:szCs w:val="20"/>
        </w:rPr>
        <w:t>Group and</w:t>
      </w:r>
      <w:r w:rsidR="001A695C">
        <w:rPr>
          <w:szCs w:val="20"/>
        </w:rPr>
        <w:t xml:space="preserve"> </w:t>
      </w:r>
      <w:r w:rsidR="007239CD">
        <w:rPr>
          <w:szCs w:val="20"/>
        </w:rPr>
        <w:t xml:space="preserve">keep </w:t>
      </w:r>
      <w:r w:rsidR="00C0184A" w:rsidRPr="001224CF">
        <w:rPr>
          <w:szCs w:val="20"/>
        </w:rPr>
        <w:t>open the effective dates pro</w:t>
      </w:r>
      <w:r w:rsidR="000958CF" w:rsidRPr="001224CF">
        <w:rPr>
          <w:szCs w:val="20"/>
        </w:rPr>
        <w:t>pos</w:t>
      </w:r>
      <w:r w:rsidR="00C0184A" w:rsidRPr="001224CF">
        <w:rPr>
          <w:szCs w:val="20"/>
        </w:rPr>
        <w:t>ed in it.</w:t>
      </w:r>
      <w:r w:rsidR="00C64D85" w:rsidRPr="001224CF">
        <w:rPr>
          <w:szCs w:val="20"/>
        </w:rPr>
        <w:t xml:space="preserve"> The work group will coordinate and oversee</w:t>
      </w:r>
      <w:r w:rsidR="00E540A9" w:rsidRPr="001224CF">
        <w:rPr>
          <w:szCs w:val="20"/>
        </w:rPr>
        <w:t>,</w:t>
      </w:r>
      <w:r w:rsidR="00C64D85" w:rsidRPr="001224CF">
        <w:rPr>
          <w:szCs w:val="20"/>
        </w:rPr>
        <w:t xml:space="preserve"> </w:t>
      </w:r>
      <w:r w:rsidR="00FC77C1" w:rsidRPr="001224CF">
        <w:rPr>
          <w:szCs w:val="20"/>
        </w:rPr>
        <w:t xml:space="preserve">in conjunction </w:t>
      </w:r>
      <w:r w:rsidR="00C64D85" w:rsidRPr="001224CF">
        <w:rPr>
          <w:szCs w:val="20"/>
        </w:rPr>
        <w:t>with the industry</w:t>
      </w:r>
      <w:r w:rsidR="00E540A9" w:rsidRPr="001224CF">
        <w:rPr>
          <w:szCs w:val="20"/>
        </w:rPr>
        <w:t>,</w:t>
      </w:r>
      <w:r w:rsidR="00C64D85" w:rsidRPr="001224CF">
        <w:rPr>
          <w:szCs w:val="20"/>
        </w:rPr>
        <w:t xml:space="preserve"> </w:t>
      </w:r>
      <w:r w:rsidR="00FC77C1" w:rsidRPr="001224CF">
        <w:rPr>
          <w:szCs w:val="20"/>
        </w:rPr>
        <w:t xml:space="preserve">the design </w:t>
      </w:r>
      <w:r w:rsidR="00BC392E" w:rsidRPr="001224CF">
        <w:rPr>
          <w:szCs w:val="20"/>
        </w:rPr>
        <w:t>and execution of a study to determine</w:t>
      </w:r>
      <w:r w:rsidR="005B2DE0">
        <w:rPr>
          <w:szCs w:val="20"/>
        </w:rPr>
        <w:t xml:space="preserve"> </w:t>
      </w:r>
      <w:r w:rsidR="00B76E14">
        <w:rPr>
          <w:szCs w:val="20"/>
        </w:rPr>
        <w:t>the</w:t>
      </w:r>
      <w:r w:rsidR="00BC392E" w:rsidRPr="001224CF">
        <w:rPr>
          <w:szCs w:val="20"/>
        </w:rPr>
        <w:t xml:space="preserve"> </w:t>
      </w:r>
      <w:r w:rsidR="00917333" w:rsidRPr="001224CF">
        <w:rPr>
          <w:szCs w:val="20"/>
        </w:rPr>
        <w:t>effectiveness and cost-efficient</w:t>
      </w:r>
      <w:r w:rsidR="00702548" w:rsidRPr="001224CF">
        <w:rPr>
          <w:szCs w:val="20"/>
        </w:rPr>
        <w:t xml:space="preserve"> </w:t>
      </w:r>
      <w:r w:rsidR="00D92090" w:rsidRPr="001224CF">
        <w:rPr>
          <w:szCs w:val="20"/>
        </w:rPr>
        <w:t>viability</w:t>
      </w:r>
      <w:r w:rsidR="00917333" w:rsidRPr="001224CF">
        <w:rPr>
          <w:szCs w:val="20"/>
        </w:rPr>
        <w:t xml:space="preserve"> of electronic </w:t>
      </w:r>
      <w:r w:rsidR="001A170C" w:rsidRPr="001224CF">
        <w:rPr>
          <w:szCs w:val="20"/>
        </w:rPr>
        <w:t>temperature compensator</w:t>
      </w:r>
      <w:r w:rsidR="00CD48B7" w:rsidRPr="001224CF">
        <w:rPr>
          <w:szCs w:val="20"/>
        </w:rPr>
        <w:t>s</w:t>
      </w:r>
      <w:r w:rsidR="001A170C" w:rsidRPr="001224CF">
        <w:rPr>
          <w:szCs w:val="20"/>
        </w:rPr>
        <w:t xml:space="preserve"> in all applications</w:t>
      </w:r>
      <w:r w:rsidR="00D94223" w:rsidRPr="001224CF">
        <w:rPr>
          <w:szCs w:val="20"/>
        </w:rPr>
        <w:t xml:space="preserve"> before</w:t>
      </w:r>
      <w:r w:rsidR="00D94455">
        <w:rPr>
          <w:szCs w:val="20"/>
        </w:rPr>
        <w:t xml:space="preserve"> </w:t>
      </w:r>
      <w:r w:rsidR="00C55CF5">
        <w:rPr>
          <w:szCs w:val="20"/>
        </w:rPr>
        <w:t xml:space="preserve">they </w:t>
      </w:r>
      <w:r w:rsidR="00D94455">
        <w:rPr>
          <w:szCs w:val="20"/>
        </w:rPr>
        <w:t xml:space="preserve">become a requirement. </w:t>
      </w:r>
      <w:r w:rsidR="00D94223" w:rsidRPr="001224CF">
        <w:rPr>
          <w:szCs w:val="20"/>
        </w:rPr>
        <w:t xml:space="preserve">Depending on the results of the study, </w:t>
      </w:r>
      <w:r w:rsidR="008E4FF3" w:rsidRPr="001224CF">
        <w:rPr>
          <w:szCs w:val="20"/>
        </w:rPr>
        <w:t xml:space="preserve">if </w:t>
      </w:r>
      <w:r w:rsidR="00B05D35" w:rsidRPr="001224CF">
        <w:rPr>
          <w:szCs w:val="20"/>
        </w:rPr>
        <w:t xml:space="preserve">established </w:t>
      </w:r>
      <w:r w:rsidR="001879BA" w:rsidRPr="001224CF">
        <w:rPr>
          <w:szCs w:val="20"/>
        </w:rPr>
        <w:t xml:space="preserve">the item has </w:t>
      </w:r>
      <w:r w:rsidR="00B05D35" w:rsidRPr="001224CF">
        <w:rPr>
          <w:szCs w:val="20"/>
        </w:rPr>
        <w:t xml:space="preserve">merit, </w:t>
      </w:r>
      <w:r w:rsidR="00D94223" w:rsidRPr="001224CF">
        <w:rPr>
          <w:szCs w:val="20"/>
        </w:rPr>
        <w:t xml:space="preserve">the </w:t>
      </w:r>
      <w:r w:rsidR="0075622A">
        <w:rPr>
          <w:szCs w:val="20"/>
        </w:rPr>
        <w:t>Work G</w:t>
      </w:r>
      <w:r w:rsidR="00D94223" w:rsidRPr="001224CF">
        <w:rPr>
          <w:szCs w:val="20"/>
        </w:rPr>
        <w:t xml:space="preserve">roup </w:t>
      </w:r>
      <w:r w:rsidR="00EF02BC" w:rsidRPr="001224CF">
        <w:rPr>
          <w:szCs w:val="20"/>
        </w:rPr>
        <w:t xml:space="preserve">will recommend final </w:t>
      </w:r>
      <w:r w:rsidR="00CD48B7" w:rsidRPr="001224CF">
        <w:rPr>
          <w:szCs w:val="20"/>
        </w:rPr>
        <w:t>language</w:t>
      </w:r>
      <w:r w:rsidR="00D11BD1" w:rsidRPr="001224CF">
        <w:rPr>
          <w:szCs w:val="20"/>
        </w:rPr>
        <w:t>,</w:t>
      </w:r>
      <w:r w:rsidR="001C7CB7" w:rsidRPr="001224CF">
        <w:rPr>
          <w:szCs w:val="20"/>
        </w:rPr>
        <w:t xml:space="preserve"> an</w:t>
      </w:r>
      <w:r w:rsidR="0075622A">
        <w:rPr>
          <w:szCs w:val="20"/>
        </w:rPr>
        <w:t>y</w:t>
      </w:r>
      <w:r w:rsidR="001C7CB7" w:rsidRPr="001224CF">
        <w:rPr>
          <w:szCs w:val="20"/>
        </w:rPr>
        <w:t xml:space="preserve"> required</w:t>
      </w:r>
      <w:r w:rsidR="00621416" w:rsidRPr="001224CF">
        <w:rPr>
          <w:szCs w:val="20"/>
        </w:rPr>
        <w:t xml:space="preserve"> alignment </w:t>
      </w:r>
      <w:r w:rsidR="000A60A5" w:rsidRPr="001224CF">
        <w:rPr>
          <w:szCs w:val="20"/>
        </w:rPr>
        <w:t xml:space="preserve">of it </w:t>
      </w:r>
      <w:r w:rsidR="00621416" w:rsidRPr="001224CF">
        <w:rPr>
          <w:szCs w:val="20"/>
        </w:rPr>
        <w:t>with other publications</w:t>
      </w:r>
      <w:r w:rsidR="00D11BD1" w:rsidRPr="001224CF">
        <w:rPr>
          <w:szCs w:val="20"/>
        </w:rPr>
        <w:t>,</w:t>
      </w:r>
      <w:r w:rsidR="00621416" w:rsidRPr="001224CF">
        <w:rPr>
          <w:szCs w:val="20"/>
        </w:rPr>
        <w:t xml:space="preserve"> and effective dates. </w:t>
      </w:r>
      <w:r w:rsidR="00CD48B7" w:rsidRPr="001224CF">
        <w:rPr>
          <w:szCs w:val="20"/>
        </w:rPr>
        <w:t xml:space="preserve"> </w:t>
      </w:r>
    </w:p>
    <w:p w14:paraId="6144BC51" w14:textId="77777777" w:rsidR="006540E5" w:rsidRPr="00E025F9" w:rsidRDefault="006540E5" w:rsidP="00E701E6">
      <w:pPr>
        <w:rPr>
          <w:b/>
        </w:rPr>
      </w:pPr>
      <w:r w:rsidRPr="00E025F9">
        <w:rPr>
          <w:b/>
        </w:rPr>
        <w:t>Regional Associations’ Comments:</w:t>
      </w:r>
    </w:p>
    <w:p w14:paraId="6D43AC28" w14:textId="638EFB6A" w:rsidR="00B55C17" w:rsidRDefault="00C8190C" w:rsidP="00E701E6">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57A3662B" w14:textId="0D7B8B5C" w:rsidR="009D0141" w:rsidRDefault="009D0141" w:rsidP="00E701E6">
      <w:pPr>
        <w:rPr>
          <w:rFonts w:eastAsia="Times New Roman"/>
          <w:szCs w:val="24"/>
        </w:rPr>
      </w:pPr>
      <w:r>
        <w:rPr>
          <w:rFonts w:eastAsia="Times New Roman"/>
          <w:szCs w:val="24"/>
        </w:rPr>
        <w:t>Mr. Chris Wagner with the National Propane Gas Association (NPGA) referenced a study called the “Linco-Electromatic, Inc. Technical Paper” which demonstrates that electronic temperature compensation is immediate and meaningful in comparison with mechanical temperature compensation, which has a lag time that renders it ineffective for small drafts. He also stated the electronic compensators are more expensive so retailers, if left to their own devices, will install mechanical compensators to comply with the 2034 requirement. The NPGA polled the industry and no contradictory data could be found. Mr. Chris Wagner recommended a voting status.</w:t>
      </w:r>
    </w:p>
    <w:p w14:paraId="04AB3F32" w14:textId="77777777" w:rsidR="00347DDC" w:rsidRDefault="009D0141" w:rsidP="00E701E6">
      <w:pPr>
        <w:rPr>
          <w:rFonts w:eastAsia="Times New Roman"/>
          <w:szCs w:val="24"/>
        </w:rPr>
      </w:pPr>
      <w:r>
        <w:rPr>
          <w:rFonts w:eastAsia="Times New Roman"/>
          <w:szCs w:val="24"/>
        </w:rPr>
        <w:t xml:space="preserve">Mr. Scott Simmons (P 20:10 Services LLC) was opposed to the item and recommended the item be withdrawn. He expressed that mechanical automatic temperature compensators (ATCs) have been in use on dispensers with flow rates less than 20 gallons per minute for more than the 32 years that he has been testing and inspecting these devices. He </w:t>
      </w:r>
      <w:r>
        <w:rPr>
          <w:rFonts w:eastAsia="Times New Roman"/>
          <w:szCs w:val="24"/>
        </w:rPr>
        <w:lastRenderedPageBreak/>
        <w:t xml:space="preserve">also stated that both mechanical and electronic compensators are accurate and doesn’t believe that existing technology should be limited without supporting statistical data. </w:t>
      </w:r>
    </w:p>
    <w:p w14:paraId="591B3E34" w14:textId="1F651A36" w:rsidR="009D0141" w:rsidRDefault="009D0141" w:rsidP="00E701E6">
      <w:pPr>
        <w:rPr>
          <w:rFonts w:eastAsia="Times New Roman"/>
          <w:szCs w:val="24"/>
        </w:rPr>
      </w:pPr>
      <w:r>
        <w:rPr>
          <w:rFonts w:eastAsia="Times New Roman"/>
          <w:szCs w:val="24"/>
        </w:rPr>
        <w:t>Mr. Simmons pointed out that the technical paper was based on large volumes of crude oil and does not apply to small deliveries of LPG. Additionally, he voiced concern that many propane companies have already invested in mechanical temperature compensators to comply with recently adopted requirements and would have to replace this equipment should this proposal be adopted.</w:t>
      </w:r>
    </w:p>
    <w:p w14:paraId="34886459" w14:textId="77777777" w:rsidR="008277B9" w:rsidRDefault="009D0141" w:rsidP="00D04F80">
      <w:pPr>
        <w:rPr>
          <w:rFonts w:eastAsia="Times New Roman"/>
          <w:szCs w:val="24"/>
        </w:rPr>
      </w:pPr>
      <w:r>
        <w:rPr>
          <w:rFonts w:eastAsia="Times New Roman"/>
          <w:szCs w:val="24"/>
        </w:rPr>
        <w:t xml:space="preserve">Mr. Mahesh </w:t>
      </w:r>
      <w:r w:rsidRPr="00E13A3F">
        <w:rPr>
          <w:rFonts w:eastAsia="Times New Roman"/>
          <w:szCs w:val="24"/>
        </w:rPr>
        <w:t>Albuquerque</w:t>
      </w:r>
      <w:r>
        <w:rPr>
          <w:rFonts w:eastAsia="Times New Roman"/>
          <w:szCs w:val="24"/>
        </w:rPr>
        <w:t xml:space="preserve"> (Colorado Division of Oil and Public Safety) stated that his position was neutral on this item but shared the concern of the cost of replacement being substantial. He stated that Colorado has adopted regulations requiring ATCs by 2030 but does not specify whether these need to be mechanical or electronic. </w:t>
      </w:r>
    </w:p>
    <w:p w14:paraId="241B5991" w14:textId="0F7FCA81" w:rsidR="00D04F80" w:rsidRDefault="009D0141" w:rsidP="00D04F80">
      <w:pPr>
        <w:rPr>
          <w:rFonts w:eastAsia="Times New Roman"/>
          <w:szCs w:val="24"/>
        </w:rPr>
      </w:pPr>
      <w:r>
        <w:rPr>
          <w:rFonts w:eastAsia="Times New Roman"/>
          <w:szCs w:val="24"/>
        </w:rPr>
        <w:t xml:space="preserve">Mr. </w:t>
      </w:r>
      <w:r w:rsidRPr="00E13A3F">
        <w:rPr>
          <w:rFonts w:eastAsia="Times New Roman"/>
          <w:szCs w:val="24"/>
        </w:rPr>
        <w:t>Albuquerque</w:t>
      </w:r>
      <w:r>
        <w:rPr>
          <w:rFonts w:eastAsia="Times New Roman"/>
          <w:szCs w:val="24"/>
        </w:rPr>
        <w:t xml:space="preserve"> stated it wasn’t fair to require a business to who just invested in a mechanical ATC to have to replace the ATC with an electronic ATC.</w:t>
      </w:r>
    </w:p>
    <w:p w14:paraId="36E8EC84" w14:textId="4C3AC117" w:rsidR="009D0141" w:rsidRDefault="009D0141" w:rsidP="00D04F80">
      <w:pPr>
        <w:rPr>
          <w:rFonts w:eastAsia="Times New Roman"/>
          <w:szCs w:val="24"/>
        </w:rPr>
      </w:pPr>
      <w:r>
        <w:rPr>
          <w:rFonts w:eastAsia="Times New Roman"/>
          <w:szCs w:val="24"/>
        </w:rPr>
        <w:t>Mr. John Beall (County of Ventura, California) stated that while working in the field he checked propane deliveries with mechanical compensators and did not notice a trend of mechanical compensators being associated with inaccuracies. He s</w:t>
      </w:r>
      <w:r w:rsidRPr="007C69B7">
        <w:rPr>
          <w:rFonts w:eastAsia="Times New Roman"/>
          <w:szCs w:val="24"/>
        </w:rPr>
        <w:t>ees the need to move towards ATC but not necessarily specifying which one must be required.</w:t>
      </w:r>
    </w:p>
    <w:p w14:paraId="748A8C1B" w14:textId="1D24E9C7" w:rsidR="009D0141" w:rsidRDefault="009D0141" w:rsidP="00D04F80">
      <w:pPr>
        <w:rPr>
          <w:rFonts w:eastAsia="Times New Roman"/>
          <w:szCs w:val="24"/>
        </w:rPr>
      </w:pPr>
      <w:r>
        <w:rPr>
          <w:rFonts w:eastAsia="Times New Roman"/>
          <w:szCs w:val="24"/>
        </w:rPr>
        <w:t>Mr. Mike Brooks (</w:t>
      </w:r>
      <w:r w:rsidRPr="009F7C1A">
        <w:rPr>
          <w:rFonts w:eastAsia="Times New Roman"/>
          <w:szCs w:val="24"/>
        </w:rPr>
        <w:t>Arizona Department of Agriculture</w:t>
      </w:r>
      <w:r>
        <w:rPr>
          <w:rFonts w:eastAsia="Times New Roman"/>
          <w:szCs w:val="24"/>
        </w:rPr>
        <w:t>, Office of</w:t>
      </w:r>
      <w:r w:rsidRPr="009F7C1A">
        <w:rPr>
          <w:rFonts w:eastAsia="Times New Roman"/>
          <w:szCs w:val="24"/>
        </w:rPr>
        <w:t xml:space="preserve"> Weights and Measures</w:t>
      </w:r>
      <w:r>
        <w:rPr>
          <w:rFonts w:eastAsia="Times New Roman"/>
          <w:szCs w:val="24"/>
        </w:rPr>
        <w:t>) recommended forming a task group to address the contradiction in previous testimonies regarding the applicability of the study and the merits of mechanical vs electronic compensators.</w:t>
      </w:r>
    </w:p>
    <w:p w14:paraId="3486DFB8" w14:textId="5C6BDF1B" w:rsidR="009D0141" w:rsidRDefault="009D0141" w:rsidP="00D04F80">
      <w:pPr>
        <w:rPr>
          <w:rFonts w:eastAsia="Times New Roman"/>
          <w:szCs w:val="24"/>
        </w:rPr>
      </w:pPr>
      <w:r>
        <w:rPr>
          <w:rFonts w:eastAsia="Times New Roman"/>
          <w:szCs w:val="24"/>
        </w:rPr>
        <w:t xml:space="preserve">Mr. Brent Ricks (Montana Weights and Measures Program) stated that Montana has a statute requiring compensation but does not specify whether these need to be electronic or mechanical. They have noticed more failures for mechanical than electronic for high flow rates but there are no electronic compensators at low flow rates to compare. Mr. Brent Ricks concurred with Mr. Mike Brooks about creating a task group. </w:t>
      </w:r>
    </w:p>
    <w:p w14:paraId="298EDEF3" w14:textId="46738450" w:rsidR="009D0141" w:rsidRDefault="009D0141" w:rsidP="00D04F80">
      <w:pPr>
        <w:rPr>
          <w:rFonts w:eastAsia="Times New Roman"/>
          <w:szCs w:val="24"/>
        </w:rPr>
      </w:pPr>
      <w:r>
        <w:rPr>
          <w:rFonts w:eastAsia="Times New Roman"/>
          <w:szCs w:val="24"/>
        </w:rPr>
        <w:t xml:space="preserve">Mr. Chris Wagner (NPGA) </w:t>
      </w:r>
      <w:r w:rsidRPr="006F031F">
        <w:rPr>
          <w:rFonts w:eastAsia="Times New Roman"/>
          <w:szCs w:val="24"/>
        </w:rPr>
        <w:t>is not in opposition to further studies</w:t>
      </w:r>
      <w:r>
        <w:rPr>
          <w:rFonts w:eastAsia="Times New Roman"/>
          <w:szCs w:val="24"/>
        </w:rPr>
        <w:t xml:space="preserve"> and r</w:t>
      </w:r>
      <w:r w:rsidRPr="006F031F">
        <w:rPr>
          <w:rFonts w:eastAsia="Times New Roman"/>
          <w:szCs w:val="24"/>
        </w:rPr>
        <w:t>ecognizes the study was on a different product but</w:t>
      </w:r>
      <w:r>
        <w:rPr>
          <w:rFonts w:eastAsia="Times New Roman"/>
          <w:szCs w:val="24"/>
        </w:rPr>
        <w:t xml:space="preserve"> claimed that</w:t>
      </w:r>
      <w:r w:rsidRPr="006F031F">
        <w:rPr>
          <w:rFonts w:eastAsia="Times New Roman"/>
          <w:szCs w:val="24"/>
        </w:rPr>
        <w:t xml:space="preserve"> it </w:t>
      </w:r>
      <w:r>
        <w:rPr>
          <w:rFonts w:eastAsia="Times New Roman"/>
          <w:szCs w:val="24"/>
        </w:rPr>
        <w:t xml:space="preserve">is </w:t>
      </w:r>
      <w:r w:rsidRPr="006F031F">
        <w:rPr>
          <w:rFonts w:eastAsia="Times New Roman"/>
          <w:szCs w:val="24"/>
        </w:rPr>
        <w:t xml:space="preserve">the only study in existence today. </w:t>
      </w:r>
      <w:r>
        <w:rPr>
          <w:rFonts w:eastAsia="Times New Roman"/>
          <w:szCs w:val="24"/>
        </w:rPr>
        <w:t>He clarified that a</w:t>
      </w:r>
      <w:r w:rsidRPr="006F031F">
        <w:rPr>
          <w:rFonts w:eastAsia="Times New Roman"/>
          <w:szCs w:val="24"/>
        </w:rPr>
        <w:t>n item can always be downgraded but not upgraded</w:t>
      </w:r>
      <w:r>
        <w:rPr>
          <w:rFonts w:eastAsia="Times New Roman"/>
          <w:szCs w:val="24"/>
        </w:rPr>
        <w:t xml:space="preserve">; and that he is concerned with the </w:t>
      </w:r>
      <w:r w:rsidRPr="006F031F">
        <w:rPr>
          <w:rFonts w:eastAsia="Times New Roman"/>
          <w:szCs w:val="24"/>
        </w:rPr>
        <w:t>potentia</w:t>
      </w:r>
      <w:r>
        <w:rPr>
          <w:rFonts w:eastAsia="Times New Roman"/>
          <w:szCs w:val="24"/>
        </w:rPr>
        <w:t>l that</w:t>
      </w:r>
      <w:r w:rsidRPr="006F031F">
        <w:rPr>
          <w:rFonts w:eastAsia="Times New Roman"/>
          <w:szCs w:val="24"/>
        </w:rPr>
        <w:t xml:space="preserve"> 7000 mechanical ATCs</w:t>
      </w:r>
      <w:r>
        <w:rPr>
          <w:rFonts w:eastAsia="Times New Roman"/>
          <w:szCs w:val="24"/>
        </w:rPr>
        <w:t xml:space="preserve"> may</w:t>
      </w:r>
      <w:r w:rsidRPr="006F031F">
        <w:rPr>
          <w:rFonts w:eastAsia="Times New Roman"/>
          <w:szCs w:val="24"/>
        </w:rPr>
        <w:t xml:space="preserve"> </w:t>
      </w:r>
      <w:r>
        <w:rPr>
          <w:rFonts w:eastAsia="Times New Roman"/>
          <w:szCs w:val="24"/>
        </w:rPr>
        <w:t xml:space="preserve">be installed annually </w:t>
      </w:r>
      <w:r w:rsidRPr="006F031F">
        <w:rPr>
          <w:rFonts w:eastAsia="Times New Roman"/>
          <w:szCs w:val="24"/>
        </w:rPr>
        <w:t xml:space="preserve">only to be forced to </w:t>
      </w:r>
      <w:r>
        <w:rPr>
          <w:rFonts w:eastAsia="Times New Roman"/>
          <w:szCs w:val="24"/>
        </w:rPr>
        <w:t>be replaced with electronic</w:t>
      </w:r>
      <w:r w:rsidRPr="006F031F">
        <w:rPr>
          <w:rFonts w:eastAsia="Times New Roman"/>
          <w:szCs w:val="24"/>
        </w:rPr>
        <w:t xml:space="preserve"> ATCs after the studies confirm what they already know </w:t>
      </w:r>
      <w:r>
        <w:rPr>
          <w:rFonts w:eastAsia="Times New Roman"/>
          <w:szCs w:val="24"/>
        </w:rPr>
        <w:t xml:space="preserve">- </w:t>
      </w:r>
      <w:r w:rsidRPr="006F031F">
        <w:rPr>
          <w:rFonts w:eastAsia="Times New Roman"/>
          <w:szCs w:val="24"/>
        </w:rPr>
        <w:t xml:space="preserve">that </w:t>
      </w:r>
      <w:r>
        <w:rPr>
          <w:rFonts w:eastAsia="Times New Roman"/>
          <w:szCs w:val="24"/>
        </w:rPr>
        <w:t>electronic</w:t>
      </w:r>
      <w:r w:rsidRPr="006F031F">
        <w:rPr>
          <w:rFonts w:eastAsia="Times New Roman"/>
          <w:szCs w:val="24"/>
        </w:rPr>
        <w:t xml:space="preserve"> ATC</w:t>
      </w:r>
      <w:r>
        <w:rPr>
          <w:rFonts w:eastAsia="Times New Roman"/>
          <w:szCs w:val="24"/>
        </w:rPr>
        <w:t>s</w:t>
      </w:r>
      <w:r w:rsidRPr="006F031F">
        <w:rPr>
          <w:rFonts w:eastAsia="Times New Roman"/>
          <w:szCs w:val="24"/>
        </w:rPr>
        <w:t xml:space="preserve"> are more accurate. </w:t>
      </w:r>
      <w:r>
        <w:rPr>
          <w:rFonts w:eastAsia="Times New Roman"/>
          <w:szCs w:val="24"/>
        </w:rPr>
        <w:t>He r</w:t>
      </w:r>
      <w:r w:rsidRPr="006F031F">
        <w:rPr>
          <w:rFonts w:eastAsia="Times New Roman"/>
          <w:szCs w:val="24"/>
        </w:rPr>
        <w:t xml:space="preserve">ecommends </w:t>
      </w:r>
      <w:r>
        <w:rPr>
          <w:rFonts w:eastAsia="Times New Roman"/>
          <w:szCs w:val="24"/>
        </w:rPr>
        <w:t xml:space="preserve">a </w:t>
      </w:r>
      <w:r w:rsidRPr="006F031F">
        <w:rPr>
          <w:rFonts w:eastAsia="Times New Roman"/>
          <w:szCs w:val="24"/>
        </w:rPr>
        <w:t xml:space="preserve">voting </w:t>
      </w:r>
      <w:r>
        <w:rPr>
          <w:rFonts w:eastAsia="Times New Roman"/>
          <w:szCs w:val="24"/>
        </w:rPr>
        <w:t xml:space="preserve">status for this item </w:t>
      </w:r>
      <w:r w:rsidRPr="006F031F">
        <w:rPr>
          <w:rFonts w:eastAsia="Times New Roman"/>
          <w:szCs w:val="24"/>
        </w:rPr>
        <w:t>realizing the item can always be downgraded in the future.</w:t>
      </w:r>
    </w:p>
    <w:p w14:paraId="08079F3F" w14:textId="08A9B884" w:rsidR="009D0141" w:rsidRDefault="009D0141" w:rsidP="00D04F80">
      <w:pPr>
        <w:rPr>
          <w:rFonts w:eastAsia="Times New Roman"/>
          <w:szCs w:val="24"/>
        </w:rPr>
      </w:pPr>
      <w:r>
        <w:rPr>
          <w:rFonts w:eastAsia="Times New Roman"/>
          <w:szCs w:val="24"/>
        </w:rPr>
        <w:t>Mr. Lor</w:t>
      </w:r>
      <w:r w:rsidRPr="006F031F">
        <w:rPr>
          <w:rFonts w:eastAsia="Times New Roman"/>
          <w:szCs w:val="24"/>
        </w:rPr>
        <w:t>en Min</w:t>
      </w:r>
      <w:r>
        <w:rPr>
          <w:rFonts w:eastAsia="Times New Roman"/>
          <w:szCs w:val="24"/>
        </w:rPr>
        <w:t>nich asked a question as a consumer. If consumers buy about 4lbs for a typical cylinder, what is the draft size used during a test?</w:t>
      </w:r>
    </w:p>
    <w:p w14:paraId="4DD38A50" w14:textId="17D92D09" w:rsidR="009D0141" w:rsidRDefault="009D0141" w:rsidP="00D04F80">
      <w:pPr>
        <w:rPr>
          <w:rFonts w:eastAsia="Times New Roman"/>
          <w:szCs w:val="24"/>
        </w:rPr>
      </w:pPr>
      <w:r>
        <w:rPr>
          <w:rFonts w:eastAsia="Times New Roman"/>
          <w:szCs w:val="24"/>
        </w:rPr>
        <w:t xml:space="preserve">Mr. </w:t>
      </w:r>
      <w:r w:rsidRPr="006F031F">
        <w:rPr>
          <w:rFonts w:eastAsia="Times New Roman"/>
          <w:szCs w:val="24"/>
        </w:rPr>
        <w:t>Matt Douglas</w:t>
      </w:r>
      <w:r>
        <w:rPr>
          <w:rFonts w:eastAsia="Times New Roman"/>
          <w:szCs w:val="24"/>
        </w:rPr>
        <w:t xml:space="preserve"> (California Division of Measurement Standards) responded to Mr. Minnich indicating that the test draft is approximately 20 gallons. He also stated that he was n</w:t>
      </w:r>
      <w:r w:rsidRPr="006F031F">
        <w:rPr>
          <w:rFonts w:eastAsia="Times New Roman"/>
          <w:szCs w:val="24"/>
        </w:rPr>
        <w:t>ot aware the study was not for the same product</w:t>
      </w:r>
      <w:r>
        <w:rPr>
          <w:rFonts w:eastAsia="Times New Roman"/>
          <w:szCs w:val="24"/>
        </w:rPr>
        <w:t xml:space="preserve"> and that t</w:t>
      </w:r>
      <w:r w:rsidRPr="006F031F">
        <w:rPr>
          <w:rFonts w:eastAsia="Times New Roman"/>
          <w:szCs w:val="24"/>
        </w:rPr>
        <w:t xml:space="preserve">hese devices have been </w:t>
      </w:r>
      <w:r>
        <w:rPr>
          <w:rFonts w:eastAsia="Times New Roman"/>
          <w:szCs w:val="24"/>
        </w:rPr>
        <w:t>National Type Evaluation Program (</w:t>
      </w:r>
      <w:r w:rsidRPr="006F031F">
        <w:rPr>
          <w:rFonts w:eastAsia="Times New Roman"/>
          <w:szCs w:val="24"/>
        </w:rPr>
        <w:t>NTEP</w:t>
      </w:r>
      <w:r>
        <w:rPr>
          <w:rFonts w:eastAsia="Times New Roman"/>
          <w:szCs w:val="24"/>
        </w:rPr>
        <w:t>)</w:t>
      </w:r>
      <w:r w:rsidRPr="006F031F">
        <w:rPr>
          <w:rFonts w:eastAsia="Times New Roman"/>
          <w:szCs w:val="24"/>
        </w:rPr>
        <w:t xml:space="preserve"> approved already. </w:t>
      </w:r>
      <w:r>
        <w:rPr>
          <w:rFonts w:eastAsia="Times New Roman"/>
          <w:szCs w:val="24"/>
        </w:rPr>
        <w:t>He said that he r</w:t>
      </w:r>
      <w:r w:rsidRPr="006F031F">
        <w:rPr>
          <w:rFonts w:eastAsia="Times New Roman"/>
          <w:szCs w:val="24"/>
        </w:rPr>
        <w:t xml:space="preserve">ecognizes </w:t>
      </w:r>
      <w:r>
        <w:rPr>
          <w:rFonts w:eastAsia="Times New Roman"/>
          <w:szCs w:val="24"/>
        </w:rPr>
        <w:t xml:space="preserve">the </w:t>
      </w:r>
      <w:r w:rsidRPr="006F031F">
        <w:rPr>
          <w:rFonts w:eastAsia="Times New Roman"/>
          <w:szCs w:val="24"/>
        </w:rPr>
        <w:t xml:space="preserve">NPGA viewpoint about replacement however this item as </w:t>
      </w:r>
      <w:r>
        <w:rPr>
          <w:rFonts w:eastAsia="Times New Roman"/>
          <w:szCs w:val="24"/>
        </w:rPr>
        <w:t xml:space="preserve">it </w:t>
      </w:r>
      <w:r w:rsidRPr="006F031F">
        <w:rPr>
          <w:rFonts w:eastAsia="Times New Roman"/>
          <w:szCs w:val="24"/>
        </w:rPr>
        <w:t>exist</w:t>
      </w:r>
      <w:r>
        <w:rPr>
          <w:rFonts w:eastAsia="Times New Roman"/>
          <w:szCs w:val="24"/>
        </w:rPr>
        <w:t>s</w:t>
      </w:r>
      <w:r w:rsidRPr="006F031F">
        <w:rPr>
          <w:rFonts w:eastAsia="Times New Roman"/>
          <w:szCs w:val="24"/>
        </w:rPr>
        <w:t xml:space="preserve"> is not ready for a vote</w:t>
      </w:r>
      <w:r>
        <w:rPr>
          <w:rFonts w:eastAsia="Times New Roman"/>
          <w:szCs w:val="24"/>
        </w:rPr>
        <w:t>.</w:t>
      </w:r>
    </w:p>
    <w:p w14:paraId="64901DF2" w14:textId="33E86CCB" w:rsidR="009D0141" w:rsidRDefault="009D0141" w:rsidP="00D04F80">
      <w:pPr>
        <w:rPr>
          <w:rFonts w:eastAsia="Times New Roman"/>
          <w:szCs w:val="24"/>
        </w:rPr>
      </w:pPr>
      <w:r>
        <w:rPr>
          <w:rFonts w:eastAsia="Times New Roman"/>
          <w:szCs w:val="24"/>
        </w:rPr>
        <w:t>Mr. Scott Simmons (P 20:10 Services LLC) stated that a t</w:t>
      </w:r>
      <w:r w:rsidRPr="001E3672">
        <w:rPr>
          <w:rFonts w:eastAsia="Times New Roman"/>
          <w:szCs w:val="24"/>
        </w:rPr>
        <w:t>est draft size is 20 or 25 gallons</w:t>
      </w:r>
      <w:r>
        <w:rPr>
          <w:rFonts w:eastAsia="Times New Roman"/>
          <w:szCs w:val="24"/>
        </w:rPr>
        <w:t xml:space="preserve"> and that an empty consumer LPG bottle would receive approximately 4.5 gallons.</w:t>
      </w:r>
      <w:r w:rsidRPr="001E3672">
        <w:rPr>
          <w:rFonts w:eastAsia="Times New Roman"/>
          <w:szCs w:val="24"/>
        </w:rPr>
        <w:t xml:space="preserve"> On that small of a draft there would be limited benefit for an ATC. </w:t>
      </w:r>
      <w:r>
        <w:rPr>
          <w:rFonts w:eastAsia="Times New Roman"/>
          <w:szCs w:val="24"/>
        </w:rPr>
        <w:t>He reiterated that the mechanical ATCs have been in use for many years and have been type approved, and ATCs are already required by our Handbooks</w:t>
      </w:r>
      <w:r w:rsidRPr="001E3672">
        <w:rPr>
          <w:rFonts w:eastAsia="Times New Roman"/>
          <w:szCs w:val="24"/>
        </w:rPr>
        <w:t xml:space="preserve">. </w:t>
      </w:r>
      <w:r>
        <w:rPr>
          <w:rFonts w:eastAsia="Times New Roman"/>
          <w:szCs w:val="24"/>
        </w:rPr>
        <w:t>He also stated that t</w:t>
      </w:r>
      <w:r w:rsidRPr="001E3672">
        <w:rPr>
          <w:rFonts w:eastAsia="Times New Roman"/>
          <w:szCs w:val="24"/>
        </w:rPr>
        <w:t xml:space="preserve">here is </w:t>
      </w:r>
      <w:r>
        <w:rPr>
          <w:rFonts w:eastAsia="Times New Roman"/>
          <w:szCs w:val="24"/>
        </w:rPr>
        <w:t>only one</w:t>
      </w:r>
      <w:r w:rsidRPr="001E3672">
        <w:rPr>
          <w:rFonts w:eastAsia="Times New Roman"/>
          <w:szCs w:val="24"/>
        </w:rPr>
        <w:t xml:space="preserve"> company who developed a</w:t>
      </w:r>
      <w:r>
        <w:rPr>
          <w:rFonts w:eastAsia="Times New Roman"/>
          <w:szCs w:val="24"/>
        </w:rPr>
        <w:t>n electronic</w:t>
      </w:r>
      <w:r w:rsidRPr="001E3672">
        <w:rPr>
          <w:rFonts w:eastAsia="Times New Roman"/>
          <w:szCs w:val="24"/>
        </w:rPr>
        <w:t xml:space="preserve"> ATC. There are </w:t>
      </w:r>
      <w:r>
        <w:rPr>
          <w:rFonts w:eastAsia="Times New Roman"/>
          <w:szCs w:val="24"/>
        </w:rPr>
        <w:t xml:space="preserve">currently </w:t>
      </w:r>
      <w:r w:rsidRPr="001E3672">
        <w:rPr>
          <w:rFonts w:eastAsia="Times New Roman"/>
          <w:szCs w:val="24"/>
        </w:rPr>
        <w:t xml:space="preserve">no </w:t>
      </w:r>
      <w:r>
        <w:rPr>
          <w:rFonts w:eastAsia="Times New Roman"/>
          <w:szCs w:val="24"/>
        </w:rPr>
        <w:t xml:space="preserve">electronic </w:t>
      </w:r>
      <w:r w:rsidRPr="001E3672">
        <w:rPr>
          <w:rFonts w:eastAsia="Times New Roman"/>
          <w:szCs w:val="24"/>
        </w:rPr>
        <w:t xml:space="preserve">ATCs </w:t>
      </w:r>
      <w:r>
        <w:rPr>
          <w:rFonts w:eastAsia="Times New Roman"/>
          <w:szCs w:val="24"/>
        </w:rPr>
        <w:t>installed on</w:t>
      </w:r>
      <w:r w:rsidRPr="001E3672">
        <w:rPr>
          <w:rFonts w:eastAsia="Times New Roman"/>
          <w:szCs w:val="24"/>
        </w:rPr>
        <w:t xml:space="preserve"> meters</w:t>
      </w:r>
      <w:r>
        <w:rPr>
          <w:rFonts w:eastAsia="Times New Roman"/>
          <w:szCs w:val="24"/>
        </w:rPr>
        <w:t xml:space="preserve"> operating</w:t>
      </w:r>
      <w:r w:rsidRPr="001E3672">
        <w:rPr>
          <w:rFonts w:eastAsia="Times New Roman"/>
          <w:szCs w:val="24"/>
        </w:rPr>
        <w:t xml:space="preserve"> under 20GPM</w:t>
      </w:r>
      <w:r>
        <w:rPr>
          <w:rFonts w:eastAsia="Times New Roman"/>
          <w:szCs w:val="24"/>
        </w:rPr>
        <w:t>, so i</w:t>
      </w:r>
      <w:r w:rsidRPr="001E3672">
        <w:rPr>
          <w:rFonts w:eastAsia="Times New Roman"/>
          <w:szCs w:val="24"/>
        </w:rPr>
        <w:t xml:space="preserve">f this requirement goes into effect </w:t>
      </w:r>
      <w:r>
        <w:rPr>
          <w:rFonts w:eastAsia="Times New Roman"/>
          <w:szCs w:val="24"/>
        </w:rPr>
        <w:t>all of the meters that already have temperature compensation will need to be upgraded</w:t>
      </w:r>
      <w:r w:rsidRPr="001E3672">
        <w:rPr>
          <w:rFonts w:eastAsia="Times New Roman"/>
          <w:szCs w:val="24"/>
        </w:rPr>
        <w:t xml:space="preserve">. </w:t>
      </w:r>
      <w:r>
        <w:rPr>
          <w:rFonts w:eastAsia="Times New Roman"/>
          <w:szCs w:val="24"/>
        </w:rPr>
        <w:t>We should not</w:t>
      </w:r>
      <w:r w:rsidRPr="001E3672">
        <w:rPr>
          <w:rFonts w:eastAsia="Times New Roman"/>
          <w:szCs w:val="24"/>
        </w:rPr>
        <w:t xml:space="preserve"> outlaw approved technology with</w:t>
      </w:r>
      <w:r>
        <w:rPr>
          <w:rFonts w:eastAsia="Times New Roman"/>
          <w:szCs w:val="24"/>
        </w:rPr>
        <w:t>out</w:t>
      </w:r>
      <w:r w:rsidRPr="001E3672">
        <w:rPr>
          <w:rFonts w:eastAsia="Times New Roman"/>
          <w:szCs w:val="24"/>
        </w:rPr>
        <w:t xml:space="preserve"> significant data. Without the data we cannot make a decision.</w:t>
      </w:r>
    </w:p>
    <w:p w14:paraId="46297167" w14:textId="0117F604" w:rsidR="009D0141" w:rsidRPr="00A43BF4" w:rsidRDefault="009D0141" w:rsidP="00D04F80">
      <w:pPr>
        <w:rPr>
          <w:rFonts w:eastAsia="Times New Roman"/>
          <w:szCs w:val="24"/>
        </w:rPr>
      </w:pPr>
      <w:r>
        <w:rPr>
          <w:rFonts w:eastAsia="Times New Roman"/>
          <w:szCs w:val="24"/>
        </w:rPr>
        <w:t xml:space="preserve">Mr. Aaron Yanker </w:t>
      </w:r>
      <w:r w:rsidRPr="005D61E3">
        <w:rPr>
          <w:rFonts w:eastAsia="Times New Roman"/>
          <w:szCs w:val="24"/>
        </w:rPr>
        <w:t>(Colorado Department</w:t>
      </w:r>
      <w:r>
        <w:rPr>
          <w:rFonts w:eastAsia="Times New Roman"/>
          <w:szCs w:val="24"/>
        </w:rPr>
        <w:t xml:space="preserve"> </w:t>
      </w:r>
      <w:r w:rsidRPr="005D61E3">
        <w:rPr>
          <w:rFonts w:eastAsia="Times New Roman"/>
          <w:szCs w:val="24"/>
        </w:rPr>
        <w:t>of Agriculture, Weights and Measures)</w:t>
      </w:r>
      <w:r>
        <w:rPr>
          <w:rFonts w:eastAsia="Times New Roman"/>
          <w:szCs w:val="24"/>
        </w:rPr>
        <w:t xml:space="preserve"> stated that he was cautious about assigning this to a task group and suggested that industry should supply supporting data. Mr. Yanker then stated that if not withdrawn the item should be assigned a developing status</w:t>
      </w:r>
      <w:r w:rsidR="00D04F80">
        <w:rPr>
          <w:rFonts w:eastAsia="Times New Roman"/>
          <w:szCs w:val="24"/>
        </w:rPr>
        <w:t>.</w:t>
      </w:r>
    </w:p>
    <w:p w14:paraId="57248DB6" w14:textId="2BB612B6" w:rsidR="00C8190C" w:rsidRPr="00A43BF4" w:rsidRDefault="009D0141" w:rsidP="00347DDC">
      <w:pPr>
        <w:keepNext/>
        <w:keepLines/>
        <w:rPr>
          <w:rFonts w:eastAsia="Times New Roman"/>
          <w:szCs w:val="24"/>
        </w:rPr>
      </w:pPr>
      <w:r>
        <w:rPr>
          <w:rFonts w:eastAsia="Times New Roman"/>
          <w:szCs w:val="24"/>
        </w:rPr>
        <w:lastRenderedPageBreak/>
        <w:t>The WWMA L&amp;R Committee recommends a developing status for this item and suggests that the NPGA reach out to stakeholders to collect data to support the necessity of electronic temperature compensators over mechanical. The WWMA L&amp;R Committee further recommends to the NCWM L&amp;R Committee that, once such data is available, the merit of this item and both the effective and non-retroactivity dates identified in subsections (b) and (c) should be reassessed.</w:t>
      </w:r>
    </w:p>
    <w:p w14:paraId="305D6D6A" w14:textId="44F8B81A" w:rsidR="00C8190C" w:rsidRDefault="00C8190C" w:rsidP="00C8190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60E61">
        <w:rPr>
          <w:rFonts w:eastAsia="Times New Roman"/>
          <w:szCs w:val="24"/>
          <w:u w:val="single"/>
        </w:rPr>
        <w:t>Interim</w:t>
      </w:r>
      <w:r w:rsidRPr="0051426D">
        <w:rPr>
          <w:rFonts w:eastAsia="Times New Roman"/>
          <w:szCs w:val="24"/>
          <w:u w:val="single"/>
        </w:rPr>
        <w:t xml:space="preserve"> Meeting:</w:t>
      </w:r>
    </w:p>
    <w:p w14:paraId="341B650B" w14:textId="77777777" w:rsidR="00E77602" w:rsidRPr="00A43BF4" w:rsidRDefault="00E77602" w:rsidP="00D04F80">
      <w:pPr>
        <w:rPr>
          <w:rFonts w:eastAsia="Times New Roman"/>
          <w:szCs w:val="24"/>
        </w:rPr>
      </w:pPr>
      <w:r>
        <w:rPr>
          <w:rFonts w:eastAsia="Times New Roman"/>
          <w:szCs w:val="24"/>
        </w:rPr>
        <w:t>A letter of opposition was received from Colorado and is posted on the CWMA website. Ivan Hankins, IA, concurs with the letter of opposition and recommended withdrawal of this item.</w:t>
      </w:r>
    </w:p>
    <w:p w14:paraId="4A1F5039" w14:textId="1A48979C" w:rsidR="007B2C09" w:rsidRDefault="00E77602" w:rsidP="0049496F">
      <w:pPr>
        <w:rPr>
          <w:u w:val="single"/>
        </w:rPr>
      </w:pPr>
      <w:r w:rsidRPr="00E77602">
        <w:rPr>
          <w:rFonts w:eastAsia="Times New Roman"/>
          <w:szCs w:val="24"/>
        </w:rPr>
        <w:t xml:space="preserve">The CWMA L&amp;R Committee </w:t>
      </w:r>
      <w:r>
        <w:rPr>
          <w:rFonts w:eastAsia="Times New Roman"/>
          <w:szCs w:val="24"/>
        </w:rPr>
        <w:t>recommends a</w:t>
      </w:r>
      <w:r w:rsidR="002B0649">
        <w:rPr>
          <w:rFonts w:eastAsia="Times New Roman"/>
          <w:szCs w:val="24"/>
        </w:rPr>
        <w:t xml:space="preserve"> Withdrawn Status for this item. </w:t>
      </w:r>
    </w:p>
    <w:p w14:paraId="5A506FE6" w14:textId="3DBB00ED" w:rsidR="000401A0" w:rsidRDefault="00C8190C" w:rsidP="00C8190C">
      <w:pPr>
        <w:jc w:val="left"/>
        <w:rPr>
          <w:u w:val="single"/>
        </w:rPr>
      </w:pPr>
      <w:r w:rsidRPr="006C7BFB">
        <w:rPr>
          <w:u w:val="single"/>
        </w:rPr>
        <w:t>NEWMA 202</w:t>
      </w:r>
      <w:r>
        <w:rPr>
          <w:u w:val="single"/>
        </w:rPr>
        <w:t>5</w:t>
      </w:r>
      <w:r w:rsidRPr="006C7BFB">
        <w:rPr>
          <w:u w:val="single"/>
        </w:rPr>
        <w:t xml:space="preserve"> Interim Meeting:</w:t>
      </w:r>
    </w:p>
    <w:p w14:paraId="7CEBA2A6" w14:textId="46295061" w:rsidR="00A87C98" w:rsidRDefault="00A87C98" w:rsidP="0060214E">
      <w:pPr>
        <w:rPr>
          <w:rFonts w:eastAsia="Times New Roman"/>
          <w:szCs w:val="24"/>
        </w:rPr>
      </w:pPr>
      <w:r>
        <w:rPr>
          <w:rFonts w:eastAsia="Times New Roman"/>
          <w:szCs w:val="24"/>
        </w:rPr>
        <w:t>A regulator from New York commented that the way the proposal is currently written in section 2.21.2(c) leaves out devices that may be installed on January 1, 2027, and pointed out that the Handbook currently reads “Effective January 1, 2030”, and needs to be struck to include the new date of 2034.  New York recommended a Voting with the editorial changes.  The committee referenced a supporting document that appear on the NEWMA website from a representative of P 20:10 Services, LLC.  The supporting document requested a Withdrawn status for several reasons, but namely that a study the submitter relied on for data was confined to measuring crude oil, and not LPG.</w:t>
      </w:r>
    </w:p>
    <w:p w14:paraId="7F20F198" w14:textId="5A2D25CD" w:rsidR="00A87C98" w:rsidRDefault="00A87C98" w:rsidP="0060214E">
      <w:pPr>
        <w:rPr>
          <w:rFonts w:eastAsia="Times New Roman"/>
          <w:szCs w:val="24"/>
        </w:rPr>
      </w:pPr>
      <w:r>
        <w:rPr>
          <w:rFonts w:eastAsia="Times New Roman"/>
          <w:szCs w:val="24"/>
        </w:rPr>
        <w:t>After hearing comments from the floor, and considering the supporting document, the committee recommended a Voting status, and the body concurred.</w:t>
      </w:r>
    </w:p>
    <w:p w14:paraId="365F9CC7" w14:textId="7AD19FAB" w:rsidR="00A87C98" w:rsidRDefault="00A87C98" w:rsidP="0060214E">
      <w:pPr>
        <w:rPr>
          <w:rFonts w:eastAsia="Times New Roman"/>
          <w:szCs w:val="24"/>
        </w:rPr>
      </w:pPr>
      <w:r>
        <w:rPr>
          <w:rFonts w:eastAsia="Times New Roman"/>
          <w:szCs w:val="24"/>
        </w:rPr>
        <w:t>During a subsequent committee review of this item, it was discovered that the comments made by New York regarding the 2030/2034 date were based on the language that appears in the 2025 Handbook.  The committee now points out that during the 2025 Annual NCWM Meeting, a vote was held on MOS-25.1, which changed the date to 2034, and it will appear as such in the 2026 Handbook.  After further review, the committee recommends the following editorial changes to section 2.21.2(c) based on the remaining comments from New York, to include “on or before” prior to January 1, 2027:</w:t>
      </w:r>
    </w:p>
    <w:p w14:paraId="1C5C0ECE" w14:textId="7F52C6AB" w:rsidR="002F612A" w:rsidRDefault="00A87C98" w:rsidP="0060214E">
      <w:pPr>
        <w:spacing w:before="240"/>
        <w:jc w:val="left"/>
        <w:rPr>
          <w:u w:val="single"/>
        </w:rPr>
      </w:pPr>
      <w:r w:rsidRPr="006604E2">
        <w:rPr>
          <w:rFonts w:eastAsia="+mn-ea"/>
          <w:color w:val="000000"/>
          <w:kern w:val="24"/>
          <w:szCs w:val="20"/>
        </w:rPr>
        <w:t xml:space="preserve">(c) Effective January 1, 2034, all metered sales </w:t>
      </w:r>
      <w:r w:rsidRPr="006604E2">
        <w:rPr>
          <w:rFonts w:eastAsia="+mn-ea"/>
          <w:b/>
          <w:bCs/>
          <w:strike/>
          <w:color w:val="000000"/>
          <w:kern w:val="24"/>
          <w:szCs w:val="20"/>
        </w:rPr>
        <w:t>(through all capacities of metering devices, regardless of installation and service date)</w:t>
      </w:r>
      <w:r>
        <w:rPr>
          <w:rFonts w:eastAsia="+mn-ea"/>
          <w:b/>
          <w:bCs/>
          <w:strike/>
          <w:color w:val="000000"/>
          <w:kern w:val="24"/>
          <w:szCs w:val="20"/>
        </w:rPr>
        <w:t xml:space="preserve"> </w:t>
      </w:r>
      <w:r w:rsidRPr="006604E2">
        <w:rPr>
          <w:rFonts w:eastAsia="+mn-ea"/>
          <w:b/>
          <w:bCs/>
          <w:color w:val="000000"/>
          <w:kern w:val="24"/>
          <w:szCs w:val="20"/>
          <w:u w:val="single"/>
        </w:rPr>
        <w:t xml:space="preserve">through devices with a maximum rated capacity equal to or less than 20 gal/min that were placed into service </w:t>
      </w:r>
      <w:r>
        <w:rPr>
          <w:rFonts w:eastAsia="+mn-ea"/>
          <w:b/>
          <w:bCs/>
          <w:color w:val="000000"/>
          <w:kern w:val="24"/>
          <w:szCs w:val="20"/>
          <w:u w:val="single"/>
        </w:rPr>
        <w:t xml:space="preserve">on or before </w:t>
      </w:r>
      <w:r w:rsidRPr="00076368">
        <w:rPr>
          <w:rFonts w:eastAsia="+mn-ea"/>
          <w:b/>
          <w:bCs/>
          <w:strike/>
          <w:color w:val="000000"/>
          <w:kern w:val="24"/>
          <w:szCs w:val="20"/>
          <w:u w:val="single"/>
        </w:rPr>
        <w:t>prior to</w:t>
      </w:r>
      <w:r w:rsidRPr="006604E2">
        <w:rPr>
          <w:rFonts w:eastAsia="+mn-ea"/>
          <w:b/>
          <w:bCs/>
          <w:color w:val="000000"/>
          <w:kern w:val="24"/>
          <w:szCs w:val="20"/>
          <w:u w:val="single"/>
        </w:rPr>
        <w:t xml:space="preserve"> January 1, 2027,</w:t>
      </w:r>
      <w:r w:rsidRPr="006604E2">
        <w:rPr>
          <w:rFonts w:eastAsia="+mn-ea"/>
          <w:color w:val="0070C0"/>
          <w:kern w:val="24"/>
          <w:szCs w:val="20"/>
          <w:u w:val="single"/>
        </w:rPr>
        <w:t xml:space="preserve"> </w:t>
      </w:r>
      <w:r w:rsidRPr="006604E2">
        <w:rPr>
          <w:rFonts w:eastAsia="+mn-ea"/>
          <w:color w:val="000000"/>
          <w:kern w:val="24"/>
          <w:szCs w:val="20"/>
        </w:rPr>
        <w:t xml:space="preserve">shall be accomplished by use of a metering system that automatically </w:t>
      </w:r>
      <w:r w:rsidRPr="006604E2">
        <w:rPr>
          <w:rFonts w:eastAsia="+mn-ea"/>
          <w:b/>
          <w:bCs/>
          <w:color w:val="000000"/>
          <w:kern w:val="24"/>
          <w:szCs w:val="20"/>
          <w:u w:val="single"/>
        </w:rPr>
        <w:t>and electronically</w:t>
      </w:r>
      <w:r w:rsidRPr="006604E2">
        <w:rPr>
          <w:rFonts w:eastAsia="+mn-ea"/>
          <w:color w:val="0070C0"/>
          <w:kern w:val="24"/>
          <w:szCs w:val="20"/>
          <w:u w:val="single"/>
        </w:rPr>
        <w:t xml:space="preserve"> </w:t>
      </w:r>
      <w:r w:rsidRPr="006604E2">
        <w:rPr>
          <w:rFonts w:eastAsia="+mn-ea"/>
          <w:color w:val="000000"/>
          <w:kern w:val="24"/>
          <w:szCs w:val="20"/>
        </w:rPr>
        <w:t xml:space="preserve">compensates for </w:t>
      </w:r>
      <w:r w:rsidRPr="006604E2">
        <w:rPr>
          <w:rFonts w:eastAsia="+mn-ea"/>
          <w:b/>
          <w:bCs/>
          <w:color w:val="000000"/>
          <w:kern w:val="24"/>
          <w:szCs w:val="20"/>
          <w:u w:val="single"/>
        </w:rPr>
        <w:t>the effects of</w:t>
      </w:r>
      <w:r w:rsidRPr="006604E2">
        <w:rPr>
          <w:rFonts w:eastAsia="+mn-ea"/>
          <w:color w:val="0070C0"/>
          <w:kern w:val="24"/>
          <w:szCs w:val="20"/>
          <w:u w:val="single"/>
        </w:rPr>
        <w:t xml:space="preserve"> </w:t>
      </w:r>
      <w:r w:rsidRPr="006604E2">
        <w:rPr>
          <w:rFonts w:eastAsia="+mn-ea"/>
          <w:color w:val="000000"/>
          <w:kern w:val="24"/>
          <w:szCs w:val="20"/>
        </w:rPr>
        <w:t>temperature.</w:t>
      </w:r>
    </w:p>
    <w:p w14:paraId="0B3B3D60" w14:textId="001763CB" w:rsidR="00C8190C" w:rsidRDefault="00C8190C" w:rsidP="0060214E">
      <w:pPr>
        <w:spacing w:before="240"/>
        <w:jc w:val="left"/>
        <w:rPr>
          <w:u w:val="single"/>
        </w:rPr>
      </w:pPr>
      <w:r>
        <w:rPr>
          <w:u w:val="single"/>
        </w:rPr>
        <w:t>S</w:t>
      </w:r>
      <w:r w:rsidRPr="00EF1ACC">
        <w:rPr>
          <w:u w:val="single"/>
        </w:rPr>
        <w:t>WMA 202</w:t>
      </w:r>
      <w:r>
        <w:rPr>
          <w:u w:val="single"/>
        </w:rPr>
        <w:t>5</w:t>
      </w:r>
      <w:r w:rsidRPr="00EF1ACC">
        <w:rPr>
          <w:u w:val="single"/>
        </w:rPr>
        <w:t xml:space="preserve"> </w:t>
      </w:r>
      <w:r w:rsidR="00A60E61">
        <w:rPr>
          <w:u w:val="single"/>
        </w:rPr>
        <w:t>Annual</w:t>
      </w:r>
      <w:r w:rsidRPr="00EF1ACC">
        <w:rPr>
          <w:u w:val="single"/>
        </w:rPr>
        <w:t xml:space="preserve"> Meeting</w:t>
      </w:r>
      <w:r>
        <w:rPr>
          <w:u w:val="single"/>
        </w:rPr>
        <w:t>:</w:t>
      </w:r>
    </w:p>
    <w:p w14:paraId="5968D2D7" w14:textId="498AF4CA" w:rsidR="000C4A53" w:rsidRDefault="000C4A53" w:rsidP="002F612A">
      <w:pPr>
        <w:rPr>
          <w:rFonts w:eastAsia="Times New Roman"/>
          <w:szCs w:val="24"/>
        </w:rPr>
      </w:pPr>
      <w:r>
        <w:rPr>
          <w:rFonts w:eastAsia="Times New Roman"/>
          <w:szCs w:val="24"/>
        </w:rPr>
        <w:t xml:space="preserve">Mr. Chris Wagner, with the </w:t>
      </w:r>
      <w:r w:rsidRPr="00B34325">
        <w:rPr>
          <w:rFonts w:eastAsia="Times New Roman"/>
          <w:szCs w:val="24"/>
        </w:rPr>
        <w:t xml:space="preserve">NPGA </w:t>
      </w:r>
      <w:r>
        <w:rPr>
          <w:rFonts w:eastAsia="Times New Roman"/>
          <w:szCs w:val="24"/>
        </w:rPr>
        <w:t xml:space="preserve">commented that </w:t>
      </w:r>
      <w:r w:rsidRPr="00B34325">
        <w:rPr>
          <w:rFonts w:eastAsia="Times New Roman"/>
          <w:szCs w:val="24"/>
        </w:rPr>
        <w:t xml:space="preserve">members are preparing for a $198 million infrastructure investment to comply with the retroactive requirements for temperature compensation. Industry and manufacturers admittedly have no data to substantiate or refute existing study that has been submitted into the record related to temperature compensation.  NPGA has developed an initial study proposal in partnership with meter manufacturers, NIST, dispenser manufacturers, propane marketers, and the Propane Education and Research Council but seeks State Weights and Measures input prior to finalization of test methodology and protocol and in witnessing of proposed testing.  NPGA has secured all funding necessary to complete the study.  NPGA seeks </w:t>
      </w:r>
      <w:r>
        <w:rPr>
          <w:rFonts w:eastAsia="Times New Roman"/>
          <w:szCs w:val="24"/>
        </w:rPr>
        <w:t>A</w:t>
      </w:r>
      <w:r w:rsidRPr="00231746">
        <w:rPr>
          <w:rFonts w:eastAsia="Times New Roman"/>
          <w:szCs w:val="24"/>
        </w:rPr>
        <w:t xml:space="preserve">ssigned or </w:t>
      </w:r>
      <w:r>
        <w:rPr>
          <w:rFonts w:eastAsia="Times New Roman"/>
          <w:szCs w:val="24"/>
        </w:rPr>
        <w:t>D</w:t>
      </w:r>
      <w:r w:rsidRPr="00231746">
        <w:rPr>
          <w:rFonts w:eastAsia="Times New Roman"/>
          <w:szCs w:val="24"/>
        </w:rPr>
        <w:t>evelopi</w:t>
      </w:r>
      <w:r>
        <w:rPr>
          <w:rFonts w:eastAsia="Times New Roman"/>
          <w:szCs w:val="24"/>
        </w:rPr>
        <w:t xml:space="preserve">ng </w:t>
      </w:r>
      <w:r w:rsidRPr="00231746">
        <w:rPr>
          <w:rFonts w:eastAsia="Times New Roman"/>
          <w:szCs w:val="24"/>
        </w:rPr>
        <w:t>status.</w:t>
      </w:r>
      <w:r w:rsidRPr="0092725F">
        <w:rPr>
          <w:rFonts w:eastAsia="Times New Roman"/>
          <w:szCs w:val="24"/>
        </w:rPr>
        <w:t xml:space="preserve"> </w:t>
      </w:r>
      <w:r>
        <w:rPr>
          <w:rFonts w:eastAsia="Times New Roman"/>
          <w:szCs w:val="24"/>
        </w:rPr>
        <w:t xml:space="preserve">           </w:t>
      </w:r>
    </w:p>
    <w:p w14:paraId="6F2B078F" w14:textId="01D13C0B" w:rsidR="000C4A53" w:rsidRPr="00A43BF4" w:rsidRDefault="000C4A53" w:rsidP="002F612A">
      <w:pPr>
        <w:rPr>
          <w:rFonts w:eastAsia="Times New Roman"/>
          <w:szCs w:val="24"/>
        </w:rPr>
      </w:pPr>
      <w:r>
        <w:rPr>
          <w:rFonts w:eastAsia="Times New Roman"/>
          <w:szCs w:val="24"/>
        </w:rPr>
        <w:t>Ms. Alison Wilkinson with the state of Maryland agrees with NPGA that this item should be given a Developing status.</w:t>
      </w:r>
    </w:p>
    <w:p w14:paraId="2F0AD637" w14:textId="40942E41" w:rsidR="00BC01D1" w:rsidRPr="000C4A53" w:rsidRDefault="000C4A53" w:rsidP="002F612A">
      <w:pPr>
        <w:jc w:val="left"/>
        <w:rPr>
          <w:rFonts w:eastAsia="Times New Roman"/>
          <w:szCs w:val="24"/>
        </w:rPr>
      </w:pPr>
      <w:r>
        <w:rPr>
          <w:rFonts w:eastAsia="Times New Roman"/>
          <w:szCs w:val="24"/>
        </w:rPr>
        <w:t>Based on the comments made from the floor the Committee recommends a Developing status.</w:t>
      </w:r>
    </w:p>
    <w:p w14:paraId="1AA5D8D4" w14:textId="0AAA854F" w:rsidR="006540E5" w:rsidRDefault="006540E5" w:rsidP="006540E5">
      <w:r>
        <w:t xml:space="preserve">Additional letters, presentation and data may have been submitted for consideration with this item.  Please refer to </w:t>
      </w:r>
      <w:hyperlink r:id="rId19" w:history="1">
        <w:r w:rsidRPr="002A1164">
          <w:rPr>
            <w:rStyle w:val="Hyperlink"/>
          </w:rPr>
          <w:t>https://www.ncwm.com/publication-15</w:t>
        </w:r>
      </w:hyperlink>
      <w:r>
        <w:t xml:space="preserve"> to review these documents.</w:t>
      </w:r>
    </w:p>
    <w:p w14:paraId="6EC577BC" w14:textId="02F4121A" w:rsidR="00C016C5" w:rsidRDefault="00C016C5" w:rsidP="0029398A">
      <w:pPr>
        <w:pStyle w:val="ItemHeading"/>
      </w:pPr>
      <w:bookmarkStart w:id="65" w:name="_Toc224019617"/>
      <w:r>
        <w:lastRenderedPageBreak/>
        <w:t>MOS-26.3</w:t>
      </w:r>
      <w:r w:rsidRPr="003C355F">
        <w:tab/>
      </w:r>
      <w:r w:rsidR="00A222A5">
        <w:t>A</w:t>
      </w:r>
      <w:r w:rsidRPr="003C355F">
        <w:tab/>
      </w:r>
      <w:r>
        <w:t>Section 2.20 Gasoline and Gasoline Oxygenate Blends</w:t>
      </w:r>
      <w:bookmarkEnd w:id="65"/>
    </w:p>
    <w:p w14:paraId="288F6015" w14:textId="77777777" w:rsidR="00C016C5" w:rsidRPr="00E025F9" w:rsidRDefault="00C016C5" w:rsidP="00C016C5">
      <w:pPr>
        <w:spacing w:after="0"/>
        <w:rPr>
          <w:b/>
        </w:rPr>
      </w:pPr>
      <w:r w:rsidRPr="00E025F9">
        <w:rPr>
          <w:b/>
        </w:rPr>
        <w:t>Source:</w:t>
      </w:r>
    </w:p>
    <w:p w14:paraId="1F65D7FA" w14:textId="1636AE95" w:rsidR="00C016C5" w:rsidRDefault="00C016C5" w:rsidP="00C016C5">
      <w:r>
        <w:t>American Petroleum Institute</w:t>
      </w:r>
    </w:p>
    <w:p w14:paraId="211B5D33" w14:textId="77777777" w:rsidR="00C016C5" w:rsidRPr="00E025F9" w:rsidRDefault="00C016C5" w:rsidP="00C016C5">
      <w:pPr>
        <w:spacing w:after="0"/>
        <w:rPr>
          <w:b/>
        </w:rPr>
      </w:pPr>
      <w:r w:rsidRPr="00E025F9">
        <w:rPr>
          <w:b/>
        </w:rPr>
        <w:t>Purpose:</w:t>
      </w:r>
    </w:p>
    <w:p w14:paraId="31D33D07" w14:textId="6000F0D4" w:rsidR="00C016C5" w:rsidRDefault="00C016C5" w:rsidP="00C016C5">
      <w:r w:rsidRPr="003B4D43">
        <w:rPr>
          <w:szCs w:val="20"/>
        </w:rPr>
        <w:t>Add requirements to the method of sale for liquid measuring devices that perform temperature compensation and/or density correction.</w:t>
      </w:r>
    </w:p>
    <w:p w14:paraId="0FD904AC" w14:textId="77777777" w:rsidR="00C016C5" w:rsidRPr="00E025F9" w:rsidRDefault="00C016C5" w:rsidP="00C016C5">
      <w:pPr>
        <w:spacing w:after="0"/>
        <w:rPr>
          <w:b/>
        </w:rPr>
      </w:pPr>
      <w:r w:rsidRPr="00E025F9">
        <w:rPr>
          <w:b/>
        </w:rPr>
        <w:t>Item under Consideration:</w:t>
      </w:r>
    </w:p>
    <w:p w14:paraId="1394E6C5" w14:textId="5D814C9E" w:rsidR="00C016C5" w:rsidRDefault="0076491B" w:rsidP="00C016C5">
      <w:r>
        <w:t>Amend NIST Handbook 130 Uniform Regulation for the Method of Sale of Commodities as follows:</w:t>
      </w:r>
    </w:p>
    <w:p w14:paraId="3588A363" w14:textId="77777777" w:rsidR="0076491B" w:rsidRPr="00312E2A" w:rsidRDefault="0076491B" w:rsidP="0076491B">
      <w:pPr>
        <w:spacing w:after="0" w:line="276" w:lineRule="auto"/>
        <w:rPr>
          <w:rFonts w:eastAsia="Times New Roman"/>
          <w:szCs w:val="20"/>
        </w:rPr>
      </w:pPr>
      <w:r w:rsidRPr="00312E2A">
        <w:rPr>
          <w:rFonts w:eastAsia="Yu Gothic"/>
          <w:b/>
          <w:bCs/>
          <w:color w:val="000000"/>
          <w:szCs w:val="20"/>
        </w:rPr>
        <w:t>2.20. Gasoline and Gasoline Oxygenate Blends</w:t>
      </w:r>
    </w:p>
    <w:p w14:paraId="55F0EE85" w14:textId="77777777" w:rsidR="0076491B" w:rsidRPr="00A87C98" w:rsidRDefault="0076491B" w:rsidP="0076491B">
      <w:pPr>
        <w:pStyle w:val="Default"/>
        <w:ind w:left="720"/>
        <w:rPr>
          <w:rFonts w:ascii="Times New Roman" w:hAnsi="Times New Roman" w:cs="Times New Roman"/>
          <w:sz w:val="20"/>
          <w:szCs w:val="20"/>
        </w:rPr>
      </w:pPr>
      <w:r w:rsidRPr="00A87C98">
        <w:rPr>
          <w:rFonts w:ascii="Times New Roman" w:hAnsi="Times New Roman" w:cs="Times New Roman"/>
          <w:b/>
          <w:bCs/>
          <w:sz w:val="20"/>
          <w:szCs w:val="20"/>
        </w:rPr>
        <w:t xml:space="preserve">2.20.1. Method of Retail Sale. </w:t>
      </w:r>
      <w:r w:rsidRPr="00A87C98">
        <w:rPr>
          <w:rFonts w:ascii="Times New Roman" w:hAnsi="Times New Roman" w:cs="Times New Roman"/>
          <w:sz w:val="20"/>
          <w:szCs w:val="20"/>
        </w:rPr>
        <w:t xml:space="preserve">– 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0.3 % by volume methanol shall be identified as “with” or “containing” methanol. This information shall be posted on the upper 50 % of the dispenser front panel in a position clear and conspicuous from the driver’s position in a type at least 12.7 mm (1/2 in) in height, 1.5 mm (1/16 in) stroke (width of type). </w:t>
      </w:r>
    </w:p>
    <w:p w14:paraId="16FB5131" w14:textId="77777777" w:rsidR="0076491B" w:rsidRPr="00312E2A" w:rsidRDefault="0076491B" w:rsidP="0076491B">
      <w:pPr>
        <w:spacing w:before="100" w:after="0" w:line="216" w:lineRule="auto"/>
        <w:ind w:left="720"/>
        <w:rPr>
          <w:rFonts w:eastAsia="Yu Gothic"/>
          <w:b/>
          <w:bCs/>
          <w:color w:val="000000"/>
          <w:szCs w:val="20"/>
        </w:rPr>
      </w:pPr>
      <w:r w:rsidRPr="00312E2A">
        <w:rPr>
          <w:szCs w:val="20"/>
        </w:rPr>
        <w:t>(Amended 1996)</w:t>
      </w:r>
    </w:p>
    <w:p w14:paraId="4266755B" w14:textId="77777777" w:rsidR="0076491B" w:rsidRPr="00312E2A" w:rsidRDefault="0076491B" w:rsidP="0076491B">
      <w:pPr>
        <w:spacing w:before="100" w:after="0" w:line="216" w:lineRule="auto"/>
        <w:ind w:left="720"/>
        <w:rPr>
          <w:rFonts w:eastAsia="Times New Roman"/>
          <w:szCs w:val="20"/>
        </w:rPr>
      </w:pPr>
      <w:r w:rsidRPr="00312E2A">
        <w:rPr>
          <w:rFonts w:eastAsia="Yu Gothic"/>
          <w:b/>
          <w:bCs/>
          <w:color w:val="000000"/>
          <w:szCs w:val="20"/>
        </w:rPr>
        <w:t xml:space="preserve">2.20.2 Product Transfer Document Requirements. </w:t>
      </w:r>
      <w:r w:rsidRPr="00312E2A">
        <w:rPr>
          <w:rFonts w:eastAsia="Yu Gothic"/>
          <w:color w:val="000000"/>
          <w:szCs w:val="20"/>
        </w:rPr>
        <w:t xml:space="preserve">– </w:t>
      </w:r>
      <w:r w:rsidRPr="00312E2A">
        <w:rPr>
          <w:rFonts w:eastAsia="+mn-ea"/>
          <w:color w:val="000000"/>
          <w:kern w:val="24"/>
          <w:szCs w:val="20"/>
        </w:rPr>
        <w:t xml:space="preserve">The retailer shall be provided information that complies with PTD requirements for gasoline, gasoline additives, and gasoline regulated blendstocks </w:t>
      </w:r>
      <w:hyperlink r:id="rId20" w:history="1">
        <w:r w:rsidRPr="00312E2A">
          <w:rPr>
            <w:rFonts w:eastAsia="+mn-ea"/>
            <w:b/>
            <w:bCs/>
            <w:color w:val="0563C1"/>
            <w:kern w:val="24"/>
            <w:szCs w:val="20"/>
            <w:u w:val="single"/>
          </w:rPr>
          <w:t>40 C.F.R. § 1090.1110</w:t>
        </w:r>
      </w:hyperlink>
      <w:hyperlink r:id="rId21" w:history="1">
        <w:r w:rsidRPr="00312E2A">
          <w:rPr>
            <w:rFonts w:eastAsia="+mn-ea"/>
            <w:color w:val="0563C1"/>
            <w:kern w:val="24"/>
            <w:szCs w:val="20"/>
            <w:u w:val="single"/>
          </w:rPr>
          <w:t xml:space="preserve">, </w:t>
        </w:r>
      </w:hyperlink>
      <w:r w:rsidRPr="00312E2A">
        <w:rPr>
          <w:rFonts w:eastAsia="+mn-ea"/>
          <w:color w:val="000000"/>
          <w:kern w:val="24"/>
          <w:szCs w:val="20"/>
        </w:rPr>
        <w:t xml:space="preserve">at the time of delivery of the fuel, on product transfer documents such as an invoice, bill of lading, shipping paper, or other documentation. Additional declarations may be required for specific fuels </w:t>
      </w:r>
      <w:r w:rsidRPr="0076491B">
        <w:rPr>
          <w:rFonts w:eastAsia="+mn-ea"/>
          <w:b/>
          <w:bCs/>
          <w:color w:val="000000"/>
          <w:kern w:val="24"/>
          <w:szCs w:val="20"/>
          <w:u w:val="single"/>
        </w:rPr>
        <w:t>and/or measuring devices:</w:t>
      </w:r>
      <w:r w:rsidRPr="00312E2A">
        <w:rPr>
          <w:rFonts w:eastAsia="+mn-ea"/>
          <w:color w:val="000000"/>
          <w:kern w:val="24"/>
          <w:szCs w:val="20"/>
          <w:u w:val="single"/>
        </w:rPr>
        <w:t xml:space="preserve"> </w:t>
      </w:r>
      <w:r w:rsidRPr="00312E2A">
        <w:rPr>
          <w:rFonts w:eastAsia="Times New Roman"/>
          <w:szCs w:val="20"/>
        </w:rPr>
        <w:t xml:space="preserve"> </w:t>
      </w:r>
    </w:p>
    <w:p w14:paraId="6FB0F282" w14:textId="77777777" w:rsidR="0076491B" w:rsidRPr="00312E2A" w:rsidRDefault="0076491B" w:rsidP="0076491B">
      <w:pPr>
        <w:spacing w:before="100" w:after="0" w:line="216" w:lineRule="auto"/>
        <w:ind w:left="1440"/>
        <w:rPr>
          <w:rFonts w:eastAsia="Times New Roman"/>
          <w:szCs w:val="20"/>
        </w:rPr>
      </w:pPr>
      <w:r w:rsidRPr="00312E2A">
        <w:rPr>
          <w:rFonts w:eastAsia="+mn-ea"/>
          <w:color w:val="000000"/>
          <w:kern w:val="24"/>
          <w:szCs w:val="20"/>
        </w:rPr>
        <w:t>(a) For fuels containing multiple oxygenates or oxygenates other than ethanol a declaration of the predominant oxygenate or combination of oxygenates present in concentrations sufficient to yield an oxygenate content of at least 1.0 % by volume in the fuel. Where mixtures of only ethers are present, the fuel supplier may identify either the predominant oxygenate in the fuel (i.e., the oxygenate contributing the largest mass percent oxygen) or alternatively, use the phrase “contains MTBE or other ethers.”</w:t>
      </w:r>
    </w:p>
    <w:p w14:paraId="725445E2" w14:textId="77777777" w:rsidR="0076491B" w:rsidRPr="00312E2A" w:rsidRDefault="0076491B" w:rsidP="0076491B">
      <w:pPr>
        <w:spacing w:before="100" w:after="0" w:line="216" w:lineRule="auto"/>
        <w:ind w:left="1440"/>
        <w:rPr>
          <w:rFonts w:eastAsia="+mn-ea"/>
          <w:color w:val="000000"/>
          <w:kern w:val="24"/>
          <w:szCs w:val="20"/>
        </w:rPr>
      </w:pPr>
      <w:r w:rsidRPr="00312E2A">
        <w:rPr>
          <w:rFonts w:eastAsia="+mn-ea"/>
          <w:color w:val="000000"/>
          <w:kern w:val="24"/>
          <w:szCs w:val="20"/>
        </w:rPr>
        <w:t>(b) For fuels containing more than 0.3 % by volume methanol a declaration shall be identified as “with” or “containing” methanol.</w:t>
      </w:r>
    </w:p>
    <w:p w14:paraId="2609D53B" w14:textId="77777777" w:rsidR="0076491B" w:rsidRPr="00312E2A" w:rsidRDefault="0076491B" w:rsidP="0076491B">
      <w:pPr>
        <w:spacing w:before="100" w:after="0" w:line="216" w:lineRule="auto"/>
        <w:ind w:left="1440"/>
        <w:rPr>
          <w:rFonts w:eastAsia="+mn-ea"/>
          <w:color w:val="000000"/>
          <w:kern w:val="24"/>
          <w:szCs w:val="20"/>
        </w:rPr>
      </w:pPr>
    </w:p>
    <w:p w14:paraId="62460216" w14:textId="77777777" w:rsidR="0076491B" w:rsidRPr="0076491B" w:rsidRDefault="0076491B" w:rsidP="0076491B">
      <w:pPr>
        <w:ind w:left="1440"/>
        <w:rPr>
          <w:b/>
          <w:bCs/>
          <w:szCs w:val="20"/>
          <w:u w:val="single"/>
        </w:rPr>
      </w:pPr>
      <w:r w:rsidRPr="0076491B">
        <w:rPr>
          <w:rFonts w:eastAsia="+mn-ea"/>
          <w:b/>
          <w:bCs/>
          <w:color w:val="000000"/>
          <w:kern w:val="24"/>
          <w:szCs w:val="20"/>
          <w:u w:val="single"/>
        </w:rPr>
        <w:t xml:space="preserve">(c) </w:t>
      </w:r>
      <w:r w:rsidRPr="0076491B">
        <w:rPr>
          <w:b/>
          <w:bCs/>
          <w:szCs w:val="20"/>
          <w:u w:val="single"/>
        </w:rPr>
        <w:t xml:space="preserve">A written invoice based on a reading of a device that is equipped with an automatic or nonautomatic temperature compensator shall show the net volume delivered and that the volume delivered has been adjusted to the volume at 15 °C (60 °F). </w:t>
      </w:r>
    </w:p>
    <w:p w14:paraId="32CAF509" w14:textId="77777777" w:rsidR="0076491B" w:rsidRPr="00312E2A" w:rsidRDefault="0076491B" w:rsidP="0076491B">
      <w:pPr>
        <w:ind w:left="1440"/>
        <w:rPr>
          <w:szCs w:val="20"/>
          <w:u w:val="single"/>
        </w:rPr>
      </w:pPr>
      <w:r w:rsidRPr="0076491B">
        <w:rPr>
          <w:rFonts w:eastAsia="+mn-ea"/>
          <w:b/>
          <w:bCs/>
          <w:color w:val="000000"/>
          <w:kern w:val="24"/>
          <w:szCs w:val="20"/>
          <w:u w:val="single"/>
        </w:rPr>
        <w:t>(d)</w:t>
      </w:r>
      <w:r w:rsidRPr="0076491B">
        <w:rPr>
          <w:b/>
          <w:bCs/>
          <w:szCs w:val="20"/>
          <w:u w:val="single"/>
        </w:rPr>
        <w:t xml:space="preserve"> A written invoice based on a reading of a device that is equipped with an automatic or nonautomatic density-correction system shall show the excess volume for the finished product and the net standard volume inclusive of the excess volume for the finished product adjusted to the volume at 15 °C (60 °F).</w:t>
      </w:r>
    </w:p>
    <w:p w14:paraId="243C5C14" w14:textId="2F273B74" w:rsidR="0076491B" w:rsidRDefault="0076491B" w:rsidP="0076491B">
      <w:r w:rsidRPr="00312E2A">
        <w:rPr>
          <w:rFonts w:eastAsia="+mn-ea"/>
          <w:color w:val="000000"/>
          <w:kern w:val="24"/>
          <w:szCs w:val="20"/>
        </w:rPr>
        <w:t xml:space="preserve">(Added 1984) (Amended 1985, 1986, 1991, 1996, 2014, 2022, </w:t>
      </w:r>
      <w:r w:rsidRPr="0076491B">
        <w:rPr>
          <w:rFonts w:eastAsia="+mn-ea"/>
          <w:b/>
          <w:bCs/>
          <w:strike/>
          <w:color w:val="000000"/>
          <w:kern w:val="24"/>
          <w:szCs w:val="20"/>
        </w:rPr>
        <w:t>and</w:t>
      </w:r>
      <w:r w:rsidRPr="0076491B">
        <w:rPr>
          <w:rFonts w:eastAsia="+mn-ea"/>
          <w:b/>
          <w:bCs/>
          <w:color w:val="000000"/>
          <w:kern w:val="24"/>
          <w:szCs w:val="20"/>
        </w:rPr>
        <w:t xml:space="preserve"> </w:t>
      </w:r>
      <w:r w:rsidRPr="00312E2A">
        <w:rPr>
          <w:rFonts w:eastAsia="+mn-ea"/>
          <w:color w:val="000000"/>
          <w:kern w:val="24"/>
          <w:szCs w:val="20"/>
        </w:rPr>
        <w:t>2023</w:t>
      </w:r>
      <w:r w:rsidRPr="0076491B">
        <w:rPr>
          <w:rFonts w:eastAsia="+mn-ea"/>
          <w:b/>
          <w:bCs/>
          <w:color w:val="000000"/>
          <w:kern w:val="24"/>
          <w:szCs w:val="20"/>
          <w:u w:val="single"/>
        </w:rPr>
        <w:t>, and 202X</w:t>
      </w:r>
      <w:r w:rsidRPr="00312E2A">
        <w:rPr>
          <w:rFonts w:eastAsia="+mn-ea"/>
          <w:color w:val="000000"/>
          <w:kern w:val="24"/>
          <w:szCs w:val="20"/>
        </w:rPr>
        <w:t>)</w:t>
      </w:r>
    </w:p>
    <w:p w14:paraId="5265D474" w14:textId="77777777" w:rsidR="00C016C5" w:rsidRDefault="00C016C5" w:rsidP="00C016C5">
      <w:pPr>
        <w:keepNext/>
        <w:spacing w:after="0"/>
      </w:pPr>
      <w:r w:rsidRPr="00E025F9">
        <w:rPr>
          <w:b/>
        </w:rPr>
        <w:t xml:space="preserve">Previous </w:t>
      </w:r>
      <w:r>
        <w:rPr>
          <w:b/>
        </w:rPr>
        <w:t>Status</w:t>
      </w:r>
      <w:r w:rsidRPr="00E025F9">
        <w:rPr>
          <w:b/>
        </w:rPr>
        <w:t>:</w:t>
      </w:r>
    </w:p>
    <w:p w14:paraId="69D7D2CD" w14:textId="137703D6" w:rsidR="00C016C5" w:rsidRDefault="0076491B" w:rsidP="0029398A">
      <w:r>
        <w:t>2026</w:t>
      </w:r>
      <w:r w:rsidR="00C016C5">
        <w:t xml:space="preserve">: New Proposal </w:t>
      </w:r>
    </w:p>
    <w:p w14:paraId="17BEF651" w14:textId="77777777" w:rsidR="00C016C5" w:rsidRPr="00AB010B" w:rsidRDefault="00C016C5" w:rsidP="00C016C5">
      <w:pPr>
        <w:keepNext/>
        <w:spacing w:after="0"/>
        <w:rPr>
          <w:b/>
        </w:rPr>
      </w:pPr>
      <w:r w:rsidRPr="00AB010B">
        <w:rPr>
          <w:b/>
        </w:rPr>
        <w:lastRenderedPageBreak/>
        <w:t>Original Justification:</w:t>
      </w:r>
    </w:p>
    <w:p w14:paraId="38B077D6" w14:textId="77777777" w:rsidR="0076491B" w:rsidRPr="003B4D43" w:rsidRDefault="0076491B" w:rsidP="0076491B">
      <w:pPr>
        <w:rPr>
          <w:szCs w:val="20"/>
        </w:rPr>
      </w:pPr>
      <w:r w:rsidRPr="003B4D43">
        <w:rPr>
          <w:szCs w:val="20"/>
        </w:rPr>
        <w:t xml:space="preserve">Section IV., B. Method of Sale of Commodities, gasoline and gasoline oxygenate blends does not have a requirement for an invoice to include a statement that a calculated volume has been adjusted to a temperature of 15 °C (60 °F).  The proposed language adds such a requirement. </w:t>
      </w:r>
    </w:p>
    <w:p w14:paraId="64F22C6C" w14:textId="77777777" w:rsidR="0076491B" w:rsidRPr="003B4D43" w:rsidRDefault="0076491B" w:rsidP="0076491B">
      <w:pPr>
        <w:rPr>
          <w:szCs w:val="20"/>
        </w:rPr>
      </w:pPr>
      <w:r w:rsidRPr="003B4D43">
        <w:rPr>
          <w:szCs w:val="20"/>
        </w:rPr>
        <w:t xml:space="preserve">Handbook 44 allows the use of automatic and nonautomatic temperature compensators to be used to calculate the net volume of the product at a reference temperature, but there is not a requirement in the Method of Sale to reflect that information on the invoice, though it is industry practice to do so.  Additionally, due to the fact that the volume of gasoline and ethanol when blended is more than the volume of the two liquids measured separately, a proposal to modify Handbook 44 has been submitted to the NCWM to clarify that it is acceptable to use specific density-correction methods that allow for the accurate determination of volume growth that occurs when gasoline is blended with ethanol to make finished gasoline. </w:t>
      </w:r>
    </w:p>
    <w:p w14:paraId="399F29B7" w14:textId="77777777" w:rsidR="0076491B" w:rsidRPr="003B4D43" w:rsidRDefault="0076491B" w:rsidP="0076491B">
      <w:pPr>
        <w:rPr>
          <w:szCs w:val="20"/>
        </w:rPr>
      </w:pPr>
      <w:r w:rsidRPr="003B4D43">
        <w:rPr>
          <w:szCs w:val="20"/>
        </w:rPr>
        <w:t xml:space="preserve">Automatic temperature compensators have been used for decades throughout the United States to calculate the net volume of the fuel being sold at terminals. Including a statement on the invoice to that effect identifies that the calculation has been done.  </w:t>
      </w:r>
    </w:p>
    <w:p w14:paraId="2A101C56" w14:textId="77777777" w:rsidR="0076491B" w:rsidRPr="003B4D43" w:rsidRDefault="0076491B" w:rsidP="0076491B">
      <w:pPr>
        <w:rPr>
          <w:szCs w:val="20"/>
        </w:rPr>
      </w:pPr>
      <w:r w:rsidRPr="003B4D43">
        <w:rPr>
          <w:szCs w:val="20"/>
        </w:rPr>
        <w:t xml:space="preserve">In 2019, the American Petroleum Institute published a Manual of Petroleum Measurement Standards (MPMS) Chapter 11.3.4, </w:t>
      </w:r>
      <w:r w:rsidRPr="003B4D43">
        <w:rPr>
          <w:i/>
          <w:iCs/>
          <w:szCs w:val="20"/>
        </w:rPr>
        <w:t>Miscellaneous Hydrocarbon Properties - Denatured Ethanol and Gasoline Component Blend Densities and Volume Correction Factors,</w:t>
      </w:r>
      <w:r w:rsidRPr="003B4D43">
        <w:rPr>
          <w:szCs w:val="20"/>
        </w:rPr>
        <w:t xml:space="preserve"> that identifies multiple blending scenarios to calculate the excess volume that occurs when gasoline and ethanol are blended.  Ch. 11.3.4 is a subchapter of the parent document Ch. 11, </w:t>
      </w:r>
      <w:r w:rsidRPr="003B4D43">
        <w:rPr>
          <w:i/>
          <w:iCs/>
          <w:szCs w:val="20"/>
        </w:rPr>
        <w:t>Physical Properties Data</w:t>
      </w:r>
      <w:r w:rsidRPr="003B4D43">
        <w:rPr>
          <w:szCs w:val="20"/>
        </w:rPr>
        <w:t xml:space="preserve">. </w:t>
      </w:r>
    </w:p>
    <w:p w14:paraId="471BD453" w14:textId="77777777" w:rsidR="0076491B" w:rsidRPr="003B4D43" w:rsidRDefault="0076491B" w:rsidP="0076491B">
      <w:pPr>
        <w:rPr>
          <w:szCs w:val="20"/>
        </w:rPr>
      </w:pPr>
      <w:r w:rsidRPr="003B4D43">
        <w:rPr>
          <w:szCs w:val="20"/>
        </w:rPr>
        <w:t xml:space="preserve">Ch. 11 is used throughout the petroleum industry to ensure the physical properties of the fuels are properly assessed to ensure that the fuel measured throughout the manufacturing and distribution system is done accurately and transparently using industry recognized standards.  Indeed, measurements are taken at the refinery when fuel is moved into a pipeline, when the fuel is moved out of the pipeline into a terminal, and when the fuel is loaded from the terminal into a truck for delivery to a retail gasoline station. A recently released video by NIST states that every drop of fuel “passes through a meticulous system of measurements” from where the crude oil is extracted to the terminal to “prevent costly losses.”  [Source: Trust in Transactions: The Economic Power of Data – Moser April 9, 2025, </w:t>
      </w:r>
      <w:hyperlink r:id="rId22" w:history="1">
        <w:r w:rsidRPr="003B4D43">
          <w:rPr>
            <w:rStyle w:val="Hyperlink"/>
            <w:szCs w:val="20"/>
          </w:rPr>
          <w:t>https://www.nist.gov/pml/owm/weights-and-measures-economic-index</w:t>
        </w:r>
      </w:hyperlink>
      <w:r w:rsidRPr="003B4D43">
        <w:rPr>
          <w:szCs w:val="20"/>
        </w:rPr>
        <w:t xml:space="preserve">.]  The meticulous system of measurements often use API approved standards that are developed by the API Committee on Petroleum Measurement (COPM). Consequently, it is not a stretch to say that it is “firmly established trade custom and practice” to use the API MPMS standards to measure fuels throughout the industry worldwide.  [see reference to HB 130, III. Uniform Laws, A. Weights and Measures Law, Section 16, Method of Sale (p. 29)] </w:t>
      </w:r>
    </w:p>
    <w:p w14:paraId="11AD6021" w14:textId="77777777" w:rsidR="0076491B" w:rsidRPr="003B4D43" w:rsidRDefault="0076491B" w:rsidP="0076491B">
      <w:pPr>
        <w:rPr>
          <w:szCs w:val="20"/>
        </w:rPr>
      </w:pPr>
      <w:r w:rsidRPr="003B4D43">
        <w:rPr>
          <w:szCs w:val="20"/>
        </w:rPr>
        <w:t xml:space="preserve">The requirements for invoices in Handbook 130 –  Section IV., Sec. B. Uniform Regulation for the Method of Sale of Commodities, Paragraph 2.20. Gasoline and Gasoline Oxygenate Blends – are minimal in scope providing only a reference to the U.S. Environmental Protection Agency (EPA) rules. These rules, summarized below require only the volume of the product being transferred to be identified.  </w:t>
      </w:r>
    </w:p>
    <w:p w14:paraId="434D7BA6" w14:textId="77777777" w:rsidR="0076491B" w:rsidRPr="003B4D43" w:rsidRDefault="0076491B" w:rsidP="0076491B">
      <w:pPr>
        <w:ind w:left="720"/>
        <w:rPr>
          <w:szCs w:val="20"/>
        </w:rPr>
      </w:pPr>
      <w:r w:rsidRPr="003B4D43">
        <w:rPr>
          <w:b/>
          <w:bCs/>
          <w:szCs w:val="20"/>
        </w:rPr>
        <w:t xml:space="preserve">EPA Rules at </w:t>
      </w:r>
      <w:hyperlink r:id="rId23" w:history="1">
        <w:r w:rsidRPr="003B4D43">
          <w:rPr>
            <w:rFonts w:eastAsia="+mn-ea"/>
            <w:b/>
            <w:bCs/>
            <w:kern w:val="24"/>
            <w:szCs w:val="20"/>
            <w:u w:val="single"/>
          </w:rPr>
          <w:t>40 C.F.R. § 1090.1110</w:t>
        </w:r>
      </w:hyperlink>
      <w:r w:rsidRPr="003B4D43">
        <w:rPr>
          <w:b/>
          <w:bCs/>
          <w:szCs w:val="20"/>
        </w:rPr>
        <w:t>, PTD requirements for gasoline, gasoline additives, and gasoline regulated blendstocks</w:t>
      </w:r>
      <w:r w:rsidRPr="003B4D43">
        <w:rPr>
          <w:szCs w:val="20"/>
        </w:rPr>
        <w:t xml:space="preserve">, paragraph “(a) </w:t>
      </w:r>
      <w:r w:rsidRPr="003B4D43">
        <w:rPr>
          <w:b/>
          <w:bCs/>
          <w:i/>
          <w:iCs/>
          <w:szCs w:val="20"/>
        </w:rPr>
        <w:t>General requirements.</w:t>
      </w:r>
      <w:r w:rsidRPr="003B4D43">
        <w:rPr>
          <w:szCs w:val="20"/>
        </w:rPr>
        <w:t xml:space="preserve"> On each occasion when any person transfers custody or title of any gasoline, gasoline additive, or gasoline regulated blendstock, other than when fuel is sold or dispensed to the ultimate end user at a retail outlet or WPC facility, the transferor must provide the transferee PTDs that include the following information: (1) All applicable information required under </w:t>
      </w:r>
      <w:hyperlink r:id="rId24" w:history="1">
        <w:r w:rsidRPr="003B4D43">
          <w:rPr>
            <w:rStyle w:val="Hyperlink"/>
            <w:szCs w:val="20"/>
          </w:rPr>
          <w:t>§ 1090.1100</w:t>
        </w:r>
      </w:hyperlink>
      <w:r w:rsidRPr="003B4D43">
        <w:rPr>
          <w:szCs w:val="20"/>
        </w:rPr>
        <w:t xml:space="preserve"> and this section.”  [emphasis added]</w:t>
      </w:r>
    </w:p>
    <w:p w14:paraId="0E8D68D9" w14:textId="77777777" w:rsidR="0076491B" w:rsidRPr="003B4D43" w:rsidRDefault="0076491B" w:rsidP="0076491B">
      <w:pPr>
        <w:ind w:left="720"/>
        <w:rPr>
          <w:szCs w:val="20"/>
        </w:rPr>
      </w:pPr>
      <w:r w:rsidRPr="003B4D43">
        <w:rPr>
          <w:szCs w:val="20"/>
        </w:rPr>
        <w:t> </w:t>
      </w:r>
      <w:r w:rsidRPr="003B4D43">
        <w:rPr>
          <w:b/>
          <w:bCs/>
          <w:szCs w:val="20"/>
        </w:rPr>
        <w:t>Section “</w:t>
      </w:r>
      <w:hyperlink r:id="rId25" w:history="1">
        <w:r w:rsidRPr="003B4D43">
          <w:rPr>
            <w:rStyle w:val="Hyperlink"/>
            <w:b/>
            <w:bCs/>
            <w:szCs w:val="20"/>
          </w:rPr>
          <w:t xml:space="preserve">1090.1100 </w:t>
        </w:r>
      </w:hyperlink>
      <w:r w:rsidRPr="003B4D43">
        <w:rPr>
          <w:b/>
          <w:bCs/>
          <w:szCs w:val="20"/>
        </w:rPr>
        <w:t xml:space="preserve">General Requirements” </w:t>
      </w:r>
      <w:r w:rsidRPr="003B4D43">
        <w:rPr>
          <w:szCs w:val="20"/>
        </w:rPr>
        <w:t xml:space="preserve">states (a)(1)(iii) a PTD must include a set of information including (iii) </w:t>
      </w:r>
      <w:r w:rsidRPr="003B4D43">
        <w:rPr>
          <w:b/>
          <w:bCs/>
          <w:szCs w:val="20"/>
        </w:rPr>
        <w:t xml:space="preserve">“The volume of the product being transferred.” </w:t>
      </w:r>
      <w:r w:rsidRPr="003B4D43">
        <w:rPr>
          <w:szCs w:val="20"/>
        </w:rPr>
        <w:t>[emphasis added]</w:t>
      </w:r>
    </w:p>
    <w:p w14:paraId="61FC02A1" w14:textId="77777777" w:rsidR="0076491B" w:rsidRPr="003B4D43" w:rsidRDefault="0076491B" w:rsidP="0076491B">
      <w:pPr>
        <w:rPr>
          <w:szCs w:val="20"/>
        </w:rPr>
      </w:pPr>
      <w:r w:rsidRPr="003B4D43">
        <w:rPr>
          <w:szCs w:val="20"/>
        </w:rPr>
        <w:t>This proposed change to HB 130 Method of Sale makes it clear that if the volume of a product is calculated and changed to reflect a change in volume, that the invoice reflects that change and cites the reference temperature.</w:t>
      </w:r>
    </w:p>
    <w:p w14:paraId="1BFDC45D" w14:textId="77777777" w:rsidR="0076491B" w:rsidRPr="003B4D43" w:rsidRDefault="0076491B" w:rsidP="0076491B">
      <w:pPr>
        <w:rPr>
          <w:szCs w:val="20"/>
        </w:rPr>
      </w:pPr>
      <w:r w:rsidRPr="003B4D43">
        <w:rPr>
          <w:szCs w:val="20"/>
        </w:rPr>
        <w:lastRenderedPageBreak/>
        <w:t>Today</w:t>
      </w:r>
      <w:r w:rsidRPr="003B4D43">
        <w:rPr>
          <w:b/>
          <w:bCs/>
          <w:szCs w:val="20"/>
        </w:rPr>
        <w:t xml:space="preserve"> </w:t>
      </w:r>
      <w:r w:rsidRPr="003B4D43">
        <w:rPr>
          <w:szCs w:val="20"/>
        </w:rPr>
        <w:t>multiple API standards (identified below) ensure accurate and transparent measurement. Further, sales agreements may state that where temperature compensation is used, those calculations incorporate the methods and procedures specified in API MPMS Chapter 11.</w:t>
      </w:r>
      <w:r w:rsidRPr="003B4D43">
        <w:rPr>
          <w:rStyle w:val="FootnoteReference"/>
          <w:szCs w:val="20"/>
        </w:rPr>
        <w:footnoteReference w:id="2"/>
      </w:r>
      <w:r w:rsidRPr="003B4D43">
        <w:rPr>
          <w:szCs w:val="20"/>
        </w:rPr>
        <w:t xml:space="preserve">  </w:t>
      </w:r>
    </w:p>
    <w:p w14:paraId="7162F082" w14:textId="77777777" w:rsidR="0076491B" w:rsidRPr="003B4D43" w:rsidRDefault="0076491B" w:rsidP="0076491B">
      <w:pPr>
        <w:numPr>
          <w:ilvl w:val="1"/>
          <w:numId w:val="57"/>
        </w:numPr>
        <w:spacing w:after="160" w:line="278" w:lineRule="auto"/>
        <w:jc w:val="left"/>
        <w:rPr>
          <w:szCs w:val="20"/>
        </w:rPr>
      </w:pPr>
      <w:r w:rsidRPr="003B4D43">
        <w:rPr>
          <w:szCs w:val="20"/>
        </w:rPr>
        <w:t>Ch. 8.1 Manual Sampling of Petroleum Products (ASTM D4057)</w:t>
      </w:r>
    </w:p>
    <w:p w14:paraId="7BB1AB6D" w14:textId="77777777" w:rsidR="0076491B" w:rsidRPr="003B4D43" w:rsidRDefault="0076491B" w:rsidP="0076491B">
      <w:pPr>
        <w:numPr>
          <w:ilvl w:val="1"/>
          <w:numId w:val="57"/>
        </w:numPr>
        <w:spacing w:after="160" w:line="278" w:lineRule="auto"/>
        <w:jc w:val="left"/>
        <w:rPr>
          <w:szCs w:val="20"/>
        </w:rPr>
      </w:pPr>
      <w:r w:rsidRPr="003B4D43">
        <w:rPr>
          <w:szCs w:val="20"/>
        </w:rPr>
        <w:t>Ch. 5.x Metering (5.1 General Considerations for Measurement by Meters, with specific chapters that address for displacement meters, turbine meters, Coriolis meters, ultrasonic flow meters, Fidelity and Security of Flow Measurement Pulsed-Data Transmissions Systems)</w:t>
      </w:r>
    </w:p>
    <w:p w14:paraId="6A0A6CB5" w14:textId="77777777" w:rsidR="0076491B" w:rsidRPr="003B4D43" w:rsidRDefault="0076491B" w:rsidP="0076491B">
      <w:pPr>
        <w:numPr>
          <w:ilvl w:val="1"/>
          <w:numId w:val="57"/>
        </w:numPr>
        <w:spacing w:after="160" w:line="278" w:lineRule="auto"/>
        <w:jc w:val="left"/>
        <w:rPr>
          <w:szCs w:val="20"/>
        </w:rPr>
      </w:pPr>
      <w:r w:rsidRPr="003B4D43">
        <w:rPr>
          <w:szCs w:val="20"/>
        </w:rPr>
        <w:t xml:space="preserve">Ch. 6.x – Metering Systems (6.1 Metering Assemblies- General Considerations, with specific chapters for - Truck and Rail Loading and Unloading Measurement Systems; - Pipeline and Marine Loading/Unloading Measurement Systems; and Lease Automatic Custody Transfer Systems) </w:t>
      </w:r>
    </w:p>
    <w:p w14:paraId="2CF93C30" w14:textId="77777777" w:rsidR="0076491B" w:rsidRPr="003B4D43" w:rsidRDefault="0076491B" w:rsidP="0076491B">
      <w:pPr>
        <w:numPr>
          <w:ilvl w:val="1"/>
          <w:numId w:val="57"/>
        </w:numPr>
        <w:spacing w:after="160" w:line="278" w:lineRule="auto"/>
        <w:jc w:val="left"/>
        <w:rPr>
          <w:szCs w:val="20"/>
        </w:rPr>
      </w:pPr>
      <w:r w:rsidRPr="003B4D43">
        <w:rPr>
          <w:szCs w:val="20"/>
        </w:rPr>
        <w:t xml:space="preserve">Ch. 4.x Proving Systems (Displacement Provers, Master-Meter Provers, Field Standard Test Measures, </w:t>
      </w:r>
      <w:r w:rsidRPr="003B4D43">
        <w:rPr>
          <w:rFonts w:eastAsia="Times New Roman"/>
          <w:szCs w:val="20"/>
        </w:rPr>
        <w:t>Methods of Calibration for Displacement and Volumetric Tank Provers, Part 1—Introduction to the Determination of the Volume of Displacement and Tank Provers</w:t>
      </w:r>
      <w:r w:rsidRPr="003B4D43">
        <w:rPr>
          <w:szCs w:val="20"/>
        </w:rPr>
        <w:t>)</w:t>
      </w:r>
    </w:p>
    <w:p w14:paraId="7086CE82" w14:textId="77777777" w:rsidR="0076491B" w:rsidRPr="003B4D43" w:rsidRDefault="0076491B" w:rsidP="0076491B">
      <w:pPr>
        <w:numPr>
          <w:ilvl w:val="1"/>
          <w:numId w:val="57"/>
        </w:numPr>
        <w:spacing w:after="160" w:line="278" w:lineRule="auto"/>
        <w:jc w:val="left"/>
        <w:rPr>
          <w:szCs w:val="20"/>
        </w:rPr>
      </w:pPr>
      <w:r w:rsidRPr="003B4D43">
        <w:rPr>
          <w:szCs w:val="20"/>
        </w:rPr>
        <w:t>Ch. 7.4 Dynamic Temperature Measurement</w:t>
      </w:r>
    </w:p>
    <w:p w14:paraId="7EAD3F98" w14:textId="77777777" w:rsidR="0076491B" w:rsidRPr="003B4D43" w:rsidRDefault="0076491B" w:rsidP="0076491B">
      <w:pPr>
        <w:numPr>
          <w:ilvl w:val="1"/>
          <w:numId w:val="57"/>
        </w:numPr>
        <w:spacing w:after="160" w:line="278" w:lineRule="auto"/>
        <w:jc w:val="left"/>
        <w:rPr>
          <w:szCs w:val="20"/>
        </w:rPr>
      </w:pPr>
      <w:r w:rsidRPr="003B4D43">
        <w:rPr>
          <w:szCs w:val="20"/>
        </w:rPr>
        <w:t>Ch. 11 Physical Properties Data (ASTM D1250, Adjunct)</w:t>
      </w:r>
    </w:p>
    <w:p w14:paraId="576D997C" w14:textId="77777777" w:rsidR="0076491B" w:rsidRPr="003B4D43" w:rsidRDefault="0076491B" w:rsidP="0076491B">
      <w:pPr>
        <w:numPr>
          <w:ilvl w:val="2"/>
          <w:numId w:val="57"/>
        </w:numPr>
        <w:spacing w:after="160" w:line="278" w:lineRule="auto"/>
        <w:jc w:val="left"/>
        <w:rPr>
          <w:szCs w:val="20"/>
        </w:rPr>
      </w:pPr>
      <w:r w:rsidRPr="003B4D43">
        <w:rPr>
          <w:szCs w:val="20"/>
        </w:rPr>
        <w:t>Chapter 11.1 - Temperature and Pressure Volume Correction Factors for Generalized Crude Oils, Refined Products, and Lubricating Oils</w:t>
      </w:r>
    </w:p>
    <w:p w14:paraId="22A62036" w14:textId="77777777" w:rsidR="0076491B" w:rsidRPr="003B4D43" w:rsidRDefault="0076491B" w:rsidP="0076491B">
      <w:pPr>
        <w:numPr>
          <w:ilvl w:val="2"/>
          <w:numId w:val="57"/>
        </w:numPr>
        <w:spacing w:after="160" w:line="278" w:lineRule="auto"/>
        <w:jc w:val="left"/>
        <w:rPr>
          <w:szCs w:val="20"/>
        </w:rPr>
      </w:pPr>
      <w:r w:rsidRPr="003B4D43">
        <w:rPr>
          <w:szCs w:val="20"/>
        </w:rPr>
        <w:t>Ch. 11.3.3 Miscellaneous Hydrocarbon Product Properties—Denatured Ethanol Density and Volume Correction Factors</w:t>
      </w:r>
    </w:p>
    <w:p w14:paraId="5A2E7C40" w14:textId="77777777" w:rsidR="0076491B" w:rsidRPr="003B4D43" w:rsidRDefault="0076491B" w:rsidP="0076491B">
      <w:pPr>
        <w:numPr>
          <w:ilvl w:val="2"/>
          <w:numId w:val="57"/>
        </w:numPr>
        <w:spacing w:after="160" w:line="278" w:lineRule="auto"/>
        <w:jc w:val="left"/>
        <w:rPr>
          <w:szCs w:val="20"/>
        </w:rPr>
      </w:pPr>
      <w:r w:rsidRPr="003B4D43">
        <w:rPr>
          <w:szCs w:val="20"/>
        </w:rPr>
        <w:t>Ch. 11.3.4 Miscellaneous Hydrocarbon Properties - Denatured Ethanol and Gasoline Component Blend Densities and Volume Correction Factors</w:t>
      </w:r>
    </w:p>
    <w:p w14:paraId="44618BC6" w14:textId="77777777" w:rsidR="0076491B" w:rsidRPr="003B4D43" w:rsidRDefault="0076491B" w:rsidP="0076491B">
      <w:pPr>
        <w:numPr>
          <w:ilvl w:val="2"/>
          <w:numId w:val="57"/>
        </w:numPr>
        <w:spacing w:after="160" w:line="278" w:lineRule="auto"/>
        <w:jc w:val="left"/>
        <w:rPr>
          <w:szCs w:val="20"/>
        </w:rPr>
      </w:pPr>
      <w:r w:rsidRPr="003B4D43">
        <w:rPr>
          <w:szCs w:val="20"/>
        </w:rPr>
        <w:t xml:space="preserve">Ch. 11.4.1 Density of Water and Water Volumetric Correction Factors for Water Calibration of Volumetric Provers </w:t>
      </w:r>
    </w:p>
    <w:p w14:paraId="6D3C13AD" w14:textId="77777777" w:rsidR="0076491B" w:rsidRPr="003B4D43" w:rsidRDefault="0076491B" w:rsidP="0076491B">
      <w:pPr>
        <w:numPr>
          <w:ilvl w:val="1"/>
          <w:numId w:val="57"/>
        </w:numPr>
        <w:spacing w:after="160" w:line="278" w:lineRule="auto"/>
        <w:jc w:val="left"/>
        <w:rPr>
          <w:szCs w:val="20"/>
        </w:rPr>
      </w:pPr>
      <w:r w:rsidRPr="003B4D43">
        <w:rPr>
          <w:szCs w:val="20"/>
        </w:rPr>
        <w:t>Ch. 12.2 Calculation of Petroleum Quantities using Dynamic Measurement Methods and Volumetric Correction Factors</w:t>
      </w:r>
    </w:p>
    <w:p w14:paraId="34CBD181" w14:textId="77777777" w:rsidR="0076491B" w:rsidRPr="003B4D43" w:rsidRDefault="0076491B" w:rsidP="0076491B">
      <w:pPr>
        <w:numPr>
          <w:ilvl w:val="1"/>
          <w:numId w:val="57"/>
        </w:numPr>
        <w:spacing w:after="160" w:line="278" w:lineRule="auto"/>
        <w:jc w:val="left"/>
        <w:rPr>
          <w:szCs w:val="20"/>
        </w:rPr>
      </w:pPr>
      <w:r w:rsidRPr="003B4D43">
        <w:rPr>
          <w:szCs w:val="20"/>
        </w:rPr>
        <w:t xml:space="preserve">Ch. 21.2 Electronic Liquid Measurement Using Positive Displacement and Turbine Meters </w:t>
      </w:r>
    </w:p>
    <w:p w14:paraId="0A310CDF" w14:textId="77777777" w:rsidR="0076491B" w:rsidRPr="003B4D43" w:rsidRDefault="0076491B" w:rsidP="0076491B">
      <w:pPr>
        <w:rPr>
          <w:szCs w:val="20"/>
        </w:rPr>
      </w:pPr>
      <w:r w:rsidRPr="003B4D43">
        <w:rPr>
          <w:szCs w:val="20"/>
        </w:rPr>
        <w:t>Why should we use and accept API standards?</w:t>
      </w:r>
      <w:r w:rsidRPr="003B4D43">
        <w:rPr>
          <w:b/>
          <w:bCs/>
          <w:szCs w:val="20"/>
        </w:rPr>
        <w:t xml:space="preserve"> </w:t>
      </w:r>
      <w:r w:rsidRPr="003B4D43">
        <w:rPr>
          <w:szCs w:val="20"/>
        </w:rPr>
        <w:t xml:space="preserve">Handbook 130, Uniform Weights and Measures Law, Section 16, recognizes “firmly established trade custom and practice” that dictate how liquid fuels are sold. Specifically, it states, </w:t>
      </w:r>
    </w:p>
    <w:p w14:paraId="16C773AC" w14:textId="77777777" w:rsidR="0076491B" w:rsidRPr="003B4D43" w:rsidRDefault="0076491B" w:rsidP="0076491B">
      <w:pPr>
        <w:ind w:left="720"/>
        <w:rPr>
          <w:szCs w:val="20"/>
        </w:rPr>
      </w:pPr>
      <w:r w:rsidRPr="003B4D43">
        <w:rPr>
          <w:b/>
          <w:bCs/>
          <w:szCs w:val="20"/>
        </w:rPr>
        <w:t xml:space="preserve">Section 16. Method of Sale </w:t>
      </w:r>
    </w:p>
    <w:p w14:paraId="7CAD4AD9" w14:textId="77777777" w:rsidR="0076491B" w:rsidRPr="003B4D43" w:rsidRDefault="0076491B" w:rsidP="0076491B">
      <w:pPr>
        <w:ind w:left="720"/>
        <w:rPr>
          <w:szCs w:val="20"/>
        </w:rPr>
      </w:pPr>
      <w:r w:rsidRPr="003B4D43">
        <w:rPr>
          <w:szCs w:val="20"/>
        </w:rPr>
        <w:t xml:space="preserve">Except as otherwise provided by the Director or by firmly established trade custom and practice, </w:t>
      </w:r>
    </w:p>
    <w:p w14:paraId="1F1D5DF8" w14:textId="77777777" w:rsidR="0076491B" w:rsidRPr="003B4D43" w:rsidRDefault="0076491B" w:rsidP="0076491B">
      <w:pPr>
        <w:ind w:left="1440"/>
        <w:rPr>
          <w:szCs w:val="20"/>
        </w:rPr>
      </w:pPr>
      <w:r w:rsidRPr="003B4D43">
        <w:rPr>
          <w:szCs w:val="20"/>
        </w:rPr>
        <w:t xml:space="preserve">(a) commodities in liquid form shall be sold by liquid measure or by weight; and </w:t>
      </w:r>
    </w:p>
    <w:p w14:paraId="44AAC5BD" w14:textId="77777777" w:rsidR="0076491B" w:rsidRPr="003B4D43" w:rsidRDefault="0076491B" w:rsidP="0076491B">
      <w:pPr>
        <w:ind w:left="1440"/>
        <w:rPr>
          <w:szCs w:val="20"/>
        </w:rPr>
      </w:pPr>
      <w:r w:rsidRPr="003B4D43">
        <w:rPr>
          <w:szCs w:val="20"/>
        </w:rPr>
        <w:t xml:space="preserve">(b) commodities not in liquid form shall be sold by weight, by measure, or by count. </w:t>
      </w:r>
    </w:p>
    <w:p w14:paraId="6670CAE9" w14:textId="77777777" w:rsidR="0076491B" w:rsidRPr="003B4D43" w:rsidRDefault="0076491B" w:rsidP="0076491B">
      <w:pPr>
        <w:ind w:left="720"/>
        <w:rPr>
          <w:szCs w:val="20"/>
        </w:rPr>
      </w:pPr>
      <w:r w:rsidRPr="003B4D43">
        <w:rPr>
          <w:szCs w:val="20"/>
        </w:rPr>
        <w:lastRenderedPageBreak/>
        <w:t xml:space="preserve">The method of sale shall provide accurate and adequate quantity information that permits the buyer to make price and quantity comparisons. </w:t>
      </w:r>
    </w:p>
    <w:p w14:paraId="10253207" w14:textId="77777777" w:rsidR="0076491B" w:rsidRPr="003B4D43" w:rsidRDefault="0076491B" w:rsidP="0076491B">
      <w:pPr>
        <w:ind w:firstLine="720"/>
        <w:rPr>
          <w:szCs w:val="20"/>
        </w:rPr>
      </w:pPr>
      <w:r w:rsidRPr="003B4D43">
        <w:rPr>
          <w:szCs w:val="20"/>
        </w:rPr>
        <w:t xml:space="preserve">(Amended 1989) </w:t>
      </w:r>
    </w:p>
    <w:p w14:paraId="7DFCE0CD" w14:textId="77777777" w:rsidR="0076491B" w:rsidRPr="003B4D43" w:rsidRDefault="0076491B" w:rsidP="0076491B">
      <w:pPr>
        <w:rPr>
          <w:szCs w:val="20"/>
        </w:rPr>
      </w:pPr>
      <w:r w:rsidRPr="003B4D43">
        <w:rPr>
          <w:szCs w:val="20"/>
        </w:rPr>
        <w:t xml:space="preserve">In 2024, the U.S. customers consumed 137 billion gallons of gasoline (most of which was 10% ethanol) and 63 billion gallons of diesel fuel. Another 24 billion gallons of jet fuel were consumed in the U.S.  At each stage of the process from producing the crude oil to selling the finished fuel to a retail gasoline station the product is measured. So, while there is over 224 billion gallons of finished product consumed in the U.S., those molecules have likely been measured many times over.  These measurements are so important that the API Committee on Petroleum Measurement (COPM) meets twice a year, with over 700 people in attendance, at each meeting to review the standards that are used in the U.S. and around the world.  By definition, the petroleum industry uses the API standards which are firmly established trade custom and practice. </w:t>
      </w:r>
    </w:p>
    <w:p w14:paraId="6B690CA0" w14:textId="77777777" w:rsidR="0076491B" w:rsidRPr="003B4D43" w:rsidRDefault="0076491B" w:rsidP="0076491B">
      <w:pPr>
        <w:rPr>
          <w:szCs w:val="20"/>
        </w:rPr>
      </w:pPr>
      <w:r w:rsidRPr="003B4D43">
        <w:rPr>
          <w:szCs w:val="20"/>
        </w:rPr>
        <w:t xml:space="preserve">Some have raised concerns that metering systems should not modify the volume of the product after it has gone through the custody meter.  This concern appears to be premised on the belief that the gross volume </w:t>
      </w:r>
      <w:r w:rsidRPr="003B4D43">
        <w:rPr>
          <w:b/>
          <w:bCs/>
          <w:szCs w:val="20"/>
        </w:rPr>
        <w:t>and</w:t>
      </w:r>
      <w:r w:rsidRPr="003B4D43">
        <w:rPr>
          <w:szCs w:val="20"/>
        </w:rPr>
        <w:t xml:space="preserve"> the net standard temperature compensated volume are measured.  In practice, the only measured volume is the gross volume and that is measured by counting pulses from the meter in accordance with an API standard.  The gross volume is then used by the custody transfer system or the automatic terminal management system to calculate the net volume using another set of API standards including Chapters 5.x, 6x, 7.4, 11.1, 11.3.3, 11.3.4, 12.2, and 21.2. Please see above for the names of these standards.</w:t>
      </w:r>
    </w:p>
    <w:p w14:paraId="38164F49" w14:textId="77777777" w:rsidR="0076491B" w:rsidRPr="003B4D43" w:rsidRDefault="0076491B" w:rsidP="0076491B">
      <w:pPr>
        <w:rPr>
          <w:szCs w:val="20"/>
        </w:rPr>
      </w:pPr>
      <w:r w:rsidRPr="003B4D43">
        <w:rPr>
          <w:szCs w:val="20"/>
        </w:rPr>
        <w:t xml:space="preserve">Some have indicated that HB 130, IV. Uniform Regulations, A. Uniform Packaging and Labeling Regulation, Paragraphs 7.4.(b) and 7.5.(b) may already include a requirement. </w:t>
      </w:r>
    </w:p>
    <w:p w14:paraId="4AEC726B" w14:textId="77777777" w:rsidR="0076491B" w:rsidRPr="003B4D43" w:rsidRDefault="0076491B" w:rsidP="0076491B">
      <w:pPr>
        <w:rPr>
          <w:b/>
          <w:bCs/>
          <w:szCs w:val="20"/>
        </w:rPr>
      </w:pPr>
      <w:bookmarkStart w:id="66" w:name="Section_7.__Declaration_of_Quantity:__No"/>
      <w:bookmarkStart w:id="67" w:name="7.1. General."/>
      <w:bookmarkStart w:id="68" w:name="7.2. Location."/>
      <w:bookmarkStart w:id="69" w:name="7.3. Terms:__Weight,_Liquid_Measure,_Dry"/>
      <w:bookmarkStart w:id="70" w:name="7.4. SI_Units:__Mass,_Measure."/>
      <w:bookmarkStart w:id="71" w:name="_bookmark0"/>
      <w:bookmarkStart w:id="72" w:name="_bookmark1"/>
      <w:bookmarkStart w:id="73" w:name="_bookmark2"/>
      <w:bookmarkStart w:id="74" w:name="_bookmark3"/>
      <w:bookmarkStart w:id="75" w:name="_bookmark4"/>
      <w:bookmarkEnd w:id="66"/>
      <w:bookmarkEnd w:id="67"/>
      <w:bookmarkEnd w:id="68"/>
      <w:bookmarkEnd w:id="69"/>
      <w:bookmarkEnd w:id="70"/>
      <w:bookmarkEnd w:id="71"/>
      <w:bookmarkEnd w:id="72"/>
      <w:bookmarkEnd w:id="73"/>
      <w:bookmarkEnd w:id="74"/>
      <w:bookmarkEnd w:id="75"/>
      <w:r w:rsidRPr="003B4D43">
        <w:rPr>
          <w:b/>
          <w:bCs/>
          <w:szCs w:val="20"/>
        </w:rPr>
        <w:t>7.4. SI Units: Mass, Measure.</w:t>
      </w:r>
    </w:p>
    <w:p w14:paraId="6BEE56F9" w14:textId="77777777" w:rsidR="0076491B" w:rsidRPr="003B4D43" w:rsidRDefault="0076491B" w:rsidP="0076491B">
      <w:pPr>
        <w:ind w:left="720"/>
        <w:rPr>
          <w:szCs w:val="20"/>
        </w:rPr>
      </w:pPr>
      <w:r w:rsidRPr="003B4D43">
        <w:rPr>
          <w:szCs w:val="20"/>
        </w:rPr>
        <w:t xml:space="preserve">(b) in units of liquid measure shall be in terms of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is normally sold in the refrigerated state, for which the declaration shall express the volume at 4 °C; </w:t>
      </w:r>
    </w:p>
    <w:p w14:paraId="318B8213" w14:textId="77777777" w:rsidR="0076491B" w:rsidRPr="003B4D43" w:rsidRDefault="0076491B" w:rsidP="0076491B">
      <w:pPr>
        <w:ind w:firstLine="720"/>
        <w:rPr>
          <w:szCs w:val="20"/>
        </w:rPr>
      </w:pPr>
      <w:r w:rsidRPr="003B4D43">
        <w:rPr>
          <w:szCs w:val="20"/>
        </w:rPr>
        <w:t>(Amended 1985)</w:t>
      </w:r>
    </w:p>
    <w:p w14:paraId="5009D0DE" w14:textId="77777777" w:rsidR="0076491B" w:rsidRPr="003B4D43" w:rsidRDefault="0076491B" w:rsidP="0076491B">
      <w:pPr>
        <w:rPr>
          <w:b/>
          <w:bCs/>
          <w:szCs w:val="20"/>
        </w:rPr>
      </w:pPr>
      <w:r w:rsidRPr="003B4D43">
        <w:rPr>
          <w:b/>
          <w:bCs/>
          <w:szCs w:val="20"/>
        </w:rPr>
        <w:t>7.5 U.S. Customary Units: Weight, Measure.</w:t>
      </w:r>
    </w:p>
    <w:p w14:paraId="239EB6CE" w14:textId="77777777" w:rsidR="0076491B" w:rsidRPr="003B4D43" w:rsidRDefault="0076491B" w:rsidP="0076491B">
      <w:pPr>
        <w:ind w:left="720"/>
        <w:rPr>
          <w:b/>
          <w:bCs/>
          <w:szCs w:val="20"/>
        </w:rPr>
      </w:pPr>
      <w:r w:rsidRPr="003B4D43">
        <w:rPr>
          <w:szCs w:val="20"/>
        </w:rPr>
        <w:t xml:space="preserve">(b) in units of liquid measure shall be in terms of the United States gallon of 231 cubic inches or liquid quart, liquid pint, or fluid ounce subdivisions of the gallon and shall express the volume at 68 °F, except in the case of petroleum products or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 </w:t>
      </w:r>
    </w:p>
    <w:p w14:paraId="13FC2DDC" w14:textId="72DAA769" w:rsidR="00C016C5" w:rsidRDefault="0076491B" w:rsidP="0076491B">
      <w:pPr>
        <w:ind w:firstLine="720"/>
        <w:rPr>
          <w:szCs w:val="20"/>
        </w:rPr>
      </w:pPr>
      <w:r w:rsidRPr="003B4D43">
        <w:rPr>
          <w:szCs w:val="20"/>
        </w:rPr>
        <w:t>(Amended 1985</w:t>
      </w:r>
      <w:r>
        <w:rPr>
          <w:szCs w:val="20"/>
        </w:rPr>
        <w:t>)</w:t>
      </w:r>
    </w:p>
    <w:p w14:paraId="67F85A5D" w14:textId="12749254" w:rsidR="008326D3" w:rsidRPr="008C1A09" w:rsidRDefault="0076491B" w:rsidP="0076491B">
      <w:pPr>
        <w:rPr>
          <w:szCs w:val="20"/>
        </w:rPr>
      </w:pPr>
      <w:r>
        <w:rPr>
          <w:szCs w:val="20"/>
        </w:rPr>
        <w:t>The submitter requested that this be a Voting Item in 2026.</w:t>
      </w:r>
    </w:p>
    <w:p w14:paraId="4C781FBF" w14:textId="77777777" w:rsidR="00C016C5" w:rsidRPr="002A7C3B" w:rsidRDefault="00C016C5" w:rsidP="00C016C5">
      <w:pPr>
        <w:keepNext/>
        <w:rPr>
          <w:b/>
        </w:rPr>
      </w:pPr>
      <w:r>
        <w:rPr>
          <w:b/>
        </w:rPr>
        <w:t>Comments</w:t>
      </w:r>
      <w:r w:rsidRPr="002A7C3B">
        <w:rPr>
          <w:b/>
        </w:rPr>
        <w:t xml:space="preserve"> in Favor:</w:t>
      </w:r>
    </w:p>
    <w:p w14:paraId="3766BF86" w14:textId="6DECFE81" w:rsidR="00C016C5" w:rsidRPr="002A7C3B" w:rsidRDefault="0042639E" w:rsidP="00C016C5">
      <w:pPr>
        <w:keepNext/>
        <w:spacing w:after="0"/>
        <w:ind w:left="720"/>
        <w:rPr>
          <w:b/>
        </w:rPr>
      </w:pPr>
      <w:r>
        <w:rPr>
          <w:b/>
        </w:rPr>
        <w:t>Weights and Measures Officials</w:t>
      </w:r>
      <w:r w:rsidR="00C016C5" w:rsidRPr="002A7C3B">
        <w:rPr>
          <w:b/>
        </w:rPr>
        <w:t>:</w:t>
      </w:r>
    </w:p>
    <w:p w14:paraId="7BCE490C" w14:textId="70E28EF3" w:rsidR="00C016C5" w:rsidRPr="002A7C3B" w:rsidRDefault="00336749" w:rsidP="00C016C5">
      <w:pPr>
        <w:pStyle w:val="ListParagraph"/>
        <w:numPr>
          <w:ilvl w:val="0"/>
          <w:numId w:val="26"/>
        </w:numPr>
        <w:spacing w:after="0" w:line="259" w:lineRule="auto"/>
        <w:contextualSpacing/>
        <w:jc w:val="left"/>
      </w:pPr>
      <w:r>
        <w:t>None</w:t>
      </w:r>
    </w:p>
    <w:p w14:paraId="33D55B9A" w14:textId="77777777" w:rsidR="00C016C5" w:rsidRPr="002A7C3B" w:rsidRDefault="00C016C5" w:rsidP="00C016C5">
      <w:pPr>
        <w:spacing w:before="240" w:after="0"/>
        <w:ind w:left="720"/>
        <w:rPr>
          <w:b/>
        </w:rPr>
      </w:pPr>
      <w:r w:rsidRPr="002A7C3B">
        <w:rPr>
          <w:b/>
        </w:rPr>
        <w:lastRenderedPageBreak/>
        <w:t>Industry:</w:t>
      </w:r>
    </w:p>
    <w:p w14:paraId="4053B52B" w14:textId="4B4472B8" w:rsidR="00F05A2A" w:rsidRPr="002A7C3B" w:rsidRDefault="003C3B51" w:rsidP="000D2B3D">
      <w:pPr>
        <w:pStyle w:val="ListParagraph"/>
        <w:numPr>
          <w:ilvl w:val="0"/>
          <w:numId w:val="26"/>
        </w:numPr>
        <w:spacing w:after="0" w:line="259" w:lineRule="auto"/>
        <w:contextualSpacing/>
        <w:jc w:val="left"/>
      </w:pPr>
      <w:r>
        <w:t xml:space="preserve">The Submitter representing the American Petroleum Institute </w:t>
      </w:r>
      <w:r w:rsidR="009773B1">
        <w:t xml:space="preserve">gave a presentation and </w:t>
      </w:r>
      <w:r w:rsidR="006A553F">
        <w:rPr>
          <w:szCs w:val="20"/>
          <w:lang w:eastAsia="ja-JP"/>
        </w:rPr>
        <w:t>explained</w:t>
      </w:r>
      <w:r w:rsidR="00317F04" w:rsidRPr="00317F04">
        <w:rPr>
          <w:szCs w:val="20"/>
          <w:lang w:eastAsia="ja-JP"/>
        </w:rPr>
        <w:t xml:space="preserve"> that the</w:t>
      </w:r>
      <w:r w:rsidRPr="00317F04">
        <w:rPr>
          <w:szCs w:val="20"/>
          <w:lang w:eastAsia="ja-JP"/>
        </w:rPr>
        <w:t xml:space="preserve"> purpose of </w:t>
      </w:r>
      <w:r w:rsidR="00A678E5">
        <w:rPr>
          <w:szCs w:val="20"/>
          <w:lang w:eastAsia="ja-JP"/>
        </w:rPr>
        <w:t xml:space="preserve">the </w:t>
      </w:r>
      <w:r w:rsidRPr="00317F04">
        <w:rPr>
          <w:szCs w:val="20"/>
          <w:lang w:eastAsia="ja-JP"/>
        </w:rPr>
        <w:t xml:space="preserve">item is to </w:t>
      </w:r>
      <w:r w:rsidR="00A678E5">
        <w:rPr>
          <w:szCs w:val="20"/>
          <w:lang w:eastAsia="ja-JP"/>
        </w:rPr>
        <w:t xml:space="preserve">show adjustments made to </w:t>
      </w:r>
      <w:r w:rsidRPr="00317F04">
        <w:rPr>
          <w:szCs w:val="20"/>
          <w:lang w:eastAsia="ja-JP"/>
        </w:rPr>
        <w:t>correct inaccuracy in volume when blending ethanol and gasoline</w:t>
      </w:r>
      <w:r w:rsidR="00317F04" w:rsidRPr="00317F04">
        <w:rPr>
          <w:szCs w:val="20"/>
          <w:lang w:eastAsia="ja-JP"/>
        </w:rPr>
        <w:t xml:space="preserve"> and that he believes the item is fully developed.  He recommended </w:t>
      </w:r>
      <w:r w:rsidR="006A553F">
        <w:rPr>
          <w:szCs w:val="20"/>
          <w:lang w:eastAsia="ja-JP"/>
        </w:rPr>
        <w:t xml:space="preserve">putting the item forward as </w:t>
      </w:r>
      <w:r w:rsidR="00317F04" w:rsidRPr="00317F04">
        <w:rPr>
          <w:szCs w:val="20"/>
          <w:lang w:eastAsia="ja-JP"/>
        </w:rPr>
        <w:t xml:space="preserve">Voting </w:t>
      </w:r>
      <w:r w:rsidR="006A553F">
        <w:rPr>
          <w:szCs w:val="20"/>
          <w:lang w:eastAsia="ja-JP"/>
        </w:rPr>
        <w:t>and others</w:t>
      </w:r>
      <w:r w:rsidR="00B830B2">
        <w:rPr>
          <w:szCs w:val="20"/>
          <w:lang w:eastAsia="ja-JP"/>
        </w:rPr>
        <w:t xml:space="preserve"> from industry agreed with the submitter and </w:t>
      </w:r>
      <w:r w:rsidR="00DA71C3">
        <w:rPr>
          <w:szCs w:val="20"/>
          <w:lang w:eastAsia="ja-JP"/>
        </w:rPr>
        <w:t>recommended</w:t>
      </w:r>
      <w:r w:rsidR="00A97E8E">
        <w:rPr>
          <w:szCs w:val="20"/>
          <w:lang w:eastAsia="ja-JP"/>
        </w:rPr>
        <w:t xml:space="preserve"> a voting status.</w:t>
      </w:r>
    </w:p>
    <w:p w14:paraId="68D73427" w14:textId="5BA49FE6" w:rsidR="00C016C5" w:rsidRPr="002A7C3B" w:rsidRDefault="00C016C5" w:rsidP="00C016C5">
      <w:pPr>
        <w:spacing w:before="240" w:after="0"/>
        <w:ind w:left="720"/>
        <w:rPr>
          <w:b/>
        </w:rPr>
      </w:pPr>
      <w:r w:rsidRPr="002A7C3B">
        <w:rPr>
          <w:b/>
        </w:rPr>
        <w:t>Advisory:</w:t>
      </w:r>
      <w:r w:rsidR="00A97E8E">
        <w:rPr>
          <w:b/>
        </w:rPr>
        <w:t xml:space="preserve"> </w:t>
      </w:r>
    </w:p>
    <w:p w14:paraId="22F8B87A" w14:textId="7485BA90" w:rsidR="00C016C5" w:rsidRDefault="008C1A09" w:rsidP="00C016C5">
      <w:pPr>
        <w:pStyle w:val="ListParagraph"/>
        <w:numPr>
          <w:ilvl w:val="0"/>
          <w:numId w:val="26"/>
        </w:numPr>
        <w:spacing w:after="0" w:line="259" w:lineRule="auto"/>
        <w:contextualSpacing/>
        <w:jc w:val="left"/>
      </w:pPr>
      <w:r>
        <w:t>None</w:t>
      </w:r>
    </w:p>
    <w:p w14:paraId="570C3391" w14:textId="77777777" w:rsidR="00B84A7F" w:rsidRPr="002A7C3B" w:rsidRDefault="00B84A7F" w:rsidP="00B84A7F">
      <w:pPr>
        <w:pStyle w:val="ListParagraph"/>
        <w:spacing w:after="0" w:line="259" w:lineRule="auto"/>
        <w:ind w:left="1080"/>
        <w:contextualSpacing/>
        <w:jc w:val="left"/>
      </w:pPr>
    </w:p>
    <w:p w14:paraId="3AC9E0E9" w14:textId="71EEC0E7" w:rsidR="00C016C5" w:rsidRPr="002A7C3B" w:rsidRDefault="00C016C5" w:rsidP="00C016C5">
      <w:pPr>
        <w:spacing w:before="240"/>
        <w:rPr>
          <w:b/>
        </w:rPr>
      </w:pPr>
      <w:r>
        <w:rPr>
          <w:b/>
        </w:rPr>
        <w:t>Comments</w:t>
      </w:r>
      <w:r w:rsidRPr="002A7C3B">
        <w:rPr>
          <w:b/>
        </w:rPr>
        <w:t xml:space="preserve"> Against:</w:t>
      </w:r>
    </w:p>
    <w:p w14:paraId="6DC61426" w14:textId="37EC9BF7" w:rsidR="00C016C5" w:rsidRPr="002A7C3B" w:rsidRDefault="0042639E" w:rsidP="00C016C5">
      <w:pPr>
        <w:spacing w:after="0"/>
        <w:ind w:left="720"/>
        <w:rPr>
          <w:b/>
        </w:rPr>
      </w:pPr>
      <w:r>
        <w:rPr>
          <w:b/>
        </w:rPr>
        <w:t>Weights and Measures Officials</w:t>
      </w:r>
      <w:r w:rsidR="00C016C5" w:rsidRPr="002A7C3B">
        <w:rPr>
          <w:b/>
        </w:rPr>
        <w:t>:</w:t>
      </w:r>
    </w:p>
    <w:p w14:paraId="62FFD6E9" w14:textId="2CE44C3B" w:rsidR="00C016C5" w:rsidRPr="002A7C3B" w:rsidRDefault="006A78FD" w:rsidP="007E486F">
      <w:pPr>
        <w:pStyle w:val="ListParagraph"/>
        <w:numPr>
          <w:ilvl w:val="0"/>
          <w:numId w:val="26"/>
        </w:numPr>
        <w:spacing w:after="0" w:line="259" w:lineRule="auto"/>
        <w:contextualSpacing/>
        <w:jc w:val="left"/>
      </w:pPr>
      <w:r>
        <w:t xml:space="preserve">A </w:t>
      </w:r>
      <w:r w:rsidR="001B29F9">
        <w:t>w</w:t>
      </w:r>
      <w:r w:rsidR="00FA24BE" w:rsidRPr="001B29F9">
        <w:t xml:space="preserve">eights and </w:t>
      </w:r>
      <w:r w:rsidR="001B29F9">
        <w:t>m</w:t>
      </w:r>
      <w:r w:rsidR="00FA24BE" w:rsidRPr="001B29F9">
        <w:t>easures official</w:t>
      </w:r>
      <w:r>
        <w:t xml:space="preserve"> from </w:t>
      </w:r>
      <w:r w:rsidR="001A5900">
        <w:t>Illinois</w:t>
      </w:r>
      <w:r>
        <w:t xml:space="preserve">  presented a handout </w:t>
      </w:r>
      <w:r w:rsidR="00742653">
        <w:t xml:space="preserve">opposing </w:t>
      </w:r>
      <w:r w:rsidR="003F47DD">
        <w:t xml:space="preserve"> this item </w:t>
      </w:r>
      <w:r>
        <w:t>which is available on the NCWM site under supporting documents.</w:t>
      </w:r>
    </w:p>
    <w:p w14:paraId="0BE49212" w14:textId="6B1DEC3C" w:rsidR="00C016C5" w:rsidRPr="002A7C3B" w:rsidRDefault="00C016C5" w:rsidP="00C016C5">
      <w:pPr>
        <w:spacing w:before="240" w:after="0"/>
        <w:ind w:left="720"/>
        <w:rPr>
          <w:b/>
        </w:rPr>
      </w:pPr>
      <w:r w:rsidRPr="002A7C3B">
        <w:rPr>
          <w:b/>
        </w:rPr>
        <w:t>Industry:</w:t>
      </w:r>
      <w:r w:rsidR="006A78FD">
        <w:rPr>
          <w:b/>
        </w:rPr>
        <w:t xml:space="preserve"> </w:t>
      </w:r>
    </w:p>
    <w:p w14:paraId="5AC485D1" w14:textId="41D47351" w:rsidR="00C016C5" w:rsidRPr="002A7C3B" w:rsidRDefault="008C1A09" w:rsidP="00C016C5">
      <w:pPr>
        <w:pStyle w:val="ListParagraph"/>
        <w:numPr>
          <w:ilvl w:val="0"/>
          <w:numId w:val="27"/>
        </w:numPr>
        <w:spacing w:after="0" w:line="259" w:lineRule="auto"/>
        <w:contextualSpacing/>
        <w:jc w:val="left"/>
      </w:pPr>
      <w:r>
        <w:t>None</w:t>
      </w:r>
    </w:p>
    <w:p w14:paraId="6EFEF300" w14:textId="77777777" w:rsidR="007C0AC0" w:rsidRDefault="00C016C5" w:rsidP="007C0AC0">
      <w:pPr>
        <w:spacing w:before="240"/>
        <w:ind w:left="720"/>
        <w:rPr>
          <w:b/>
        </w:rPr>
      </w:pPr>
      <w:r w:rsidRPr="002A7C3B">
        <w:rPr>
          <w:b/>
        </w:rPr>
        <w:t>Advisory:</w:t>
      </w:r>
      <w:r w:rsidR="004E095D">
        <w:rPr>
          <w:b/>
        </w:rPr>
        <w:t xml:space="preserve"> </w:t>
      </w:r>
    </w:p>
    <w:p w14:paraId="21C9D233" w14:textId="5D2EFF24" w:rsidR="00C016C5" w:rsidRPr="007C0AC0" w:rsidRDefault="004E095D" w:rsidP="007C0AC0">
      <w:pPr>
        <w:spacing w:before="240" w:after="0"/>
        <w:ind w:left="720"/>
        <w:rPr>
          <w:b/>
        </w:rPr>
      </w:pPr>
      <w:r w:rsidRPr="007C0AC0">
        <w:rPr>
          <w:bCs/>
        </w:rPr>
        <w:t xml:space="preserve">The Chair </w:t>
      </w:r>
      <w:r w:rsidR="000074F7" w:rsidRPr="007C0AC0">
        <w:rPr>
          <w:bCs/>
        </w:rPr>
        <w:t>of</w:t>
      </w:r>
      <w:r w:rsidRPr="007C0AC0">
        <w:rPr>
          <w:bCs/>
        </w:rPr>
        <w:t xml:space="preserve"> FALS shared that there was </w:t>
      </w:r>
      <w:r w:rsidR="0043728B" w:rsidRPr="007C0AC0">
        <w:rPr>
          <w:bCs/>
        </w:rPr>
        <w:t xml:space="preserve">both support and </w:t>
      </w:r>
      <w:r w:rsidRPr="007C0AC0">
        <w:rPr>
          <w:bCs/>
        </w:rPr>
        <w:t xml:space="preserve">opposition to this item in </w:t>
      </w:r>
      <w:r w:rsidR="000074F7" w:rsidRPr="007C0AC0">
        <w:rPr>
          <w:bCs/>
        </w:rPr>
        <w:t xml:space="preserve">the </w:t>
      </w:r>
      <w:r w:rsidRPr="007C0AC0">
        <w:rPr>
          <w:bCs/>
        </w:rPr>
        <w:t>FALS</w:t>
      </w:r>
      <w:r w:rsidR="000074F7" w:rsidRPr="007C0AC0">
        <w:rPr>
          <w:bCs/>
        </w:rPr>
        <w:t xml:space="preserve"> meeting. For this reason, FALS</w:t>
      </w:r>
      <w:r w:rsidR="000E5CC5" w:rsidRPr="007C0AC0">
        <w:rPr>
          <w:bCs/>
        </w:rPr>
        <w:t xml:space="preserve"> took no position</w:t>
      </w:r>
      <w:r w:rsidRPr="007C0AC0">
        <w:rPr>
          <w:bCs/>
        </w:rPr>
        <w:t>.</w:t>
      </w:r>
    </w:p>
    <w:p w14:paraId="5691B6AF" w14:textId="77777777" w:rsidR="00C016C5" w:rsidRPr="002A7C3B" w:rsidRDefault="00C016C5" w:rsidP="00C016C5">
      <w:pPr>
        <w:spacing w:before="240"/>
        <w:rPr>
          <w:b/>
        </w:rPr>
      </w:pPr>
      <w:r>
        <w:rPr>
          <w:b/>
        </w:rPr>
        <w:t>Neutral Comments</w:t>
      </w:r>
      <w:r w:rsidRPr="002A7C3B">
        <w:rPr>
          <w:b/>
        </w:rPr>
        <w:t>:</w:t>
      </w:r>
    </w:p>
    <w:p w14:paraId="2F1A2E58" w14:textId="77CEB741" w:rsidR="00C016C5" w:rsidRPr="002A7C3B" w:rsidRDefault="0042639E" w:rsidP="00C016C5">
      <w:pPr>
        <w:spacing w:after="0"/>
        <w:ind w:left="720"/>
        <w:rPr>
          <w:b/>
        </w:rPr>
      </w:pPr>
      <w:r>
        <w:rPr>
          <w:b/>
        </w:rPr>
        <w:t>Weights and Measures Officials</w:t>
      </w:r>
      <w:r w:rsidR="00C016C5" w:rsidRPr="002A7C3B">
        <w:rPr>
          <w:b/>
        </w:rPr>
        <w:t>:</w:t>
      </w:r>
    </w:p>
    <w:p w14:paraId="1A70A67C" w14:textId="2780C04A" w:rsidR="00C016C5" w:rsidRPr="002A7C3B" w:rsidRDefault="00B226AE" w:rsidP="0014320B">
      <w:pPr>
        <w:pStyle w:val="ListParagraph"/>
        <w:numPr>
          <w:ilvl w:val="0"/>
          <w:numId w:val="26"/>
        </w:numPr>
        <w:spacing w:after="0" w:line="259" w:lineRule="auto"/>
        <w:contextualSpacing/>
        <w:jc w:val="left"/>
      </w:pPr>
      <w:r>
        <w:t>Numerous</w:t>
      </w:r>
      <w:r w:rsidR="006A78FD">
        <w:t xml:space="preserve"> </w:t>
      </w:r>
      <w:r w:rsidR="001B29F9">
        <w:t>w</w:t>
      </w:r>
      <w:r w:rsidR="00FA24BE" w:rsidRPr="001B29F9">
        <w:t xml:space="preserve">eights and </w:t>
      </w:r>
      <w:r w:rsidR="001B29F9">
        <w:t>m</w:t>
      </w:r>
      <w:r w:rsidR="00FA24BE" w:rsidRPr="001B29F9">
        <w:t xml:space="preserve">easures officials </w:t>
      </w:r>
      <w:r w:rsidR="006A78FD" w:rsidRPr="001B29F9">
        <w:t>spoke</w:t>
      </w:r>
      <w:r w:rsidR="006A78FD">
        <w:t xml:space="preserve"> on the proposed item and agree this should have a</w:t>
      </w:r>
      <w:r w:rsidR="0014320B">
        <w:t>n</w:t>
      </w:r>
      <w:r w:rsidR="006A78FD">
        <w:t xml:space="preserve"> </w:t>
      </w:r>
      <w:r w:rsidR="0014320B">
        <w:t>A</w:t>
      </w:r>
      <w:r w:rsidR="006A78FD">
        <w:t>ssigned</w:t>
      </w:r>
      <w:r w:rsidR="00AB23FF">
        <w:t xml:space="preserve"> or Developing</w:t>
      </w:r>
      <w:r w:rsidR="006A78FD">
        <w:t xml:space="preserve"> status.</w:t>
      </w:r>
    </w:p>
    <w:p w14:paraId="6EAFA595" w14:textId="1AB0B3C1" w:rsidR="00C016C5" w:rsidRPr="002A7C3B" w:rsidRDefault="00C016C5" w:rsidP="00C016C5">
      <w:pPr>
        <w:spacing w:before="240" w:after="0"/>
        <w:ind w:left="720"/>
        <w:rPr>
          <w:b/>
        </w:rPr>
      </w:pPr>
      <w:r w:rsidRPr="002A7C3B">
        <w:rPr>
          <w:b/>
        </w:rPr>
        <w:t>Industry:</w:t>
      </w:r>
    </w:p>
    <w:p w14:paraId="63702A5B" w14:textId="16233A4C" w:rsidR="00C016C5" w:rsidRPr="002A7C3B" w:rsidRDefault="00620086" w:rsidP="0014320B">
      <w:pPr>
        <w:pStyle w:val="ListParagraph"/>
        <w:numPr>
          <w:ilvl w:val="0"/>
          <w:numId w:val="26"/>
        </w:numPr>
        <w:spacing w:after="0" w:line="259" w:lineRule="auto"/>
        <w:contextualSpacing/>
        <w:jc w:val="left"/>
      </w:pPr>
      <w:r>
        <w:t>The submitter after hearing comments from the floor agree</w:t>
      </w:r>
      <w:r w:rsidR="004955AA">
        <w:t>d that this item should align between L&amp;R and S&amp;T.</w:t>
      </w:r>
    </w:p>
    <w:p w14:paraId="6115CE2E" w14:textId="77777777" w:rsidR="00C016C5" w:rsidRPr="002A7C3B" w:rsidRDefault="00C016C5" w:rsidP="00C016C5">
      <w:pPr>
        <w:spacing w:before="240" w:after="0"/>
        <w:ind w:left="720"/>
        <w:rPr>
          <w:b/>
        </w:rPr>
      </w:pPr>
      <w:r w:rsidRPr="002A7C3B">
        <w:rPr>
          <w:b/>
        </w:rPr>
        <w:t>Advisory:</w:t>
      </w:r>
    </w:p>
    <w:p w14:paraId="1C93B4D9" w14:textId="5073AA8A" w:rsidR="00C016C5" w:rsidRPr="00B530E4" w:rsidRDefault="00627F95" w:rsidP="00B530E4">
      <w:pPr>
        <w:pStyle w:val="ListParagraph"/>
        <w:numPr>
          <w:ilvl w:val="0"/>
          <w:numId w:val="75"/>
        </w:numPr>
        <w:spacing w:after="160" w:line="278" w:lineRule="auto"/>
        <w:contextualSpacing/>
        <w:jc w:val="left"/>
        <w:rPr>
          <w:szCs w:val="20"/>
          <w:lang w:eastAsia="ja-JP"/>
        </w:rPr>
      </w:pPr>
      <w:r>
        <w:t xml:space="preserve">The representative of NIST OWM stated that there </w:t>
      </w:r>
      <w:r>
        <w:rPr>
          <w:szCs w:val="20"/>
          <w:lang w:eastAsia="ja-JP"/>
        </w:rPr>
        <w:t xml:space="preserve">should </w:t>
      </w:r>
      <w:r w:rsidR="000B0823">
        <w:rPr>
          <w:szCs w:val="20"/>
          <w:lang w:eastAsia="ja-JP"/>
        </w:rPr>
        <w:t xml:space="preserve">be </w:t>
      </w:r>
      <w:r>
        <w:rPr>
          <w:szCs w:val="20"/>
          <w:lang w:eastAsia="ja-JP"/>
        </w:rPr>
        <w:t xml:space="preserve">harmonization between MOS and FLR </w:t>
      </w:r>
      <w:r w:rsidR="000B0823">
        <w:rPr>
          <w:szCs w:val="20"/>
          <w:lang w:eastAsia="ja-JP"/>
        </w:rPr>
        <w:t xml:space="preserve">and </w:t>
      </w:r>
      <w:r>
        <w:rPr>
          <w:szCs w:val="20"/>
          <w:lang w:eastAsia="ja-JP"/>
        </w:rPr>
        <w:t xml:space="preserve">need to move the </w:t>
      </w:r>
      <w:r w:rsidR="000B0823">
        <w:rPr>
          <w:szCs w:val="20"/>
          <w:lang w:eastAsia="ja-JP"/>
        </w:rPr>
        <w:t xml:space="preserve"> </w:t>
      </w:r>
      <w:r>
        <w:rPr>
          <w:szCs w:val="20"/>
          <w:lang w:eastAsia="ja-JP"/>
        </w:rPr>
        <w:t xml:space="preserve">items </w:t>
      </w:r>
      <w:r w:rsidR="000B0823">
        <w:rPr>
          <w:szCs w:val="20"/>
          <w:lang w:eastAsia="ja-JP"/>
        </w:rPr>
        <w:t xml:space="preserve">before </w:t>
      </w:r>
      <w:r>
        <w:rPr>
          <w:szCs w:val="20"/>
          <w:lang w:eastAsia="ja-JP"/>
        </w:rPr>
        <w:t>S&amp;T and L&amp;R together</w:t>
      </w:r>
      <w:r w:rsidR="000B0823">
        <w:rPr>
          <w:szCs w:val="20"/>
          <w:lang w:eastAsia="ja-JP"/>
        </w:rPr>
        <w:t xml:space="preserve">.  They recommended assigning this </w:t>
      </w:r>
      <w:r w:rsidR="00424E14">
        <w:rPr>
          <w:szCs w:val="20"/>
          <w:lang w:eastAsia="ja-JP"/>
        </w:rPr>
        <w:t>item and the S&amp;T item to a Work Group.</w:t>
      </w:r>
    </w:p>
    <w:p w14:paraId="698D9F27" w14:textId="77777777" w:rsidR="00C016C5" w:rsidRPr="00E025F9" w:rsidRDefault="00C016C5" w:rsidP="00C016C5">
      <w:pPr>
        <w:spacing w:before="240" w:after="0"/>
        <w:rPr>
          <w:b/>
        </w:rPr>
      </w:pPr>
      <w:r w:rsidRPr="002A7C3B">
        <w:rPr>
          <w:b/>
        </w:rPr>
        <w:t>Item Develop</w:t>
      </w:r>
      <w:r w:rsidRPr="00E025F9">
        <w:rPr>
          <w:b/>
        </w:rPr>
        <w:t>ment:</w:t>
      </w:r>
    </w:p>
    <w:p w14:paraId="791F8F74" w14:textId="2DEF90BF" w:rsidR="00C016C5" w:rsidRDefault="0076491B" w:rsidP="00C016C5">
      <w:r>
        <w:t>New Proposal</w:t>
      </w:r>
      <w:r w:rsidR="00EC3CDB">
        <w:t xml:space="preserve"> 2026</w:t>
      </w:r>
    </w:p>
    <w:p w14:paraId="1D0B7BBF" w14:textId="3ABF6A66" w:rsidR="00EC3CDB" w:rsidRDefault="00EC3CDB" w:rsidP="00347DDC">
      <w:pPr>
        <w:widowControl w:val="0"/>
        <w:spacing w:after="0"/>
        <w:rPr>
          <w:szCs w:val="20"/>
        </w:rPr>
      </w:pPr>
      <w:r w:rsidRPr="001B29F9">
        <w:rPr>
          <w:szCs w:val="20"/>
          <w:u w:val="single"/>
        </w:rPr>
        <w:t>NCWM 2026 Interim:</w:t>
      </w:r>
      <w:r w:rsidR="008C1A09" w:rsidRPr="001B29F9">
        <w:rPr>
          <w:szCs w:val="20"/>
        </w:rPr>
        <w:t xml:space="preserve">  </w:t>
      </w:r>
      <w:r w:rsidR="00724F6E" w:rsidRPr="001B29F9">
        <w:rPr>
          <w:szCs w:val="20"/>
        </w:rPr>
        <w:t xml:space="preserve"> The Committee </w:t>
      </w:r>
      <w:r w:rsidR="009E437F" w:rsidRPr="001B29F9">
        <w:rPr>
          <w:szCs w:val="20"/>
        </w:rPr>
        <w:t>re</w:t>
      </w:r>
      <w:r w:rsidR="004F5662" w:rsidRPr="001B29F9">
        <w:rPr>
          <w:szCs w:val="20"/>
        </w:rPr>
        <w:t>ceived comments</w:t>
      </w:r>
      <w:r w:rsidR="00724F6E" w:rsidRPr="001B29F9">
        <w:rPr>
          <w:szCs w:val="20"/>
        </w:rPr>
        <w:t xml:space="preserve"> in favor of this item from several industry representatives</w:t>
      </w:r>
      <w:r w:rsidR="008E7488" w:rsidRPr="001B29F9">
        <w:rPr>
          <w:szCs w:val="20"/>
        </w:rPr>
        <w:t>; t</w:t>
      </w:r>
      <w:r w:rsidR="00C814FA" w:rsidRPr="001B29F9">
        <w:rPr>
          <w:szCs w:val="20"/>
        </w:rPr>
        <w:t>he</w:t>
      </w:r>
      <w:r w:rsidR="00532066" w:rsidRPr="001B29F9">
        <w:rPr>
          <w:szCs w:val="20"/>
        </w:rPr>
        <w:t>y</w:t>
      </w:r>
      <w:r w:rsidR="00C814FA" w:rsidRPr="001B29F9">
        <w:rPr>
          <w:szCs w:val="20"/>
        </w:rPr>
        <w:t xml:space="preserve"> expressed the item was fully developed and recommended voting status.</w:t>
      </w:r>
      <w:r w:rsidR="00724F6E" w:rsidRPr="001B29F9">
        <w:rPr>
          <w:szCs w:val="20"/>
        </w:rPr>
        <w:t xml:space="preserve"> On the other hand, </w:t>
      </w:r>
      <w:r w:rsidR="00C814FA" w:rsidRPr="001B29F9">
        <w:rPr>
          <w:szCs w:val="20"/>
        </w:rPr>
        <w:t>no</w:t>
      </w:r>
      <w:r w:rsidR="00724F6E" w:rsidRPr="001B29F9">
        <w:rPr>
          <w:szCs w:val="20"/>
        </w:rPr>
        <w:t xml:space="preserve"> </w:t>
      </w:r>
      <w:r w:rsidR="001B29F9">
        <w:rPr>
          <w:szCs w:val="20"/>
        </w:rPr>
        <w:t>w</w:t>
      </w:r>
      <w:r w:rsidR="00724F6E" w:rsidRPr="001B29F9">
        <w:rPr>
          <w:szCs w:val="20"/>
        </w:rPr>
        <w:t>eigh</w:t>
      </w:r>
      <w:r w:rsidR="00C814FA" w:rsidRPr="001B29F9">
        <w:rPr>
          <w:szCs w:val="20"/>
        </w:rPr>
        <w:t>ts</w:t>
      </w:r>
      <w:r w:rsidR="00724F6E" w:rsidRPr="001B29F9">
        <w:rPr>
          <w:szCs w:val="20"/>
        </w:rPr>
        <w:t xml:space="preserve"> and </w:t>
      </w:r>
      <w:r w:rsidR="001B29F9">
        <w:rPr>
          <w:szCs w:val="20"/>
        </w:rPr>
        <w:t>m</w:t>
      </w:r>
      <w:r w:rsidR="00724F6E" w:rsidRPr="001B29F9">
        <w:rPr>
          <w:szCs w:val="20"/>
        </w:rPr>
        <w:t xml:space="preserve">easures </w:t>
      </w:r>
      <w:r w:rsidR="001B29F9">
        <w:rPr>
          <w:szCs w:val="20"/>
        </w:rPr>
        <w:t>o</w:t>
      </w:r>
      <w:r w:rsidR="00724F6E" w:rsidRPr="001B29F9">
        <w:rPr>
          <w:szCs w:val="20"/>
        </w:rPr>
        <w:t xml:space="preserve">fficials </w:t>
      </w:r>
      <w:r w:rsidR="00C814FA" w:rsidRPr="001B29F9">
        <w:rPr>
          <w:szCs w:val="20"/>
        </w:rPr>
        <w:t>supported</w:t>
      </w:r>
      <w:r w:rsidR="00C814FA">
        <w:rPr>
          <w:szCs w:val="20"/>
        </w:rPr>
        <w:t xml:space="preserve"> the item</w:t>
      </w:r>
      <w:r w:rsidR="00807956">
        <w:rPr>
          <w:szCs w:val="20"/>
        </w:rPr>
        <w:t xml:space="preserve"> as written</w:t>
      </w:r>
      <w:r w:rsidR="00C814FA">
        <w:rPr>
          <w:szCs w:val="20"/>
        </w:rPr>
        <w:t>. A representative f</w:t>
      </w:r>
      <w:r w:rsidR="002E2E86">
        <w:rPr>
          <w:szCs w:val="20"/>
        </w:rPr>
        <w:t>rom</w:t>
      </w:r>
      <w:r w:rsidR="00C814FA">
        <w:rPr>
          <w:szCs w:val="20"/>
        </w:rPr>
        <w:t xml:space="preserve"> </w:t>
      </w:r>
      <w:r w:rsidR="00532066">
        <w:rPr>
          <w:szCs w:val="20"/>
        </w:rPr>
        <w:t>Illinois</w:t>
      </w:r>
      <w:r w:rsidR="00C814FA">
        <w:rPr>
          <w:szCs w:val="20"/>
        </w:rPr>
        <w:t xml:space="preserve"> recommended withdrawn, </w:t>
      </w:r>
      <w:r w:rsidR="00532066">
        <w:rPr>
          <w:szCs w:val="20"/>
        </w:rPr>
        <w:t>some</w:t>
      </w:r>
      <w:r w:rsidR="00C814FA">
        <w:rPr>
          <w:szCs w:val="20"/>
        </w:rPr>
        <w:t xml:space="preserve"> others </w:t>
      </w:r>
      <w:r w:rsidR="00C814FA" w:rsidRPr="001B29F9">
        <w:rPr>
          <w:szCs w:val="20"/>
        </w:rPr>
        <w:t xml:space="preserve">recommended further </w:t>
      </w:r>
      <w:r w:rsidR="00F7514F" w:rsidRPr="001B29F9">
        <w:rPr>
          <w:szCs w:val="20"/>
        </w:rPr>
        <w:t>development,</w:t>
      </w:r>
      <w:r w:rsidR="00C814FA" w:rsidRPr="001B29F9">
        <w:rPr>
          <w:szCs w:val="20"/>
        </w:rPr>
        <w:t xml:space="preserve"> and many recommended it to be assigned to a </w:t>
      </w:r>
      <w:r w:rsidR="000E250C" w:rsidRPr="001B29F9">
        <w:rPr>
          <w:szCs w:val="20"/>
        </w:rPr>
        <w:t>W</w:t>
      </w:r>
      <w:r w:rsidR="00C814FA" w:rsidRPr="001B29F9">
        <w:rPr>
          <w:szCs w:val="20"/>
        </w:rPr>
        <w:t xml:space="preserve">ork </w:t>
      </w:r>
      <w:r w:rsidR="000E250C" w:rsidRPr="001B29F9">
        <w:rPr>
          <w:szCs w:val="20"/>
        </w:rPr>
        <w:t>G</w:t>
      </w:r>
      <w:r w:rsidR="00C814FA" w:rsidRPr="001B29F9">
        <w:rPr>
          <w:szCs w:val="20"/>
        </w:rPr>
        <w:t xml:space="preserve">roup </w:t>
      </w:r>
      <w:r w:rsidR="00532066" w:rsidRPr="001B29F9">
        <w:rPr>
          <w:szCs w:val="20"/>
        </w:rPr>
        <w:t xml:space="preserve">for further review and development. </w:t>
      </w:r>
      <w:r w:rsidR="001B29F9" w:rsidRPr="00FD3A16">
        <w:rPr>
          <w:szCs w:val="20"/>
        </w:rPr>
        <w:t>w</w:t>
      </w:r>
      <w:r w:rsidR="00532066" w:rsidRPr="001B29F9">
        <w:rPr>
          <w:szCs w:val="20"/>
        </w:rPr>
        <w:t xml:space="preserve">eights and </w:t>
      </w:r>
      <w:r w:rsidR="001B29F9" w:rsidRPr="00FD3A16">
        <w:rPr>
          <w:szCs w:val="20"/>
        </w:rPr>
        <w:t>m</w:t>
      </w:r>
      <w:r w:rsidR="00532066" w:rsidRPr="001B29F9">
        <w:rPr>
          <w:szCs w:val="20"/>
        </w:rPr>
        <w:t xml:space="preserve">easures </w:t>
      </w:r>
      <w:r w:rsidR="001B29F9" w:rsidRPr="00FD3A16">
        <w:rPr>
          <w:szCs w:val="20"/>
        </w:rPr>
        <w:t>o</w:t>
      </w:r>
      <w:r w:rsidR="00532066" w:rsidRPr="001B29F9">
        <w:rPr>
          <w:szCs w:val="20"/>
        </w:rPr>
        <w:t xml:space="preserve">fficials, Advisors from </w:t>
      </w:r>
      <w:r w:rsidR="00116A15" w:rsidRPr="001B29F9">
        <w:rPr>
          <w:szCs w:val="20"/>
        </w:rPr>
        <w:t xml:space="preserve"> NIST </w:t>
      </w:r>
      <w:r w:rsidR="00532066" w:rsidRPr="001B29F9">
        <w:rPr>
          <w:szCs w:val="20"/>
        </w:rPr>
        <w:t xml:space="preserve">OWM, </w:t>
      </w:r>
      <w:r w:rsidR="00F7514F" w:rsidRPr="001B29F9">
        <w:rPr>
          <w:szCs w:val="20"/>
        </w:rPr>
        <w:t xml:space="preserve">FALS, </w:t>
      </w:r>
      <w:r w:rsidR="00532066" w:rsidRPr="001B29F9">
        <w:rPr>
          <w:szCs w:val="20"/>
        </w:rPr>
        <w:t xml:space="preserve">and even the submitter concurred the </w:t>
      </w:r>
      <w:r w:rsidR="003759DB" w:rsidRPr="001B29F9">
        <w:rPr>
          <w:szCs w:val="20"/>
        </w:rPr>
        <w:t xml:space="preserve">proposed </w:t>
      </w:r>
      <w:r w:rsidR="00532066" w:rsidRPr="001B29F9">
        <w:rPr>
          <w:szCs w:val="20"/>
        </w:rPr>
        <w:t>language in this item shall al</w:t>
      </w:r>
      <w:r w:rsidR="00320F53" w:rsidRPr="001B29F9">
        <w:rPr>
          <w:szCs w:val="20"/>
        </w:rPr>
        <w:t xml:space="preserve">so be included in </w:t>
      </w:r>
      <w:r w:rsidR="00532066" w:rsidRPr="001B29F9">
        <w:rPr>
          <w:szCs w:val="20"/>
        </w:rPr>
        <w:t>FLR</w:t>
      </w:r>
      <w:r w:rsidR="008F13EE" w:rsidRPr="001B29F9">
        <w:rPr>
          <w:szCs w:val="20"/>
        </w:rPr>
        <w:t xml:space="preserve"> 3.2.5</w:t>
      </w:r>
      <w:r w:rsidR="00532066" w:rsidRPr="001B29F9">
        <w:rPr>
          <w:szCs w:val="20"/>
        </w:rPr>
        <w:t xml:space="preserve">. In addition, </w:t>
      </w:r>
      <w:r w:rsidR="00A275B7" w:rsidRPr="001B29F9">
        <w:rPr>
          <w:szCs w:val="20"/>
        </w:rPr>
        <w:t xml:space="preserve">several </w:t>
      </w:r>
      <w:r w:rsidR="001B29F9" w:rsidRPr="00FD3A16">
        <w:rPr>
          <w:szCs w:val="20"/>
        </w:rPr>
        <w:t>w</w:t>
      </w:r>
      <w:r w:rsidR="00532066" w:rsidRPr="001B29F9">
        <w:rPr>
          <w:szCs w:val="20"/>
        </w:rPr>
        <w:t xml:space="preserve">eights and </w:t>
      </w:r>
      <w:r w:rsidR="001B29F9" w:rsidRPr="00FD3A16">
        <w:rPr>
          <w:szCs w:val="20"/>
        </w:rPr>
        <w:t>m</w:t>
      </w:r>
      <w:r w:rsidR="00532066" w:rsidRPr="001B29F9">
        <w:rPr>
          <w:szCs w:val="20"/>
        </w:rPr>
        <w:t xml:space="preserve">easures </w:t>
      </w:r>
      <w:r w:rsidR="001B29F9" w:rsidRPr="00FD3A16">
        <w:rPr>
          <w:szCs w:val="20"/>
        </w:rPr>
        <w:t>o</w:t>
      </w:r>
      <w:r w:rsidR="00532066" w:rsidRPr="001B29F9">
        <w:rPr>
          <w:szCs w:val="20"/>
        </w:rPr>
        <w:t>fficials</w:t>
      </w:r>
      <w:r w:rsidR="00532066">
        <w:rPr>
          <w:szCs w:val="20"/>
        </w:rPr>
        <w:t xml:space="preserve"> and NIST Advisors recommended this item to move forward contingent to Item LMD-26.1 from the L&amp;R agenda</w:t>
      </w:r>
      <w:r w:rsidR="00F7514F">
        <w:rPr>
          <w:szCs w:val="20"/>
        </w:rPr>
        <w:t xml:space="preserve"> moving forward as voting</w:t>
      </w:r>
      <w:r w:rsidR="00532066">
        <w:rPr>
          <w:szCs w:val="20"/>
        </w:rPr>
        <w:t xml:space="preserve">. </w:t>
      </w:r>
      <w:r w:rsidR="00724F6E">
        <w:rPr>
          <w:szCs w:val="20"/>
        </w:rPr>
        <w:t xml:space="preserve">  </w:t>
      </w:r>
    </w:p>
    <w:p w14:paraId="06CC4517" w14:textId="6BD1D597" w:rsidR="00EC3CDB" w:rsidRDefault="009B1AC8" w:rsidP="00347DDC">
      <w:pPr>
        <w:keepNext/>
        <w:keepLines/>
      </w:pPr>
      <w:r>
        <w:lastRenderedPageBreak/>
        <w:t xml:space="preserve">The Committee recommends this item be assigned to a Work Group for further vetting and developing. </w:t>
      </w:r>
      <w:r w:rsidR="001A7C53">
        <w:t xml:space="preserve">The Task Group will be charged </w:t>
      </w:r>
      <w:r w:rsidR="004D1B00">
        <w:t xml:space="preserve">with determining if </w:t>
      </w:r>
      <w:r w:rsidR="0049434B">
        <w:t xml:space="preserve">the </w:t>
      </w:r>
      <w:r w:rsidR="002629A5">
        <w:t>item</w:t>
      </w:r>
      <w:r w:rsidR="0049434B">
        <w:t xml:space="preserve"> is needed or not</w:t>
      </w:r>
      <w:r w:rsidR="00C91CAF">
        <w:t xml:space="preserve">, </w:t>
      </w:r>
      <w:r w:rsidR="00B46909">
        <w:t xml:space="preserve">and if yes, </w:t>
      </w:r>
      <w:r w:rsidR="001F3CC5">
        <w:t>developing the final language and including it in FLR</w:t>
      </w:r>
      <w:r w:rsidR="00785948">
        <w:t xml:space="preserve"> 3.2.5</w:t>
      </w:r>
      <w:r w:rsidR="001F3CC5">
        <w:t xml:space="preserve"> to alig</w:t>
      </w:r>
      <w:r w:rsidR="002C1A05">
        <w:t>n</w:t>
      </w:r>
      <w:r w:rsidR="001F3CC5">
        <w:t xml:space="preserve"> both sections. In addition, </w:t>
      </w:r>
      <w:r w:rsidR="005414AF">
        <w:t xml:space="preserve">the group will recommend if the items shall move forward </w:t>
      </w:r>
      <w:r w:rsidR="00A678E5">
        <w:t xml:space="preserve">as voting </w:t>
      </w:r>
      <w:r w:rsidR="005414AF">
        <w:t xml:space="preserve">contingent </w:t>
      </w:r>
      <w:r w:rsidR="00283DA6">
        <w:t xml:space="preserve"> </w:t>
      </w:r>
      <w:r w:rsidR="00A678E5">
        <w:t xml:space="preserve">to one another </w:t>
      </w:r>
      <w:r w:rsidR="002629A5">
        <w:t>or not</w:t>
      </w:r>
      <w:r w:rsidR="009E3962">
        <w:t>.</w:t>
      </w:r>
    </w:p>
    <w:p w14:paraId="3F358C5E" w14:textId="149B8D76" w:rsidR="0076491B" w:rsidRDefault="00C016C5" w:rsidP="0076491B">
      <w:pPr>
        <w:rPr>
          <w:b/>
        </w:rPr>
      </w:pPr>
      <w:r w:rsidRPr="00E025F9">
        <w:rPr>
          <w:b/>
        </w:rPr>
        <w:t>Regional Associations’ Comments:</w:t>
      </w:r>
    </w:p>
    <w:p w14:paraId="020237FB" w14:textId="792B2133" w:rsidR="00B55C17" w:rsidRDefault="00C8190C" w:rsidP="001A03F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37338ABE" w14:textId="79776729" w:rsidR="00FF211F" w:rsidRDefault="00FF211F" w:rsidP="001A03F1">
      <w:pPr>
        <w:rPr>
          <w:rFonts w:eastAsia="Times New Roman"/>
          <w:szCs w:val="24"/>
        </w:rPr>
      </w:pPr>
      <w:r>
        <w:rPr>
          <w:rFonts w:eastAsia="Times New Roman"/>
          <w:szCs w:val="24"/>
        </w:rPr>
        <w:t>Mr. Matt Sheehan (Chevron) gave a presentation, which is available on the WWMA website, and recommended a voting status</w:t>
      </w:r>
      <w:r w:rsidR="001A03F1">
        <w:rPr>
          <w:rFonts w:eastAsia="Times New Roman"/>
          <w:szCs w:val="24"/>
        </w:rPr>
        <w:t>.</w:t>
      </w:r>
    </w:p>
    <w:p w14:paraId="73465005" w14:textId="7F5F7764" w:rsidR="00FF211F" w:rsidRDefault="00FF211F" w:rsidP="001A03F1">
      <w:pPr>
        <w:rPr>
          <w:rFonts w:eastAsia="Times New Roman"/>
          <w:szCs w:val="24"/>
        </w:rPr>
      </w:pPr>
      <w:r>
        <w:rPr>
          <w:rFonts w:eastAsia="Times New Roman"/>
          <w:szCs w:val="24"/>
        </w:rPr>
        <w:t xml:space="preserve">Russ Lewis (Marathon Petroleum) supported a voting status. </w:t>
      </w:r>
    </w:p>
    <w:p w14:paraId="10C92FEB" w14:textId="5698BD1A" w:rsidR="00FF211F" w:rsidRDefault="00FF211F" w:rsidP="001A03F1">
      <w:pPr>
        <w:rPr>
          <w:rFonts w:eastAsia="Times New Roman"/>
          <w:szCs w:val="24"/>
        </w:rPr>
      </w:pPr>
      <w:r>
        <w:rPr>
          <w:rFonts w:eastAsia="Times New Roman"/>
          <w:szCs w:val="24"/>
        </w:rPr>
        <w:t>Mr. Kevin Schnepp (</w:t>
      </w:r>
      <w:r w:rsidRPr="00DD1C0A">
        <w:rPr>
          <w:rFonts w:eastAsia="Times New Roman"/>
          <w:szCs w:val="24"/>
        </w:rPr>
        <w:t>California</w:t>
      </w:r>
      <w:r>
        <w:rPr>
          <w:rFonts w:eastAsia="Times New Roman"/>
          <w:szCs w:val="24"/>
        </w:rPr>
        <w:t xml:space="preserve"> Division of</w:t>
      </w:r>
      <w:r w:rsidRPr="00DD1C0A">
        <w:rPr>
          <w:rFonts w:eastAsia="Times New Roman"/>
          <w:szCs w:val="24"/>
        </w:rPr>
        <w:t xml:space="preserve"> Measurement Standards</w:t>
      </w:r>
      <w:r>
        <w:rPr>
          <w:rFonts w:eastAsia="Times New Roman"/>
          <w:szCs w:val="24"/>
        </w:rPr>
        <w:t xml:space="preserve">) made the comment that there have been efforts to harmonize the </w:t>
      </w:r>
      <w:r w:rsidRPr="002A5859">
        <w:rPr>
          <w:rFonts w:eastAsia="Times New Roman"/>
          <w:szCs w:val="24"/>
        </w:rPr>
        <w:t>Uniform Fuels and Automotive Lubricants Regulation</w:t>
      </w:r>
      <w:r>
        <w:rPr>
          <w:rFonts w:eastAsia="Times New Roman"/>
          <w:szCs w:val="24"/>
        </w:rPr>
        <w:t xml:space="preserve"> with the </w:t>
      </w:r>
      <w:r w:rsidRPr="00310F85">
        <w:rPr>
          <w:rFonts w:eastAsia="Times New Roman"/>
          <w:szCs w:val="24"/>
        </w:rPr>
        <w:t>Uniform Regulation for the Method of Sale of Commodities</w:t>
      </w:r>
      <w:r>
        <w:rPr>
          <w:rFonts w:eastAsia="Times New Roman"/>
          <w:szCs w:val="24"/>
        </w:rPr>
        <w:t xml:space="preserve"> and that FLR 3.2.5 would need to be harmonized with this MOS language. </w:t>
      </w:r>
    </w:p>
    <w:p w14:paraId="622A9AC6" w14:textId="7AA4DFF4" w:rsidR="00FF211F" w:rsidRDefault="00FF211F" w:rsidP="001A03F1">
      <w:pPr>
        <w:rPr>
          <w:rFonts w:eastAsia="Times New Roman"/>
          <w:szCs w:val="24"/>
        </w:rPr>
      </w:pPr>
      <w:r>
        <w:rPr>
          <w:rFonts w:eastAsia="Times New Roman"/>
          <w:szCs w:val="24"/>
        </w:rPr>
        <w:t>The submitter acknowledged that this item is a companion to LMD-26.1, on the Specifications and Tolerances Committee agenda, and provided a roster of the industry-led Density Correction Work Group that contributed to the development of this item. This roster of participants is posted on the WWMA website.</w:t>
      </w:r>
    </w:p>
    <w:p w14:paraId="7961205D" w14:textId="154E81D1" w:rsidR="00FF211F" w:rsidRPr="00A43BF4" w:rsidRDefault="00FF211F" w:rsidP="001A03F1">
      <w:pPr>
        <w:rPr>
          <w:rFonts w:eastAsia="Times New Roman"/>
          <w:szCs w:val="24"/>
        </w:rPr>
      </w:pPr>
      <w:r>
        <w:rPr>
          <w:rFonts w:eastAsia="Times New Roman"/>
          <w:szCs w:val="24"/>
        </w:rPr>
        <w:t>The WWMA L&amp;R Committee recommends a voting status.</w:t>
      </w:r>
    </w:p>
    <w:p w14:paraId="657CC091" w14:textId="1E4F40BA" w:rsidR="00C8190C" w:rsidRDefault="00C8190C" w:rsidP="00C8190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60E61">
        <w:rPr>
          <w:rFonts w:eastAsia="Times New Roman"/>
          <w:szCs w:val="24"/>
          <w:u w:val="single"/>
        </w:rPr>
        <w:t>Interim</w:t>
      </w:r>
      <w:r w:rsidRPr="0051426D">
        <w:rPr>
          <w:rFonts w:eastAsia="Times New Roman"/>
          <w:szCs w:val="24"/>
          <w:u w:val="single"/>
        </w:rPr>
        <w:t xml:space="preserve"> Meeting:</w:t>
      </w:r>
    </w:p>
    <w:p w14:paraId="732DDBFA" w14:textId="6702B3C0" w:rsidR="00231C3E" w:rsidRPr="001A03F1" w:rsidRDefault="00B615EC" w:rsidP="001A03F1">
      <w:pPr>
        <w:rPr>
          <w:rFonts w:eastAsia="Times New Roman"/>
          <w:szCs w:val="24"/>
        </w:rPr>
      </w:pPr>
      <w:r>
        <w:rPr>
          <w:rFonts w:eastAsia="Times New Roman"/>
          <w:szCs w:val="24"/>
        </w:rPr>
        <w:t>Individuals were concerned on the number of regulators not being involved in API’s work.  Several regulators and individuals recommended withdrawal or an assigned status and one individual was in support of voting status.</w:t>
      </w:r>
    </w:p>
    <w:p w14:paraId="0E111434" w14:textId="1AC8B1E6" w:rsidR="00B615EC" w:rsidRPr="00DA6708" w:rsidRDefault="00B615EC" w:rsidP="00C8190C">
      <w:pPr>
        <w:rPr>
          <w:rFonts w:eastAsia="Times New Roman"/>
          <w:szCs w:val="24"/>
        </w:rPr>
      </w:pPr>
      <w:r w:rsidRPr="00DA6708">
        <w:rPr>
          <w:rFonts w:eastAsia="Times New Roman"/>
          <w:szCs w:val="24"/>
        </w:rPr>
        <w:t xml:space="preserve">The CWMA L&amp;R Committee recommends </w:t>
      </w:r>
      <w:r w:rsidR="00DA6708">
        <w:rPr>
          <w:rFonts w:eastAsia="Times New Roman"/>
          <w:szCs w:val="24"/>
        </w:rPr>
        <w:t xml:space="preserve">an informational status for this item. </w:t>
      </w:r>
    </w:p>
    <w:p w14:paraId="17366300" w14:textId="77777777" w:rsidR="00A87C98" w:rsidRDefault="00C8190C" w:rsidP="00C8190C">
      <w:pPr>
        <w:jc w:val="left"/>
        <w:rPr>
          <w:u w:val="single"/>
        </w:rPr>
      </w:pPr>
      <w:r w:rsidRPr="006C7BFB">
        <w:rPr>
          <w:u w:val="single"/>
        </w:rPr>
        <w:t>NEWMA 202</w:t>
      </w:r>
      <w:r>
        <w:rPr>
          <w:u w:val="single"/>
        </w:rPr>
        <w:t>5</w:t>
      </w:r>
      <w:r w:rsidRPr="006C7BFB">
        <w:rPr>
          <w:u w:val="single"/>
        </w:rPr>
        <w:t xml:space="preserve"> Interim Meeting:</w:t>
      </w:r>
    </w:p>
    <w:p w14:paraId="641B72FE" w14:textId="77777777" w:rsidR="00712C69" w:rsidRDefault="00D70306" w:rsidP="001A03F1">
      <w:pPr>
        <w:rPr>
          <w:rFonts w:eastAsia="Times New Roman"/>
          <w:szCs w:val="24"/>
        </w:rPr>
      </w:pPr>
      <w:r w:rsidRPr="00863763">
        <w:rPr>
          <w:rFonts w:eastAsia="Times New Roman"/>
          <w:szCs w:val="24"/>
        </w:rPr>
        <w:t xml:space="preserve">A </w:t>
      </w:r>
      <w:r>
        <w:rPr>
          <w:rFonts w:eastAsia="Times New Roman"/>
          <w:szCs w:val="24"/>
        </w:rPr>
        <w:t xml:space="preserve">presentation was given by a representative of American Petroleum Institute (API), which explained the growth in a final product when ethanol and gasoline are blended together.  He commented that for those terminals that do not have a side-stream meter, rather relying on ratio blending meters, a density correction system would allow an accurate calculation of the growth of the product, and this item would require the results of that calculation to be on product transfer documents.  The representative from API recommended a voting status.  A representative from Marathon Petroleum commented that their older terminals were designed to deliver “neat” hydrocarbons and when ethanol blending was required, they had to retrofit the terminals.  She pointed out that a flow meter needs a specific length of unobstructed pipe to get the symmetrical velocity profile for an accurate measurement.  If a side stream configuration is not possible or practical, then a density correction system would need to be used.  She indicated that these systems allow accurate delivery to the customers.  Marathon Petroleum supports the proposal and requests a voting status.  A representative from Growth Energy commented that the company implements ethanol into the fuel stream in the US in various ways and is curious how this would apply to retailers.  There was discussion between API and Growth Energy on this topic, and the committee indicated that this proposal was specific to wholesale meters and if there were further questions about possible retail implementation, the two representatives should contact each other.  A regulator from New Jersey commented that this item is interdependent on the passage of LMD-26.1, and if the practice of density correction systems is allowed, then the corrections should absolutely be recorded on the invoice.  New Jersey recommended a Withdrawn status, but also recommended that if both LMD-26.1 and MOS-26.1 move forward, then NCWM should find a way to have both items heard in tandem through the process.  A representative from TSL Consulting commented that there is language in the Uniform Engine Fuels and Automotive Lubricants Regulation that is almost identical to the original language in the Uniform Method of Sale, and asked this committee to make a recommendation to harmonize the languages, especially for States that adopt both.  </w:t>
      </w:r>
    </w:p>
    <w:p w14:paraId="5BA154DA" w14:textId="45017612" w:rsidR="00D70306" w:rsidRPr="001A03F1" w:rsidRDefault="00D70306" w:rsidP="001A03F1">
      <w:pPr>
        <w:rPr>
          <w:rFonts w:eastAsia="Times New Roman"/>
          <w:szCs w:val="24"/>
        </w:rPr>
      </w:pPr>
      <w:r>
        <w:rPr>
          <w:rFonts w:eastAsia="Times New Roman"/>
          <w:szCs w:val="24"/>
        </w:rPr>
        <w:lastRenderedPageBreak/>
        <w:t>He also commented that this item is not interdependent on LMD-26.1, rather it is complimentary, as the handbook does not currently prohibit density correction.  The regulator from New Jersey agreed with this comment.  The representative from TSL Consulting recommended Voting status.</w:t>
      </w:r>
    </w:p>
    <w:p w14:paraId="63A7AAD8" w14:textId="4E78AC64" w:rsidR="001A03F1" w:rsidRDefault="00D70306" w:rsidP="001A03F1">
      <w:pPr>
        <w:rPr>
          <w:u w:val="single"/>
        </w:rPr>
      </w:pPr>
      <w:r>
        <w:rPr>
          <w:rFonts w:eastAsia="Times New Roman"/>
          <w:szCs w:val="24"/>
        </w:rPr>
        <w:t>After hearing comments from the floor and reviewing the presentations provided by API, the committee recommended a Developing status, and the body concurred.  The committee also recommends that the submitter work with the NCWM L&amp;R Committee to identify the language in the Uniform Fuels and Automotive Lubricants Regulation Section 3.2.5 Product Transfer Document (PTD) Requirements that need to be modified so they align with this proposal.</w:t>
      </w:r>
    </w:p>
    <w:p w14:paraId="6D50B543" w14:textId="347E6FD7" w:rsidR="00FE3383" w:rsidRDefault="00C8190C" w:rsidP="001A03F1">
      <w:pPr>
        <w:rPr>
          <w:u w:val="single"/>
        </w:rPr>
      </w:pPr>
      <w:r>
        <w:rPr>
          <w:u w:val="single"/>
        </w:rPr>
        <w:t>S</w:t>
      </w:r>
      <w:r w:rsidRPr="00EF1ACC">
        <w:rPr>
          <w:u w:val="single"/>
        </w:rPr>
        <w:t>WMA 202</w:t>
      </w:r>
      <w:r>
        <w:rPr>
          <w:u w:val="single"/>
        </w:rPr>
        <w:t>5</w:t>
      </w:r>
      <w:r w:rsidR="00A60E61">
        <w:rPr>
          <w:u w:val="single"/>
        </w:rPr>
        <w:t xml:space="preserve"> Annual</w:t>
      </w:r>
      <w:r w:rsidRPr="00EF1ACC">
        <w:rPr>
          <w:u w:val="single"/>
        </w:rPr>
        <w:t xml:space="preserve"> Meeting</w:t>
      </w:r>
      <w:r>
        <w:rPr>
          <w:u w:val="single"/>
        </w:rPr>
        <w:t>:</w:t>
      </w:r>
    </w:p>
    <w:p w14:paraId="7CD1EAD4" w14:textId="77DAB3CF" w:rsidR="00FE3383" w:rsidRDefault="00FE3383" w:rsidP="001A03F1">
      <w:pPr>
        <w:rPr>
          <w:rFonts w:eastAsia="Times New Roman"/>
          <w:szCs w:val="24"/>
        </w:rPr>
      </w:pPr>
      <w:r>
        <w:rPr>
          <w:rFonts w:eastAsia="Times New Roman"/>
          <w:szCs w:val="24"/>
        </w:rPr>
        <w:t xml:space="preserve">Mr. Prentiss Searles with API presented the item. </w:t>
      </w:r>
    </w:p>
    <w:p w14:paraId="2D74C056" w14:textId="4247EFDD" w:rsidR="00FE3383" w:rsidRDefault="00FE3383" w:rsidP="001A03F1">
      <w:pPr>
        <w:rPr>
          <w:rFonts w:eastAsia="Times New Roman"/>
          <w:szCs w:val="24"/>
        </w:rPr>
      </w:pPr>
      <w:r>
        <w:rPr>
          <w:rFonts w:eastAsia="Times New Roman"/>
          <w:szCs w:val="24"/>
        </w:rPr>
        <w:t>Mr. Randy Jennings as the Vice Chair with FALS commented that the conforming amendment to the proposal to include F.3.2.5. not be added to this proposal. That Handbook 130 engine fuel regulation focuses on quality.</w:t>
      </w:r>
    </w:p>
    <w:p w14:paraId="6384329B" w14:textId="2162E398" w:rsidR="00FE3383" w:rsidRDefault="00FE3383" w:rsidP="001A03F1">
      <w:pPr>
        <w:rPr>
          <w:rFonts w:eastAsia="Times New Roman"/>
          <w:szCs w:val="24"/>
        </w:rPr>
      </w:pPr>
      <w:r>
        <w:rPr>
          <w:rFonts w:eastAsia="Times New Roman"/>
          <w:szCs w:val="24"/>
        </w:rPr>
        <w:t>Mr. Matt Shein with Chevron supports this item and recommends Voting status.</w:t>
      </w:r>
    </w:p>
    <w:p w14:paraId="60531601" w14:textId="568EF133" w:rsidR="00FE3383" w:rsidRDefault="00FE3383" w:rsidP="001A03F1">
      <w:pPr>
        <w:rPr>
          <w:rFonts w:eastAsia="Times New Roman"/>
          <w:szCs w:val="24"/>
        </w:rPr>
      </w:pPr>
      <w:r>
        <w:rPr>
          <w:rFonts w:eastAsia="Times New Roman"/>
          <w:szCs w:val="24"/>
        </w:rPr>
        <w:t>Mr. Russ Lewis with Marathon Petroleum echoes Chevrons’ statement and recommends a Voting status.</w:t>
      </w:r>
    </w:p>
    <w:p w14:paraId="40A0D30B" w14:textId="4BD0995D" w:rsidR="00FE3383" w:rsidRDefault="00FE3383" w:rsidP="001A03F1">
      <w:pPr>
        <w:rPr>
          <w:rFonts w:eastAsia="Times New Roman"/>
          <w:szCs w:val="24"/>
        </w:rPr>
      </w:pPr>
      <w:r>
        <w:rPr>
          <w:rFonts w:eastAsia="Times New Roman"/>
          <w:szCs w:val="24"/>
        </w:rPr>
        <w:t xml:space="preserve">Mr. Jared Scott with Exxon Mobile echoes Chevrons’ statements and recommends a Voting status. </w:t>
      </w:r>
    </w:p>
    <w:p w14:paraId="7DED2AB0" w14:textId="4055C0B7" w:rsidR="00FE3383" w:rsidRDefault="00FE3383" w:rsidP="001A03F1">
      <w:pPr>
        <w:rPr>
          <w:rFonts w:eastAsia="Times New Roman"/>
          <w:szCs w:val="24"/>
        </w:rPr>
      </w:pPr>
      <w:r>
        <w:rPr>
          <w:rFonts w:eastAsia="Times New Roman"/>
          <w:szCs w:val="24"/>
        </w:rPr>
        <w:t xml:space="preserve">Ms. Alison Wilkinson, with the state of Maryland, believes this is not ready to be moved forward and is not fully developed and suggests additional oversite review from regulators. </w:t>
      </w:r>
    </w:p>
    <w:p w14:paraId="3F5B2661" w14:textId="2F881137" w:rsidR="00FE3383" w:rsidRPr="00D70306" w:rsidRDefault="00FE3383" w:rsidP="001A03F1">
      <w:pPr>
        <w:rPr>
          <w:rFonts w:eastAsia="Times New Roman"/>
          <w:szCs w:val="24"/>
        </w:rPr>
      </w:pPr>
      <w:r>
        <w:rPr>
          <w:rFonts w:eastAsia="Times New Roman"/>
          <w:szCs w:val="24"/>
        </w:rPr>
        <w:t>The Committee has accepted the request that was made from the floor to not make a recommendation to NCWM to include the conforming amendment F.3.2.5. to this item. Based on other comments made from the floor, the Committee finds this item has merit, is fully developed, and recommends a Voting status.</w:t>
      </w:r>
    </w:p>
    <w:p w14:paraId="204E546C" w14:textId="5C178C16" w:rsidR="00C016C5" w:rsidRDefault="00C016C5" w:rsidP="00C016C5">
      <w:r>
        <w:t xml:space="preserve">Additional letters, presentation and data may have been submitted for consideration with this item.  Please refer to </w:t>
      </w:r>
      <w:hyperlink r:id="rId26" w:history="1">
        <w:r w:rsidRPr="002A1164">
          <w:rPr>
            <w:rStyle w:val="Hyperlink"/>
          </w:rPr>
          <w:t>https://www.ncwm.com/publication-15</w:t>
        </w:r>
      </w:hyperlink>
      <w:r>
        <w:t xml:space="preserve"> to review these documents.</w:t>
      </w:r>
    </w:p>
    <w:p w14:paraId="181ADDAD" w14:textId="52329DA6" w:rsidR="00E34C39" w:rsidRDefault="00E34C39" w:rsidP="00E34C39">
      <w:pPr>
        <w:pStyle w:val="Heading1"/>
      </w:pPr>
      <w:bookmarkStart w:id="76" w:name="_Toc224019618"/>
      <w:r>
        <w:t>UPR – Uniform Unit Pricing Regulation</w:t>
      </w:r>
      <w:bookmarkEnd w:id="76"/>
    </w:p>
    <w:p w14:paraId="551285A3" w14:textId="66219238" w:rsidR="00E34C39" w:rsidRDefault="00E34C39" w:rsidP="00E34C39">
      <w:pPr>
        <w:pStyle w:val="ItemHeading"/>
        <w:rPr>
          <w:szCs w:val="26"/>
        </w:rPr>
      </w:pPr>
      <w:bookmarkStart w:id="77" w:name="_Toc224019619"/>
      <w:r>
        <w:t>UPR-26.1</w:t>
      </w:r>
      <w:r>
        <w:tab/>
      </w:r>
      <w:r w:rsidR="00546AC3">
        <w:t>V</w:t>
      </w:r>
      <w:r>
        <w:tab/>
        <w:t>Uniform Unit Pricing Regulation: Multiple Sections</w:t>
      </w:r>
      <w:bookmarkEnd w:id="77"/>
    </w:p>
    <w:p w14:paraId="429DAF29" w14:textId="77777777" w:rsidR="00E34C39" w:rsidRDefault="00E34C39" w:rsidP="00E34C39">
      <w:pPr>
        <w:spacing w:after="0"/>
      </w:pPr>
    </w:p>
    <w:p w14:paraId="36558EE3" w14:textId="77777777" w:rsidR="00E34C39" w:rsidRDefault="00E34C39" w:rsidP="00E34C39">
      <w:pPr>
        <w:spacing w:after="0"/>
        <w:rPr>
          <w:b/>
        </w:rPr>
      </w:pPr>
      <w:r>
        <w:rPr>
          <w:b/>
        </w:rPr>
        <w:t>Source:</w:t>
      </w:r>
    </w:p>
    <w:p w14:paraId="0B576FE3" w14:textId="77777777" w:rsidR="00E34C39" w:rsidRDefault="00E34C39" w:rsidP="00E34C39">
      <w:r>
        <w:t>NIST office of Weights and Measures</w:t>
      </w:r>
    </w:p>
    <w:p w14:paraId="346C0DA4" w14:textId="77777777" w:rsidR="00E34C39" w:rsidRDefault="00E34C39" w:rsidP="00E34C39">
      <w:pPr>
        <w:spacing w:after="0"/>
        <w:rPr>
          <w:b/>
        </w:rPr>
      </w:pPr>
      <w:r>
        <w:rPr>
          <w:b/>
        </w:rPr>
        <w:t>Purpose:</w:t>
      </w:r>
    </w:p>
    <w:p w14:paraId="2372F52A" w14:textId="44C6D759" w:rsidR="00E34C39" w:rsidRPr="00FF211F" w:rsidRDefault="00E34C39" w:rsidP="00FF211F">
      <w:r w:rsidRPr="00FF211F">
        <w:t>The purpose of this proposal reflects necessary changes to align unit pricing practices with modern consumer needs, evolving retail environments, and technological advancements. These revisions aim to enhance the clarity, consistency, and accessibility of unit pricing across various retail formats, including digital marketplaces and brick-and-mortar retail establishments. By standardizing best practices, the updates improve consumers' ability to compare prices accurately, regardless of product type, packaging, or sales channel.</w:t>
      </w:r>
    </w:p>
    <w:p w14:paraId="422E7DBC" w14:textId="04FBD59A" w:rsidR="00E34C39" w:rsidRPr="001A03F1" w:rsidRDefault="00E34C39" w:rsidP="001A03F1">
      <w:r w:rsidRPr="00FF211F">
        <w:t>States should adopt the revised regulation to promote uniformity, protect consumer rights, and support informed purchasing decisions. Uniform adoption reduces confusion and compliance burdens on interstate retailers while strengthening enforcement of fair pricing practices. It ensures that all consumers, regardless of their location or abilities, benefit from accurate, legible, and meaningful unit price information. Adopting this regulation also signals a commitment to economic equity and consumer protection, helping states foster competitive markets that prioritize trust, fairness, and efficiency in both brick-and-mortar and digital retail environments.</w:t>
      </w:r>
    </w:p>
    <w:p w14:paraId="0C9A7AC1" w14:textId="77777777" w:rsidR="00E34C39" w:rsidRDefault="00E34C39" w:rsidP="00E34C39">
      <w:pPr>
        <w:spacing w:after="0"/>
        <w:rPr>
          <w:b/>
        </w:rPr>
      </w:pPr>
      <w:r>
        <w:rPr>
          <w:b/>
        </w:rPr>
        <w:lastRenderedPageBreak/>
        <w:t>Item under Consideration:</w:t>
      </w:r>
    </w:p>
    <w:p w14:paraId="1D63EF58" w14:textId="77777777" w:rsidR="00E34C39" w:rsidRDefault="00E34C39" w:rsidP="00E34C39">
      <w:r>
        <w:t>Amend the NIST Handbook 130 Uniform Unit Pricing Regulation as follows:</w:t>
      </w:r>
    </w:p>
    <w:p w14:paraId="1DE1C369" w14:textId="77777777" w:rsidR="00E34C39" w:rsidRDefault="00E34C39" w:rsidP="00E34C39">
      <w:pPr>
        <w:pStyle w:val="NormalWeb"/>
        <w:jc w:val="center"/>
        <w:rPr>
          <w:rFonts w:eastAsia="Calibri"/>
          <w:b/>
          <w:bCs/>
          <w:szCs w:val="22"/>
        </w:rPr>
      </w:pPr>
      <w:r>
        <w:rPr>
          <w:rFonts w:eastAsia="Calibri"/>
          <w:b/>
          <w:bCs/>
          <w:szCs w:val="22"/>
        </w:rPr>
        <w:t>Uniform Unit Pricing Regulation</w:t>
      </w:r>
    </w:p>
    <w:p w14:paraId="79124EB6" w14:textId="77777777" w:rsidR="00E34C39" w:rsidRDefault="00E34C39" w:rsidP="00E34C39">
      <w:pPr>
        <w:tabs>
          <w:tab w:val="left" w:pos="360"/>
        </w:tabs>
        <w:spacing w:after="0"/>
        <w:jc w:val="center"/>
        <w:rPr>
          <w:iCs/>
          <w:color w:val="000000"/>
          <w:szCs w:val="24"/>
        </w:rPr>
      </w:pPr>
      <w:r>
        <w:rPr>
          <w:iCs/>
          <w:color w:val="000000"/>
          <w:szCs w:val="24"/>
        </w:rPr>
        <w:t>as adopted by</w:t>
      </w:r>
    </w:p>
    <w:p w14:paraId="4E628577" w14:textId="77777777" w:rsidR="00E34C39" w:rsidRDefault="00E34C39" w:rsidP="00E34C39">
      <w:pPr>
        <w:pStyle w:val="NormalWeb"/>
        <w:jc w:val="center"/>
        <w:rPr>
          <w:b/>
          <w:sz w:val="20"/>
          <w:szCs w:val="20"/>
        </w:rPr>
      </w:pPr>
      <w:r>
        <w:rPr>
          <w:rFonts w:eastAsia="Calibri"/>
          <w:iCs/>
          <w:color w:val="000000"/>
          <w:sz w:val="20"/>
        </w:rPr>
        <w:t xml:space="preserve">The National </w:t>
      </w:r>
      <w:r>
        <w:rPr>
          <w:rFonts w:eastAsia="Calibri"/>
          <w:iCs/>
          <w:strike/>
          <w:color w:val="000000"/>
          <w:sz w:val="20"/>
        </w:rPr>
        <w:t>Conference</w:t>
      </w:r>
      <w:r>
        <w:rPr>
          <w:rFonts w:eastAsia="Calibri"/>
          <w:b/>
          <w:bCs/>
          <w:iCs/>
          <w:color w:val="000000"/>
          <w:sz w:val="20"/>
          <w:u w:val="single"/>
        </w:rPr>
        <w:t>Council</w:t>
      </w:r>
      <w:r>
        <w:rPr>
          <w:rFonts w:eastAsia="Calibri"/>
          <w:iCs/>
          <w:color w:val="000000"/>
          <w:sz w:val="20"/>
        </w:rPr>
        <w:t xml:space="preserve"> on Weights and Measures</w:t>
      </w:r>
    </w:p>
    <w:p w14:paraId="34A70F0E" w14:textId="77777777" w:rsidR="00E34C39" w:rsidRDefault="00E34C39" w:rsidP="00E34C39">
      <w:pPr>
        <w:tabs>
          <w:tab w:val="left" w:pos="360"/>
        </w:tabs>
        <w:jc w:val="left"/>
        <w:rPr>
          <w:b/>
          <w:bCs/>
          <w:color w:val="000000"/>
        </w:rPr>
      </w:pPr>
      <w:bookmarkStart w:id="78" w:name="_Toc173470310"/>
      <w:bookmarkStart w:id="79" w:name="_Toc173470682"/>
      <w:bookmarkStart w:id="80" w:name="_Toc173471544"/>
      <w:bookmarkStart w:id="81" w:name="_Toc173474192"/>
      <w:bookmarkStart w:id="82" w:name="_Toc173771788"/>
      <w:r>
        <w:rPr>
          <w:b/>
          <w:bCs/>
          <w:color w:val="000000"/>
        </w:rPr>
        <w:t>1.  Background</w:t>
      </w:r>
      <w:bookmarkEnd w:id="78"/>
      <w:bookmarkEnd w:id="79"/>
      <w:bookmarkEnd w:id="80"/>
      <w:bookmarkEnd w:id="81"/>
      <w:bookmarkEnd w:id="82"/>
    </w:p>
    <w:p w14:paraId="07F96A59" w14:textId="77777777" w:rsidR="00E34C39" w:rsidRDefault="00E34C39" w:rsidP="00E34C39">
      <w:pPr>
        <w:tabs>
          <w:tab w:val="left" w:pos="360"/>
        </w:tabs>
        <w:jc w:val="left"/>
        <w:rPr>
          <w:bCs/>
          <w:iCs/>
          <w:color w:val="000000"/>
          <w:szCs w:val="20"/>
        </w:rPr>
      </w:pPr>
      <w:r>
        <w:rPr>
          <w:bCs/>
          <w:iCs/>
          <w:color w:val="000000"/>
          <w:szCs w:val="20"/>
        </w:rPr>
        <w:t>The Uniform Unit Pricing Regulation</w:t>
      </w:r>
      <w:r>
        <w:fldChar w:fldCharType="begin"/>
      </w:r>
      <w:r>
        <w:rPr>
          <w:iCs/>
          <w:color w:val="000000"/>
          <w:szCs w:val="20"/>
        </w:rPr>
        <w:instrText>xe "Uniform Unit Pricing Regulation"</w:instrText>
      </w:r>
      <w:r>
        <w:fldChar w:fldCharType="end"/>
      </w:r>
      <w:r>
        <w:rPr>
          <w:bCs/>
          <w:iCs/>
          <w:color w:val="000000"/>
          <w:szCs w:val="20"/>
        </w:rPr>
        <w:t xml:space="preserve"> (</w:t>
      </w:r>
      <w:r>
        <w:rPr>
          <w:b/>
          <w:iCs/>
          <w:color w:val="000000"/>
          <w:szCs w:val="20"/>
          <w:u w:val="single"/>
        </w:rPr>
        <w:t>U</w:t>
      </w:r>
      <w:r>
        <w:rPr>
          <w:bCs/>
          <w:iCs/>
          <w:color w:val="000000"/>
          <w:szCs w:val="20"/>
        </w:rPr>
        <w:t xml:space="preserve">UPR) (renamed in 1983) provides a national approach to the subject for those jurisdictions choosing to adopt such a regulation.  The traditional approach of the </w:t>
      </w:r>
      <w:r>
        <w:rPr>
          <w:bCs/>
          <w:iCs/>
          <w:strike/>
          <w:color w:val="000000"/>
          <w:szCs w:val="20"/>
        </w:rPr>
        <w:t>Conference</w:t>
      </w:r>
      <w:r>
        <w:rPr>
          <w:b/>
          <w:iCs/>
          <w:color w:val="000000"/>
          <w:szCs w:val="20"/>
          <w:u w:val="single"/>
        </w:rPr>
        <w:t>Council</w:t>
      </w:r>
      <w:r>
        <w:rPr>
          <w:bCs/>
          <w:iCs/>
          <w:color w:val="000000"/>
          <w:szCs w:val="20"/>
        </w:rPr>
        <w:t xml:space="preserve"> in drafting Uniform Regulations has been to design specific implementing Regulations for the enforcement of the broader requirements of the Uniform Weights and Measures Law.  Given the authority of Sections 12</w:t>
      </w:r>
      <w:r>
        <w:rPr>
          <w:b/>
          <w:iCs/>
          <w:color w:val="000000"/>
          <w:szCs w:val="20"/>
          <w:u w:val="single"/>
        </w:rPr>
        <w:t>11</w:t>
      </w:r>
      <w:r>
        <w:rPr>
          <w:bCs/>
          <w:iCs/>
          <w:color w:val="000000"/>
          <w:szCs w:val="20"/>
        </w:rPr>
        <w:t>.(c) and (d), and the mandate of Section </w:t>
      </w:r>
      <w:r>
        <w:rPr>
          <w:bCs/>
          <w:iCs/>
          <w:strike/>
          <w:color w:val="000000"/>
          <w:szCs w:val="20"/>
        </w:rPr>
        <w:t>16</w:t>
      </w:r>
      <w:r>
        <w:rPr>
          <w:b/>
          <w:iCs/>
          <w:color w:val="000000"/>
          <w:szCs w:val="20"/>
          <w:u w:val="single"/>
        </w:rPr>
        <w:t>15</w:t>
      </w:r>
      <w:r>
        <w:rPr>
          <w:bCs/>
          <w:iCs/>
          <w:color w:val="000000"/>
          <w:szCs w:val="20"/>
        </w:rPr>
        <w:t>. of this Law, as well as the trend in unit pricing</w:t>
      </w:r>
      <w:r>
        <w:fldChar w:fldCharType="begin"/>
      </w:r>
      <w:r>
        <w:rPr>
          <w:iCs/>
          <w:color w:val="000000"/>
          <w:szCs w:val="20"/>
        </w:rPr>
        <w:instrText>xe "Unit pricing"</w:instrText>
      </w:r>
      <w:r>
        <w:fldChar w:fldCharType="end"/>
      </w:r>
      <w:r>
        <w:rPr>
          <w:bCs/>
          <w:iCs/>
          <w:color w:val="000000"/>
          <w:szCs w:val="20"/>
        </w:rPr>
        <w:t xml:space="preserve">, both voluntary and mandatory, the </w:t>
      </w:r>
      <w:r>
        <w:rPr>
          <w:b/>
          <w:iCs/>
          <w:color w:val="000000"/>
          <w:szCs w:val="20"/>
          <w:u w:val="single"/>
        </w:rPr>
        <w:t>U</w:t>
      </w:r>
      <w:r>
        <w:rPr>
          <w:bCs/>
          <w:iCs/>
          <w:color w:val="000000"/>
          <w:szCs w:val="20"/>
        </w:rPr>
        <w:t>UPR is considered appropriate.  Unit pricing</w:t>
      </w:r>
      <w:r>
        <w:fldChar w:fldCharType="begin"/>
      </w:r>
      <w:r>
        <w:rPr>
          <w:iCs/>
          <w:color w:val="000000"/>
          <w:szCs w:val="20"/>
        </w:rPr>
        <w:instrText>xe "Unit pricing"</w:instrText>
      </w:r>
      <w:r>
        <w:fldChar w:fldCharType="end"/>
      </w:r>
      <w:r>
        <w:rPr>
          <w:bCs/>
          <w:iCs/>
          <w:color w:val="000000"/>
          <w:szCs w:val="20"/>
        </w:rPr>
        <w:t xml:space="preserve"> has been a concern of the weights and measures official and has been required for random weight packages for a long time.</w:t>
      </w:r>
    </w:p>
    <w:p w14:paraId="06719F25" w14:textId="77777777" w:rsidR="00E34C39" w:rsidRDefault="00E34C39" w:rsidP="00E34C39">
      <w:pPr>
        <w:tabs>
          <w:tab w:val="left" w:pos="360"/>
        </w:tabs>
        <w:jc w:val="left"/>
        <w:rPr>
          <w:bCs/>
          <w:iCs/>
          <w:color w:val="000000"/>
        </w:rPr>
      </w:pPr>
      <w:r>
        <w:rPr>
          <w:bCs/>
          <w:iCs/>
          <w:color w:val="000000"/>
          <w:szCs w:val="20"/>
        </w:rPr>
        <w:t xml:space="preserve">In 1993, the NCWM was contacted by several weights and measures jurisdictions and retail trade associations who requested that the </w:t>
      </w:r>
      <w:r>
        <w:rPr>
          <w:b/>
          <w:iCs/>
          <w:color w:val="000000"/>
          <w:szCs w:val="20"/>
          <w:u w:val="single"/>
        </w:rPr>
        <w:t>U</w:t>
      </w:r>
      <w:r>
        <w:rPr>
          <w:bCs/>
          <w:iCs/>
          <w:color w:val="000000"/>
          <w:szCs w:val="20"/>
        </w:rPr>
        <w:t xml:space="preserve">UPR be updated to add new commodity groups and pricing requirements.  The comments indicated that many commodity groups for non-food products were not included in the table and that some of the required units may not be appropriate for many of the new products being sold in stores.  Another concern was that the UPR specified pricing only on the basis of price per pound on most products sold by weight.  This has resulted in some jurisdictions not enforcing the requirements on stores that voluntarily </w:t>
      </w:r>
      <w:r>
        <w:rPr>
          <w:b/>
          <w:iCs/>
          <w:color w:val="000000"/>
          <w:szCs w:val="20"/>
          <w:u w:val="single"/>
        </w:rPr>
        <w:t>use</w:t>
      </w:r>
      <w:r>
        <w:rPr>
          <w:bCs/>
          <w:iCs/>
          <w:color w:val="000000"/>
          <w:szCs w:val="20"/>
        </w:rPr>
        <w:t xml:space="preserve"> unit price on the basis of price per ounce instead of price</w:t>
      </w:r>
      <w:r>
        <w:rPr>
          <w:bCs/>
          <w:iCs/>
          <w:color w:val="000000"/>
        </w:rPr>
        <w:t xml:space="preserve"> per pound.  The NCWM agreed that the </w:t>
      </w:r>
      <w:r>
        <w:rPr>
          <w:b/>
          <w:iCs/>
          <w:color w:val="000000"/>
          <w:u w:val="single"/>
        </w:rPr>
        <w:t>U</w:t>
      </w:r>
      <w:r>
        <w:rPr>
          <w:bCs/>
          <w:iCs/>
          <w:color w:val="000000"/>
        </w:rPr>
        <w:t>UPR should be revised to encourage wider adoption and use of the uniform regulation and that provisions for unit pricing</w:t>
      </w:r>
      <w:r>
        <w:fldChar w:fldCharType="begin"/>
      </w:r>
      <w:r>
        <w:rPr>
          <w:iCs/>
          <w:color w:val="000000"/>
        </w:rPr>
        <w:instrText>xe "Unit pricing"</w:instrText>
      </w:r>
      <w:r>
        <w:fldChar w:fldCharType="end"/>
      </w:r>
      <w:r>
        <w:rPr>
          <w:bCs/>
          <w:iCs/>
          <w:color w:val="000000"/>
        </w:rPr>
        <w:t xml:space="preserve"> in metric units should be included.</w:t>
      </w:r>
    </w:p>
    <w:p w14:paraId="4FF2F481" w14:textId="77777777" w:rsidR="00E34C39" w:rsidRDefault="00E34C39" w:rsidP="00E34C39">
      <w:pPr>
        <w:tabs>
          <w:tab w:val="left" w:pos="360"/>
        </w:tabs>
        <w:jc w:val="left"/>
        <w:rPr>
          <w:bCs/>
          <w:iCs/>
          <w:color w:val="000000"/>
          <w:szCs w:val="20"/>
        </w:rPr>
      </w:pPr>
      <w:r>
        <w:rPr>
          <w:bCs/>
          <w:iCs/>
          <w:color w:val="000000"/>
          <w:szCs w:val="20"/>
        </w:rPr>
        <w:t>At the 1997 Annual Meeting, the NCWM adopted revisions to the regulation to permit retail stores that voluntarily provide unit pricing</w:t>
      </w:r>
      <w:r>
        <w:fldChar w:fldCharType="begin"/>
      </w:r>
      <w:r>
        <w:rPr>
          <w:iCs/>
          <w:color w:val="000000"/>
          <w:szCs w:val="20"/>
        </w:rPr>
        <w:instrText>xe "Unit pricing"</w:instrText>
      </w:r>
      <w:r>
        <w:fldChar w:fldCharType="end"/>
      </w:r>
      <w:r>
        <w:rPr>
          <w:bCs/>
          <w:iCs/>
          <w:color w:val="000000"/>
          <w:szCs w:val="20"/>
        </w:rPr>
        <w:t xml:space="preserve"> to present prices using various units of measure.</w:t>
      </w:r>
    </w:p>
    <w:p w14:paraId="369ADD31" w14:textId="49451755" w:rsidR="00E34C39" w:rsidRDefault="00E34C39" w:rsidP="00E34C39">
      <w:pPr>
        <w:tabs>
          <w:tab w:val="left" w:pos="360"/>
        </w:tabs>
        <w:jc w:val="left"/>
        <w:rPr>
          <w:iCs/>
          <w:color w:val="000000"/>
          <w:szCs w:val="20"/>
        </w:rPr>
      </w:pPr>
      <w:r>
        <w:rPr>
          <w:iCs/>
          <w:color w:val="000000"/>
          <w:szCs w:val="20"/>
        </w:rPr>
        <w:t>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kilogram, if the packaged commodity is labeled by weight.  For example, the proposed revisions would require the unit price for soft drinks</w:t>
      </w:r>
      <w:r>
        <w:fldChar w:fldCharType="begin"/>
      </w:r>
      <w:r>
        <w:rPr>
          <w:iCs/>
          <w:color w:val="000000"/>
          <w:szCs w:val="20"/>
        </w:rPr>
        <w:instrText xml:space="preserve"> XE "</w:instrText>
      </w:r>
      <w:r>
        <w:rPr>
          <w:b/>
          <w:iCs/>
          <w:color w:val="000000"/>
          <w:szCs w:val="20"/>
        </w:rPr>
        <w:instrText>Soft drink</w:instrText>
      </w:r>
      <w:r>
        <w:rPr>
          <w:iCs/>
          <w:color w:val="000000"/>
          <w:szCs w:val="20"/>
        </w:rPr>
        <w:instrText xml:space="preserve">" </w:instrText>
      </w:r>
      <w:r>
        <w:fldChar w:fldCharType="end"/>
      </w:r>
      <w:r>
        <w:rPr>
          <w:iCs/>
          <w:color w:val="000000"/>
          <w:szCs w:val="20"/>
        </w:rPr>
        <w:t xml:space="preserve"> sold in various package sizes (e.g., 12 fl</w:t>
      </w:r>
      <w:r w:rsidR="005A46D6">
        <w:rPr>
          <w:iCs/>
          <w:color w:val="000000"/>
          <w:szCs w:val="20"/>
        </w:rPr>
        <w:t>.</w:t>
      </w:r>
      <w:r>
        <w:rPr>
          <w:iCs/>
          <w:color w:val="000000"/>
          <w:szCs w:val="20"/>
        </w:rPr>
        <w:t> oz cans through 2 L bottles) to be uniformly and consistently displayed in terms of either price per fluid ounce, price per quart, or price per liter.  The NCWM also increased the price of commodities exempted from unit pricing</w:t>
      </w:r>
      <w:r>
        <w:fldChar w:fldCharType="begin"/>
      </w:r>
      <w:r>
        <w:rPr>
          <w:iCs/>
          <w:color w:val="000000"/>
          <w:szCs w:val="20"/>
        </w:rPr>
        <w:instrText>xe "Unit pricing"</w:instrText>
      </w:r>
      <w:r>
        <w:fldChar w:fldCharType="end"/>
      </w:r>
      <w:r>
        <w:rPr>
          <w:iCs/>
          <w:color w:val="000000"/>
          <w:szCs w:val="20"/>
        </w:rPr>
        <w:t xml:space="preserve"> from 10 cents to 50 cents.  The NCWM believed these revisions would ensure that unit pricing</w:t>
      </w:r>
      <w:r>
        <w:fldChar w:fldCharType="begin"/>
      </w:r>
      <w:r>
        <w:rPr>
          <w:iCs/>
          <w:color w:val="000000"/>
          <w:szCs w:val="20"/>
        </w:rPr>
        <w:instrText>xe "Unit pricing"</w:instrText>
      </w:r>
      <w:r>
        <w:fldChar w:fldCharType="end"/>
      </w:r>
      <w:r>
        <w:rPr>
          <w:iCs/>
          <w:color w:val="000000"/>
          <w:szCs w:val="20"/>
        </w:rPr>
        <w:t xml:space="preserve"> information facilitates value comparison between different package sizes and/or brands offered for sale in a store.</w:t>
      </w:r>
    </w:p>
    <w:p w14:paraId="6E2482F4" w14:textId="77777777" w:rsidR="00E34C39" w:rsidRDefault="00E34C39" w:rsidP="00E34C39">
      <w:pPr>
        <w:tabs>
          <w:tab w:val="left" w:pos="360"/>
        </w:tabs>
        <w:spacing w:after="60" w:line="256" w:lineRule="auto"/>
        <w:jc w:val="left"/>
        <w:rPr>
          <w:iCs/>
          <w:color w:val="000000"/>
          <w:szCs w:val="20"/>
        </w:rPr>
      </w:pPr>
      <w:r>
        <w:rPr>
          <w:szCs w:val="20"/>
        </w:rPr>
        <w:t xml:space="preserve">The NCWM also considered several comments on this item from members of the U.S. Metric Association (USMA).  Most of these comments suggested that the </w:t>
      </w:r>
      <w:r>
        <w:rPr>
          <w:b/>
          <w:bCs/>
          <w:szCs w:val="20"/>
          <w:u w:val="single"/>
        </w:rPr>
        <w:t>U</w:t>
      </w:r>
      <w:r>
        <w:rPr>
          <w:szCs w:val="20"/>
        </w:rPr>
        <w:t>UPR be amended to require unit pricing</w:t>
      </w:r>
      <w:r>
        <w:fldChar w:fldCharType="begin"/>
      </w:r>
      <w:r>
        <w:rPr>
          <w:szCs w:val="20"/>
        </w:rPr>
        <w:instrText>xe "Unit pricing"</w:instrText>
      </w:r>
      <w:r>
        <w:fldChar w:fldCharType="end"/>
      </w:r>
      <w:r>
        <w:rPr>
          <w:szCs w:val="20"/>
        </w:rPr>
        <w:t xml:space="preserve"> in metric units and permit U.S. customary unit pricing</w:t>
      </w:r>
      <w:r>
        <w:fldChar w:fldCharType="begin"/>
      </w:r>
      <w:r>
        <w:rPr>
          <w:szCs w:val="20"/>
        </w:rPr>
        <w:instrText>xe "Unit pricing"</w:instrText>
      </w:r>
      <w:r>
        <w:fldChar w:fldCharType="end"/>
      </w:r>
      <w:r>
        <w:rPr>
          <w:szCs w:val="20"/>
        </w:rPr>
        <w:t xml:space="preserve"> to be provided voluntarily.  When it developed the proposed revisions, the NCWM included guidelines for both U.S. customary and metric unit pricing</w:t>
      </w:r>
      <w:r>
        <w:fldChar w:fldCharType="begin"/>
      </w:r>
      <w:r>
        <w:rPr>
          <w:szCs w:val="20"/>
        </w:rPr>
        <w:instrText>xe "Unit pricing"</w:instrText>
      </w:r>
      <w:r>
        <w:fldChar w:fldCharType="end"/>
      </w:r>
      <w:r>
        <w:rPr>
          <w:szCs w:val="20"/>
        </w:rPr>
        <w:t xml:space="preserve"> and believes this is the correct approach to implementing metric revisions in the regulation.  The NCWM would like to make it clear that the </w:t>
      </w:r>
      <w:r>
        <w:rPr>
          <w:b/>
          <w:bCs/>
          <w:szCs w:val="20"/>
          <w:u w:val="single"/>
        </w:rPr>
        <w:t>U</w:t>
      </w:r>
      <w:r>
        <w:rPr>
          <w:szCs w:val="20"/>
        </w:rPr>
        <w:t>UPR applies only when stores voluntarily provide unit pricing</w:t>
      </w:r>
      <w:r>
        <w:fldChar w:fldCharType="begin"/>
      </w:r>
      <w:r>
        <w:rPr>
          <w:szCs w:val="20"/>
        </w:rPr>
        <w:instrText>xe "Unit pricing"</w:instrText>
      </w:r>
      <w:r>
        <w:fldChar w:fldCharType="end"/>
      </w:r>
      <w:r>
        <w:rPr>
          <w:szCs w:val="20"/>
        </w:rPr>
        <w:t xml:space="preserve"> information.  Its purpose is to provide a standard that retailers must follow to ensure that consumers will have pricing information that helps them make value comparisons.  The decision to provide unit price information in metric or U.S. customary units rests with retailers who will respond to consumer preference.  The NCWM believes that consumer preference will be the deciding factor as to when and how quickly metric unit pricing</w:t>
      </w:r>
      <w:r>
        <w:fldChar w:fldCharType="begin"/>
      </w:r>
      <w:r>
        <w:rPr>
          <w:szCs w:val="20"/>
        </w:rPr>
        <w:instrText>xe "Unit pricing"</w:instrText>
      </w:r>
      <w:r>
        <w:fldChar w:fldCharType="end"/>
      </w:r>
      <w:r>
        <w:rPr>
          <w:szCs w:val="20"/>
        </w:rPr>
        <w:t xml:space="preserve"> is used in the marketplace.  Therefore, the NCWM does not support amendments to include mandatory provisions in the </w:t>
      </w:r>
      <w:r>
        <w:rPr>
          <w:b/>
          <w:bCs/>
          <w:szCs w:val="20"/>
          <w:u w:val="single"/>
        </w:rPr>
        <w:t>U</w:t>
      </w:r>
      <w:r>
        <w:rPr>
          <w:szCs w:val="20"/>
        </w:rPr>
        <w:t>UPR</w:t>
      </w:r>
      <w:r>
        <w:rPr>
          <w:b/>
          <w:bCs/>
          <w:szCs w:val="20"/>
          <w:u w:val="single"/>
        </w:rPr>
        <w:t>,</w:t>
      </w:r>
      <w:r>
        <w:rPr>
          <w:szCs w:val="20"/>
        </w:rPr>
        <w:t xml:space="preserve"> as these provisions would take the decision to go to metric unit pricing</w:t>
      </w:r>
      <w:r>
        <w:fldChar w:fldCharType="begin"/>
      </w:r>
      <w:r>
        <w:rPr>
          <w:szCs w:val="20"/>
        </w:rPr>
        <w:instrText>xe "Unit pricing"</w:instrText>
      </w:r>
      <w:r>
        <w:fldChar w:fldCharType="end"/>
      </w:r>
      <w:r>
        <w:rPr>
          <w:szCs w:val="20"/>
        </w:rPr>
        <w:t xml:space="preserve"> out of the hands of </w:t>
      </w:r>
      <w:r>
        <w:rPr>
          <w:iCs/>
          <w:color w:val="000000"/>
          <w:szCs w:val="20"/>
        </w:rPr>
        <w:t xml:space="preserve">consumers and </w:t>
      </w:r>
      <w:r>
        <w:rPr>
          <w:iCs/>
          <w:color w:val="000000"/>
          <w:szCs w:val="20"/>
        </w:rPr>
        <w:lastRenderedPageBreak/>
        <w:t>retailers.  Finally, the NCWM does not want to include any requirement that may discourage retailers from voluntarily providing unit price information.</w:t>
      </w:r>
    </w:p>
    <w:p w14:paraId="09C0C8E6" w14:textId="77777777" w:rsidR="00E34C39" w:rsidRDefault="00E34C39" w:rsidP="00E34C39">
      <w:pPr>
        <w:tabs>
          <w:tab w:val="left" w:pos="360"/>
        </w:tabs>
        <w:jc w:val="left"/>
        <w:rPr>
          <w:iCs/>
          <w:color w:val="000000"/>
          <w:szCs w:val="20"/>
        </w:rPr>
      </w:pPr>
      <w:r>
        <w:rPr>
          <w:iCs/>
          <w:color w:val="000000"/>
          <w:szCs w:val="20"/>
        </w:rPr>
        <w:t xml:space="preserve">(Amended 1997 </w:t>
      </w:r>
      <w:r>
        <w:rPr>
          <w:b/>
          <w:bCs/>
          <w:iCs/>
          <w:color w:val="000000"/>
          <w:szCs w:val="20"/>
          <w:u w:val="single"/>
        </w:rPr>
        <w:t>&amp; 202X</w:t>
      </w:r>
      <w:r>
        <w:rPr>
          <w:iCs/>
          <w:color w:val="000000"/>
          <w:szCs w:val="20"/>
        </w:rPr>
        <w:t>)</w:t>
      </w:r>
    </w:p>
    <w:p w14:paraId="43E7D594" w14:textId="77777777" w:rsidR="00E34C39" w:rsidRDefault="00E34C39" w:rsidP="00E34C39">
      <w:pPr>
        <w:tabs>
          <w:tab w:val="left" w:pos="360"/>
        </w:tabs>
        <w:jc w:val="left"/>
        <w:rPr>
          <w:iCs/>
          <w:color w:val="000000"/>
          <w:szCs w:val="20"/>
        </w:rPr>
      </w:pPr>
      <w:r>
        <w:rPr>
          <w:iCs/>
          <w:strike/>
          <w:color w:val="000000"/>
          <w:szCs w:val="20"/>
        </w:rPr>
        <w:t>In December 2014, NIST published a unit pricing best practice guide,</w:t>
      </w:r>
      <w:r>
        <w:rPr>
          <w:iCs/>
          <w:color w:val="000000"/>
          <w:szCs w:val="20"/>
        </w:rPr>
        <w:t xml:space="preserve"> NIST </w:t>
      </w:r>
      <w:r>
        <w:rPr>
          <w:b/>
          <w:bCs/>
          <w:iCs/>
          <w:color w:val="000000"/>
          <w:szCs w:val="20"/>
          <w:u w:val="single"/>
        </w:rPr>
        <w:t>OWM published the original Special Publication</w:t>
      </w:r>
      <w:r>
        <w:rPr>
          <w:iCs/>
          <w:color w:val="000000"/>
          <w:szCs w:val="20"/>
        </w:rPr>
        <w:t xml:space="preserve"> SP 1181, “Unit Pricing Guide, A Best Practice Approach to Unit Pricing,” </w:t>
      </w:r>
      <w:r>
        <w:rPr>
          <w:b/>
          <w:bCs/>
          <w:iCs/>
          <w:color w:val="000000"/>
          <w:szCs w:val="20"/>
          <w:u w:val="single"/>
        </w:rPr>
        <w:t>in 2015,</w:t>
      </w:r>
      <w:r>
        <w:rPr>
          <w:iCs/>
          <w:color w:val="000000"/>
          <w:szCs w:val="20"/>
        </w:rPr>
        <w:t xml:space="preserve"> which can be found at</w:t>
      </w:r>
      <w:r>
        <w:rPr>
          <w:b/>
          <w:iCs/>
          <w:color w:val="000000"/>
          <w:szCs w:val="20"/>
        </w:rPr>
        <w:t xml:space="preserve"> </w:t>
      </w:r>
      <w:hyperlink r:id="rId27" w:history="1">
        <w:r>
          <w:rPr>
            <w:rStyle w:val="Hyperlink"/>
            <w:b/>
            <w:iCs/>
            <w:szCs w:val="20"/>
          </w:rPr>
          <w:t>https://doi.org/10.6028/NIST.SP.1181</w:t>
        </w:r>
      </w:hyperlink>
      <w:r>
        <w:rPr>
          <w:bCs/>
          <w:iCs/>
          <w:color w:val="000000"/>
          <w:szCs w:val="20"/>
        </w:rPr>
        <w:t>.</w:t>
      </w:r>
      <w:r>
        <w:rPr>
          <w:b/>
          <w:bCs/>
          <w:iCs/>
          <w:color w:val="000000"/>
          <w:szCs w:val="20"/>
        </w:rPr>
        <w:t xml:space="preserve"> </w:t>
      </w:r>
      <w:r>
        <w:rPr>
          <w:iCs/>
          <w:color w:val="000000"/>
          <w:szCs w:val="20"/>
        </w:rPr>
        <w:t xml:space="preserve"> The guide was developed to provide retailers with information about the best practice requirements for the unit pricing of pre-packaged commodities, which will improve the accuracy, usability, and uniformity of unit pricing information offered in retail stores.  </w:t>
      </w:r>
      <w:r>
        <w:rPr>
          <w:b/>
          <w:bCs/>
          <w:iCs/>
          <w:color w:val="000000"/>
          <w:szCs w:val="20"/>
          <w:u w:val="single"/>
        </w:rPr>
        <w:t>In 2024, the Unit Price workgroup was reconvened to review and update the guide, including making recommendations for unit pricing best practices in the online environment and addressing electronic shelf labels in conventional retail stores.</w:t>
      </w:r>
      <w:r>
        <w:rPr>
          <w:iCs/>
          <w:color w:val="000000"/>
          <w:szCs w:val="20"/>
        </w:rPr>
        <w:t xml:space="preserve"> The guide is not intended to conflict with the </w:t>
      </w:r>
      <w:r>
        <w:rPr>
          <w:b/>
          <w:bCs/>
          <w:iCs/>
          <w:color w:val="000000"/>
          <w:szCs w:val="20"/>
          <w:u w:val="single"/>
        </w:rPr>
        <w:t>U</w:t>
      </w:r>
      <w:r>
        <w:rPr>
          <w:iCs/>
          <w:color w:val="000000"/>
          <w:szCs w:val="20"/>
        </w:rPr>
        <w:t xml:space="preserve">UPR.  Mandatory regulations should be consulted to ensure those requirements are met before the recommended best practice requirements in this guide are implemented.  </w:t>
      </w:r>
    </w:p>
    <w:p w14:paraId="2FF9672F" w14:textId="77777777" w:rsidR="00E34C39" w:rsidRDefault="00E34C39" w:rsidP="00E34C39">
      <w:pPr>
        <w:tabs>
          <w:tab w:val="left" w:pos="360"/>
        </w:tabs>
        <w:jc w:val="left"/>
        <w:rPr>
          <w:i/>
          <w:iCs/>
          <w:color w:val="000000"/>
          <w:szCs w:val="20"/>
        </w:rPr>
      </w:pPr>
      <w:r>
        <w:rPr>
          <w:i/>
          <w:iCs/>
          <w:color w:val="000000"/>
          <w:szCs w:val="20"/>
        </w:rPr>
        <w:t xml:space="preserve">*The National </w:t>
      </w:r>
      <w:r>
        <w:rPr>
          <w:i/>
          <w:iCs/>
          <w:strike/>
          <w:color w:val="000000"/>
          <w:szCs w:val="20"/>
        </w:rPr>
        <w:t>Conference</w:t>
      </w:r>
      <w:r>
        <w:rPr>
          <w:b/>
          <w:bCs/>
          <w:i/>
          <w:iCs/>
          <w:color w:val="000000"/>
          <w:szCs w:val="20"/>
          <w:u w:val="single"/>
        </w:rPr>
        <w:t>Council</w:t>
      </w:r>
      <w:r>
        <w:rPr>
          <w:i/>
          <w:iCs/>
          <w:color w:val="000000"/>
          <w:szCs w:val="20"/>
        </w:rPr>
        <w:t xml:space="preserv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p w14:paraId="0DF83671" w14:textId="77777777" w:rsidR="00E34C39" w:rsidRDefault="00E34C39" w:rsidP="00E34C39">
      <w:pPr>
        <w:tabs>
          <w:tab w:val="left" w:pos="360"/>
        </w:tabs>
        <w:jc w:val="left"/>
        <w:rPr>
          <w:b/>
          <w:bCs/>
          <w:color w:val="000000"/>
        </w:rPr>
      </w:pPr>
      <w:bookmarkStart w:id="83" w:name="_Toc173470311"/>
      <w:bookmarkStart w:id="84" w:name="_Toc173470683"/>
      <w:bookmarkStart w:id="85" w:name="_Toc173471545"/>
      <w:bookmarkStart w:id="86" w:name="_Toc173474193"/>
      <w:bookmarkStart w:id="87" w:name="_Toc173771789"/>
      <w:r>
        <w:rPr>
          <w:b/>
          <w:bCs/>
          <w:color w:val="000000"/>
        </w:rPr>
        <w:t>2.  Status of Promulgation</w:t>
      </w:r>
      <w:bookmarkEnd w:id="83"/>
      <w:bookmarkEnd w:id="84"/>
      <w:bookmarkEnd w:id="85"/>
      <w:bookmarkEnd w:id="86"/>
      <w:bookmarkEnd w:id="87"/>
    </w:p>
    <w:p w14:paraId="064D41A7" w14:textId="77777777" w:rsidR="00E34C39" w:rsidRDefault="00E34C39" w:rsidP="00E34C39">
      <w:pPr>
        <w:tabs>
          <w:tab w:val="left" w:pos="360"/>
        </w:tabs>
        <w:jc w:val="left"/>
        <w:rPr>
          <w:iCs/>
          <w:strike/>
          <w:color w:val="000000"/>
          <w:szCs w:val="24"/>
        </w:rPr>
      </w:pPr>
      <w:r>
        <w:rPr>
          <w:iCs/>
          <w:strike/>
          <w:color w:val="000000"/>
          <w:szCs w:val="24"/>
        </w:rPr>
        <w:t>The table beginning on page 6</w:t>
      </w:r>
      <w:r>
        <w:rPr>
          <w:iCs/>
          <w:color w:val="000000"/>
          <w:szCs w:val="24"/>
        </w:rPr>
        <w:t xml:space="preserve">  </w:t>
      </w:r>
      <w:r w:rsidRPr="00434B04">
        <w:rPr>
          <w:iCs/>
          <w:strike/>
          <w:color w:val="000000"/>
          <w:szCs w:val="24"/>
        </w:rPr>
        <w:t>Figure 1, illustrates the status of adoption of the Uniform Unit Pricing Regulation</w:t>
      </w:r>
      <w:r w:rsidRPr="00434B04">
        <w:rPr>
          <w:strike/>
        </w:rPr>
        <w:fldChar w:fldCharType="begin"/>
      </w:r>
      <w:r w:rsidRPr="00434B04">
        <w:rPr>
          <w:iCs/>
          <w:strike/>
          <w:color w:val="000000"/>
          <w:szCs w:val="24"/>
        </w:rPr>
        <w:instrText>xe "Uniform”Unit Pricing Regulation"</w:instrText>
      </w:r>
      <w:r w:rsidRPr="00434B04">
        <w:rPr>
          <w:strike/>
        </w:rPr>
        <w:fldChar w:fldCharType="end"/>
      </w:r>
      <w:r w:rsidRPr="00434B04">
        <w:rPr>
          <w:iCs/>
          <w:strike/>
          <w:color w:val="000000"/>
          <w:szCs w:val="24"/>
        </w:rPr>
        <w:t>.</w:t>
      </w:r>
    </w:p>
    <w:p w14:paraId="5CDC6AC6" w14:textId="0AD1D87E" w:rsidR="00E34C39" w:rsidRPr="007C0AC0" w:rsidRDefault="00BF40B2" w:rsidP="008277B9">
      <w:pPr>
        <w:tabs>
          <w:tab w:val="left" w:pos="360"/>
        </w:tabs>
        <w:jc w:val="left"/>
        <w:rPr>
          <w:b/>
          <w:bCs/>
          <w:iCs/>
          <w:color w:val="000000"/>
          <w:u w:val="single"/>
        </w:rPr>
      </w:pPr>
      <w:r>
        <w:rPr>
          <w:b/>
          <w:bCs/>
          <w:iCs/>
          <w:color w:val="000000"/>
          <w:szCs w:val="24"/>
          <w:u w:val="single"/>
        </w:rPr>
        <w:t xml:space="preserve">For a table detailing which states have adopted the </w:t>
      </w:r>
      <w:r w:rsidR="00325E81" w:rsidRPr="00325E81">
        <w:rPr>
          <w:b/>
          <w:bCs/>
          <w:iCs/>
          <w:color w:val="000000"/>
          <w:u w:val="single"/>
        </w:rPr>
        <w:t>Uniform Unit Pricing Regulation</w:t>
      </w:r>
      <w:r w:rsidR="00DA27D4">
        <w:rPr>
          <w:b/>
          <w:bCs/>
          <w:iCs/>
          <w:color w:val="000000"/>
          <w:u w:val="single"/>
        </w:rPr>
        <w:t xml:space="preserve"> refer to NIST Handbook 130 </w:t>
      </w:r>
      <w:r w:rsidR="0017509D">
        <w:rPr>
          <w:b/>
          <w:bCs/>
          <w:iCs/>
          <w:color w:val="000000"/>
          <w:u w:val="single"/>
        </w:rPr>
        <w:t xml:space="preserve">Section </w:t>
      </w:r>
      <w:r w:rsidR="00DA27D4" w:rsidRPr="007C0AC0">
        <w:rPr>
          <w:b/>
          <w:bCs/>
          <w:u w:val="single"/>
        </w:rPr>
        <w:t>II. Uniformity of Laws and Regulations</w:t>
      </w:r>
      <w:r w:rsidR="0017509D" w:rsidRPr="007C0AC0">
        <w:rPr>
          <w:b/>
          <w:bCs/>
          <w:u w:val="single"/>
        </w:rPr>
        <w:t>, Subsection</w:t>
      </w:r>
      <w:r w:rsidR="00DA27D4" w:rsidRPr="007C0AC0">
        <w:rPr>
          <w:u w:val="single"/>
        </w:rPr>
        <w:t xml:space="preserve"> </w:t>
      </w:r>
      <w:r w:rsidR="007C0AC0">
        <w:rPr>
          <w:b/>
          <w:bCs/>
          <w:u w:val="single"/>
        </w:rPr>
        <w:t>C</w:t>
      </w:r>
      <w:r w:rsidR="00DA27D4" w:rsidRPr="007C0AC0">
        <w:rPr>
          <w:b/>
          <w:bCs/>
          <w:u w:val="single"/>
        </w:rPr>
        <w:t>. Summary of State Laws and Regulations in Weights and Measures</w:t>
      </w:r>
    </w:p>
    <w:p w14:paraId="0EF9163C" w14:textId="77777777" w:rsidR="00E34C39" w:rsidRDefault="00E34C39" w:rsidP="00E34C39">
      <w:pPr>
        <w:tabs>
          <w:tab w:val="left" w:pos="360"/>
        </w:tabs>
        <w:spacing w:before="400" w:after="180"/>
        <w:jc w:val="center"/>
        <w:rPr>
          <w:b/>
          <w:iCs/>
          <w:sz w:val="24"/>
          <w:szCs w:val="24"/>
        </w:rPr>
      </w:pPr>
      <w:r>
        <w:rPr>
          <w:b/>
          <w:iCs/>
          <w:sz w:val="24"/>
          <w:szCs w:val="24"/>
        </w:rPr>
        <w:t>Table of Contents</w:t>
      </w:r>
    </w:p>
    <w:p w14:paraId="04D6A948" w14:textId="77777777" w:rsidR="00E34C39" w:rsidRDefault="00E34C39" w:rsidP="00FB1E49">
      <w:pPr>
        <w:pStyle w:val="TOC1"/>
        <w:rPr>
          <w:rFonts w:eastAsiaTheme="minorEastAsia" w:hint="eastAsia"/>
          <w:noProof/>
          <w:color w:val="auto"/>
          <w:kern w:val="2"/>
          <w14:ligatures w14:val="standardContextual"/>
        </w:rPr>
      </w:pPr>
      <w:r>
        <w:rPr>
          <w:noProof/>
        </w:rPr>
        <w:t>C.  Uniform Unit Pricing Regulation</w:t>
      </w:r>
      <w:r>
        <w:rPr>
          <w:noProof/>
          <w:webHidden/>
        </w:rPr>
        <w:tab/>
      </w:r>
      <w:r>
        <w:fldChar w:fldCharType="begin"/>
      </w:r>
      <w:r>
        <w:rPr>
          <w:noProof/>
          <w:webHidden/>
        </w:rPr>
        <w:instrText xml:space="preserve"> PAGEREF _Toc178172382 \h </w:instrText>
      </w:r>
      <w:r>
        <w:fldChar w:fldCharType="separate"/>
      </w:r>
      <w:r>
        <w:rPr>
          <w:noProof/>
          <w:webHidden/>
        </w:rPr>
        <w:t>153</w:t>
      </w:r>
      <w:r>
        <w:fldChar w:fldCharType="end"/>
      </w:r>
    </w:p>
    <w:p w14:paraId="3A28EC73" w14:textId="77777777" w:rsidR="00E34C39" w:rsidRDefault="00E34C39" w:rsidP="00FB1E49">
      <w:pPr>
        <w:pStyle w:val="TOC1"/>
        <w:rPr>
          <w:rFonts w:eastAsiaTheme="minorEastAsia" w:hint="eastAsia"/>
          <w:noProof/>
          <w:color w:val="auto"/>
          <w:kern w:val="2"/>
          <w14:ligatures w14:val="standardContextual"/>
        </w:rPr>
      </w:pPr>
      <w:r>
        <w:rPr>
          <w:noProof/>
        </w:rPr>
        <w:t>1.  Background</w:t>
      </w:r>
      <w:r>
        <w:rPr>
          <w:noProof/>
          <w:webHidden/>
        </w:rPr>
        <w:tab/>
      </w:r>
      <w:r>
        <w:fldChar w:fldCharType="begin"/>
      </w:r>
      <w:r>
        <w:rPr>
          <w:noProof/>
          <w:webHidden/>
        </w:rPr>
        <w:instrText xml:space="preserve"> PAGEREF _Toc178172383 \h </w:instrText>
      </w:r>
      <w:r>
        <w:fldChar w:fldCharType="separate"/>
      </w:r>
      <w:r>
        <w:rPr>
          <w:noProof/>
          <w:webHidden/>
        </w:rPr>
        <w:t>153</w:t>
      </w:r>
      <w:r>
        <w:fldChar w:fldCharType="end"/>
      </w:r>
    </w:p>
    <w:p w14:paraId="4F03C195" w14:textId="77777777" w:rsidR="00E34C39" w:rsidRDefault="00E34C39" w:rsidP="00FB1E49">
      <w:pPr>
        <w:pStyle w:val="TOC1"/>
        <w:rPr>
          <w:rFonts w:eastAsiaTheme="minorHAnsi"/>
          <w:noProof/>
          <w:color w:val="000000" w:themeColor="text1"/>
        </w:rPr>
      </w:pPr>
      <w:r>
        <w:rPr>
          <w:noProof/>
        </w:rPr>
        <w:t>2.  Status of Promulgation</w:t>
      </w:r>
      <w:r>
        <w:rPr>
          <w:noProof/>
          <w:webHidden/>
        </w:rPr>
        <w:tab/>
      </w:r>
      <w:r>
        <w:fldChar w:fldCharType="begin"/>
      </w:r>
      <w:r>
        <w:rPr>
          <w:noProof/>
          <w:webHidden/>
        </w:rPr>
        <w:instrText xml:space="preserve"> PAGEREF _Toc178172384 \h </w:instrText>
      </w:r>
      <w:r>
        <w:fldChar w:fldCharType="separate"/>
      </w:r>
      <w:r>
        <w:rPr>
          <w:noProof/>
          <w:webHidden/>
        </w:rPr>
        <w:t>154</w:t>
      </w:r>
      <w:r>
        <w:fldChar w:fldCharType="end"/>
      </w:r>
    </w:p>
    <w:p w14:paraId="5E2647BF" w14:textId="77777777" w:rsidR="00E34C39" w:rsidRDefault="00E34C39" w:rsidP="00FB1E49">
      <w:pPr>
        <w:pStyle w:val="TOC1"/>
        <w:rPr>
          <w:rFonts w:eastAsiaTheme="minorEastAsia" w:hint="eastAsia"/>
          <w:noProof/>
          <w:webHidden/>
          <w:color w:val="auto"/>
          <w:kern w:val="2"/>
          <w14:ligatures w14:val="standardContextual"/>
        </w:rPr>
      </w:pPr>
      <w:r>
        <w:fldChar w:fldCharType="begin"/>
      </w:r>
      <w:r>
        <w:instrText xml:space="preserve"> TOC \h \z \t "UnitPriceLevel1,1" </w:instrText>
      </w:r>
      <w:r>
        <w:fldChar w:fldCharType="separate"/>
      </w:r>
    </w:p>
    <w:bookmarkStart w:id="88" w:name="_Hlk202898831"/>
    <w:p w14:paraId="7D9B4353" w14:textId="77777777" w:rsidR="00E34C39" w:rsidRDefault="00E34C39" w:rsidP="00E34C39">
      <w:pPr>
        <w:tabs>
          <w:tab w:val="right" w:leader="dot" w:pos="9346"/>
        </w:tabs>
        <w:spacing w:after="100"/>
        <w:ind w:left="360" w:hanging="360"/>
        <w:jc w:val="left"/>
        <w:rPr>
          <w:noProof/>
          <w:color w:val="000000"/>
          <w:sz w:val="24"/>
          <w:szCs w:val="24"/>
        </w:rPr>
      </w:pPr>
      <w:r>
        <w:fldChar w:fldCharType="begin"/>
      </w:r>
      <w:r>
        <w:instrText xml:space="preserve"> HYPERLINK "file:///C:\\Users\\DonOnwiler\\Downloads\\3-LR-UPR-26.1.docx" \l "_Toc157693411" </w:instrText>
      </w:r>
      <w:r>
        <w:fldChar w:fldCharType="separate"/>
      </w:r>
      <w:r>
        <w:rPr>
          <w:rStyle w:val="Hyperlink"/>
          <w:szCs w:val="24"/>
        </w:rPr>
        <w:t>Section 1.  Application</w:t>
      </w:r>
      <w:r>
        <w:rPr>
          <w:rStyle w:val="Hyperlink"/>
          <w:webHidden/>
          <w:szCs w:val="24"/>
        </w:rPr>
        <w:tab/>
      </w:r>
      <w:r>
        <w:rPr>
          <w:rStyle w:val="Hyperlink"/>
        </w:rPr>
        <w:fldChar w:fldCharType="begin"/>
      </w:r>
      <w:r>
        <w:rPr>
          <w:rStyle w:val="Hyperlink"/>
          <w:webHidden/>
          <w:szCs w:val="24"/>
        </w:rPr>
        <w:instrText xml:space="preserve"> PAGEREF _Toc157693411 \h </w:instrText>
      </w:r>
      <w:r>
        <w:rPr>
          <w:rStyle w:val="Hyperlink"/>
        </w:rPr>
      </w:r>
      <w:r>
        <w:rPr>
          <w:rStyle w:val="Hyperlink"/>
        </w:rPr>
        <w:fldChar w:fldCharType="separate"/>
      </w:r>
      <w:r>
        <w:rPr>
          <w:rStyle w:val="Hyperlink"/>
          <w:webHidden/>
          <w:szCs w:val="24"/>
        </w:rPr>
        <w:t>159</w:t>
      </w:r>
      <w:r>
        <w:rPr>
          <w:rStyle w:val="Hyperlink"/>
        </w:rPr>
        <w:fldChar w:fldCharType="end"/>
      </w:r>
      <w:r>
        <w:fldChar w:fldCharType="end"/>
      </w:r>
    </w:p>
    <w:bookmarkEnd w:id="88"/>
    <w:p w14:paraId="4872B84B" w14:textId="77777777" w:rsidR="00E34C39" w:rsidRDefault="00E34C39" w:rsidP="00E34C39">
      <w:pPr>
        <w:tabs>
          <w:tab w:val="right" w:leader="dot" w:pos="9346"/>
        </w:tabs>
        <w:spacing w:after="100"/>
        <w:ind w:left="360" w:hanging="360"/>
        <w:jc w:val="left"/>
        <w:rPr>
          <w:color w:val="000000"/>
          <w:szCs w:val="20"/>
          <w:u w:val="single"/>
        </w:rPr>
      </w:pPr>
      <w:r>
        <w:fldChar w:fldCharType="begin"/>
      </w:r>
      <w:r>
        <w:instrText xml:space="preserve"> HYPERLINK "file:///C:\\Users\\DonOnwiler\\Downloads\\3-LR-UPR-26.1.docx" \l "_Toc157693411" </w:instrText>
      </w:r>
      <w:r>
        <w:fldChar w:fldCharType="separate"/>
      </w:r>
      <w:r>
        <w:rPr>
          <w:rStyle w:val="Hyperlink"/>
          <w:szCs w:val="20"/>
        </w:rPr>
        <w:t xml:space="preserve">Section 2.  </w:t>
      </w:r>
      <w:r>
        <w:rPr>
          <w:rStyle w:val="Hyperlink"/>
          <w:b/>
          <w:bCs/>
          <w:szCs w:val="20"/>
        </w:rPr>
        <w:t>Definitions</w:t>
      </w:r>
      <w:r>
        <w:rPr>
          <w:rStyle w:val="Hyperlink"/>
          <w:webHidden/>
          <w:szCs w:val="20"/>
        </w:rPr>
        <w:tab/>
      </w:r>
      <w:r>
        <w:rPr>
          <w:rStyle w:val="Hyperlink"/>
        </w:rPr>
        <w:fldChar w:fldCharType="begin"/>
      </w:r>
      <w:r>
        <w:rPr>
          <w:rStyle w:val="Hyperlink"/>
          <w:strike/>
          <w:webHidden/>
          <w:szCs w:val="20"/>
        </w:rPr>
        <w:instrText xml:space="preserve"> PAGEREF _Toc157693411 \h </w:instrText>
      </w:r>
      <w:r>
        <w:rPr>
          <w:rStyle w:val="Hyperlink"/>
        </w:rPr>
      </w:r>
      <w:r>
        <w:rPr>
          <w:rStyle w:val="Hyperlink"/>
        </w:rPr>
        <w:fldChar w:fldCharType="separate"/>
      </w:r>
      <w:r>
        <w:rPr>
          <w:rStyle w:val="Hyperlink"/>
          <w:strike/>
          <w:webHidden/>
          <w:szCs w:val="20"/>
        </w:rPr>
        <w:t>159</w:t>
      </w:r>
      <w:r>
        <w:rPr>
          <w:rStyle w:val="Hyperlink"/>
        </w:rPr>
        <w:fldChar w:fldCharType="end"/>
      </w:r>
      <w:r>
        <w:fldChar w:fldCharType="end"/>
      </w:r>
    </w:p>
    <w:p w14:paraId="7414F9DF" w14:textId="77777777" w:rsidR="00E34C39" w:rsidRDefault="00E34C39" w:rsidP="00E34C39">
      <w:pPr>
        <w:tabs>
          <w:tab w:val="right" w:leader="dot" w:pos="9346"/>
        </w:tabs>
        <w:spacing w:after="100"/>
        <w:ind w:left="360" w:hanging="360"/>
        <w:jc w:val="left"/>
        <w:rPr>
          <w:rFonts w:eastAsia="MS Mincho"/>
          <w:noProof/>
        </w:rPr>
      </w:pPr>
      <w:hyperlink r:id="rId28" w:anchor="_Toc157693412" w:history="1">
        <w:r>
          <w:rPr>
            <w:rStyle w:val="Hyperlink"/>
            <w:szCs w:val="24"/>
          </w:rPr>
          <w:t xml:space="preserve">Section </w:t>
        </w:r>
        <w:r>
          <w:rPr>
            <w:rStyle w:val="Hyperlink"/>
            <w:strike/>
            <w:szCs w:val="24"/>
          </w:rPr>
          <w:t>2</w:t>
        </w:r>
        <w:r>
          <w:rPr>
            <w:rStyle w:val="Hyperlink"/>
            <w:szCs w:val="24"/>
          </w:rPr>
          <w:t>3.  Terms for Unit  Pricing</w:t>
        </w:r>
        <w:r>
          <w:rPr>
            <w:rStyle w:val="Hyperlink"/>
            <w:webHidden/>
            <w:szCs w:val="24"/>
          </w:rPr>
          <w:tab/>
        </w:r>
        <w:r>
          <w:rPr>
            <w:rStyle w:val="Hyperlink"/>
          </w:rPr>
          <w:fldChar w:fldCharType="begin"/>
        </w:r>
        <w:r>
          <w:rPr>
            <w:rStyle w:val="Hyperlink"/>
            <w:webHidden/>
            <w:szCs w:val="24"/>
          </w:rPr>
          <w:instrText xml:space="preserve"> PAGEREF _Toc157693412 \h </w:instrText>
        </w:r>
        <w:r>
          <w:rPr>
            <w:rStyle w:val="Hyperlink"/>
          </w:rPr>
        </w:r>
        <w:r>
          <w:rPr>
            <w:rStyle w:val="Hyperlink"/>
          </w:rPr>
          <w:fldChar w:fldCharType="separate"/>
        </w:r>
        <w:r>
          <w:rPr>
            <w:rStyle w:val="Hyperlink"/>
            <w:webHidden/>
            <w:szCs w:val="24"/>
          </w:rPr>
          <w:t>159</w:t>
        </w:r>
        <w:r>
          <w:rPr>
            <w:rStyle w:val="Hyperlink"/>
          </w:rPr>
          <w:fldChar w:fldCharType="end"/>
        </w:r>
      </w:hyperlink>
    </w:p>
    <w:p w14:paraId="63C2DE0A" w14:textId="77777777" w:rsidR="00E34C39" w:rsidRDefault="00E34C39" w:rsidP="00E34C39">
      <w:pPr>
        <w:tabs>
          <w:tab w:val="right" w:leader="dot" w:pos="9346"/>
        </w:tabs>
        <w:spacing w:after="100"/>
        <w:ind w:left="360" w:hanging="360"/>
        <w:jc w:val="left"/>
        <w:rPr>
          <w:rFonts w:eastAsia="MS Mincho"/>
          <w:noProof/>
        </w:rPr>
      </w:pPr>
      <w:hyperlink r:id="rId29" w:anchor="_Toc157693413" w:history="1">
        <w:r>
          <w:rPr>
            <w:rStyle w:val="Hyperlink"/>
            <w:szCs w:val="24"/>
          </w:rPr>
          <w:t xml:space="preserve">Section </w:t>
        </w:r>
        <w:r>
          <w:rPr>
            <w:rStyle w:val="Hyperlink"/>
            <w:strike/>
            <w:szCs w:val="24"/>
          </w:rPr>
          <w:t>3</w:t>
        </w:r>
        <w:r>
          <w:rPr>
            <w:rStyle w:val="Hyperlink"/>
            <w:szCs w:val="24"/>
          </w:rPr>
          <w:t>4.  Exemptions</w:t>
        </w:r>
        <w:r>
          <w:rPr>
            <w:rStyle w:val="Hyperlink"/>
            <w:webHidden/>
            <w:szCs w:val="24"/>
          </w:rPr>
          <w:tab/>
        </w:r>
        <w:r>
          <w:rPr>
            <w:rStyle w:val="Hyperlink"/>
          </w:rPr>
          <w:fldChar w:fldCharType="begin"/>
        </w:r>
        <w:r>
          <w:rPr>
            <w:rStyle w:val="Hyperlink"/>
            <w:webHidden/>
            <w:szCs w:val="24"/>
          </w:rPr>
          <w:instrText xml:space="preserve"> PAGEREF _Toc157693413 \h </w:instrText>
        </w:r>
        <w:r>
          <w:rPr>
            <w:rStyle w:val="Hyperlink"/>
          </w:rPr>
        </w:r>
        <w:r>
          <w:rPr>
            <w:rStyle w:val="Hyperlink"/>
          </w:rPr>
          <w:fldChar w:fldCharType="separate"/>
        </w:r>
        <w:r>
          <w:rPr>
            <w:rStyle w:val="Hyperlink"/>
            <w:webHidden/>
            <w:szCs w:val="24"/>
          </w:rPr>
          <w:t>159</w:t>
        </w:r>
        <w:r>
          <w:rPr>
            <w:rStyle w:val="Hyperlink"/>
          </w:rPr>
          <w:fldChar w:fldCharType="end"/>
        </w:r>
      </w:hyperlink>
    </w:p>
    <w:p w14:paraId="45CD138D" w14:textId="77777777" w:rsidR="00E34C39" w:rsidRDefault="00E34C39" w:rsidP="00E34C39">
      <w:pPr>
        <w:tabs>
          <w:tab w:val="right" w:leader="dot" w:pos="9346"/>
        </w:tabs>
        <w:spacing w:after="100"/>
        <w:ind w:left="360" w:hanging="360"/>
        <w:jc w:val="left"/>
        <w:rPr>
          <w:rFonts w:eastAsia="MS Mincho"/>
          <w:noProof/>
        </w:rPr>
      </w:pPr>
      <w:hyperlink r:id="rId30" w:anchor="_Toc157693414" w:history="1">
        <w:r>
          <w:rPr>
            <w:rStyle w:val="Hyperlink"/>
            <w:szCs w:val="24"/>
          </w:rPr>
          <w:t xml:space="preserve">Section </w:t>
        </w:r>
        <w:r>
          <w:rPr>
            <w:rStyle w:val="Hyperlink"/>
            <w:strike/>
            <w:szCs w:val="24"/>
          </w:rPr>
          <w:t>4</w:t>
        </w:r>
        <w:r>
          <w:rPr>
            <w:rStyle w:val="Hyperlink"/>
            <w:szCs w:val="24"/>
          </w:rPr>
          <w:t>5.  Pricing</w:t>
        </w:r>
        <w:r>
          <w:rPr>
            <w:rStyle w:val="Hyperlink"/>
            <w:webHidden/>
            <w:szCs w:val="24"/>
          </w:rPr>
          <w:tab/>
        </w:r>
        <w:r>
          <w:rPr>
            <w:rStyle w:val="Hyperlink"/>
          </w:rPr>
          <w:fldChar w:fldCharType="begin"/>
        </w:r>
        <w:r>
          <w:rPr>
            <w:rStyle w:val="Hyperlink"/>
            <w:webHidden/>
            <w:szCs w:val="24"/>
          </w:rPr>
          <w:instrText xml:space="preserve"> PAGEREF _Toc157693414 \h </w:instrText>
        </w:r>
        <w:r>
          <w:rPr>
            <w:rStyle w:val="Hyperlink"/>
          </w:rPr>
        </w:r>
        <w:r>
          <w:rPr>
            <w:rStyle w:val="Hyperlink"/>
          </w:rPr>
          <w:fldChar w:fldCharType="separate"/>
        </w:r>
        <w:r>
          <w:rPr>
            <w:rStyle w:val="Hyperlink"/>
            <w:webHidden/>
            <w:szCs w:val="24"/>
          </w:rPr>
          <w:t>160</w:t>
        </w:r>
        <w:r>
          <w:rPr>
            <w:rStyle w:val="Hyperlink"/>
          </w:rPr>
          <w:fldChar w:fldCharType="end"/>
        </w:r>
      </w:hyperlink>
    </w:p>
    <w:p w14:paraId="6773F3F8" w14:textId="77777777" w:rsidR="00E34C39" w:rsidRDefault="00E34C39" w:rsidP="00E34C39">
      <w:pPr>
        <w:tabs>
          <w:tab w:val="right" w:leader="dot" w:pos="9346"/>
        </w:tabs>
        <w:spacing w:after="100"/>
        <w:ind w:left="360" w:hanging="360"/>
        <w:jc w:val="left"/>
        <w:rPr>
          <w:rFonts w:eastAsia="MS Mincho"/>
          <w:noProof/>
        </w:rPr>
      </w:pPr>
      <w:hyperlink r:id="rId31" w:anchor="_Toc157693415" w:history="1">
        <w:r>
          <w:rPr>
            <w:rStyle w:val="Hyperlink"/>
            <w:szCs w:val="24"/>
          </w:rPr>
          <w:t xml:space="preserve">Section </w:t>
        </w:r>
        <w:r>
          <w:rPr>
            <w:rStyle w:val="Hyperlink"/>
            <w:strike/>
            <w:szCs w:val="24"/>
          </w:rPr>
          <w:t>56</w:t>
        </w:r>
        <w:r>
          <w:rPr>
            <w:rStyle w:val="Hyperlink"/>
            <w:szCs w:val="24"/>
          </w:rPr>
          <w:t>.  Presentation of Price</w:t>
        </w:r>
        <w:r>
          <w:rPr>
            <w:rStyle w:val="Hyperlink"/>
            <w:webHidden/>
            <w:szCs w:val="24"/>
          </w:rPr>
          <w:tab/>
        </w:r>
        <w:r>
          <w:rPr>
            <w:rStyle w:val="Hyperlink"/>
          </w:rPr>
          <w:fldChar w:fldCharType="begin"/>
        </w:r>
        <w:r>
          <w:rPr>
            <w:rStyle w:val="Hyperlink"/>
            <w:webHidden/>
            <w:szCs w:val="24"/>
          </w:rPr>
          <w:instrText xml:space="preserve"> PAGEREF _Toc157693415 \h </w:instrText>
        </w:r>
        <w:r>
          <w:rPr>
            <w:rStyle w:val="Hyperlink"/>
          </w:rPr>
        </w:r>
        <w:r>
          <w:rPr>
            <w:rStyle w:val="Hyperlink"/>
          </w:rPr>
          <w:fldChar w:fldCharType="separate"/>
        </w:r>
        <w:r>
          <w:rPr>
            <w:rStyle w:val="Hyperlink"/>
            <w:webHidden/>
            <w:szCs w:val="24"/>
          </w:rPr>
          <w:t>160</w:t>
        </w:r>
        <w:r>
          <w:rPr>
            <w:rStyle w:val="Hyperlink"/>
          </w:rPr>
          <w:fldChar w:fldCharType="end"/>
        </w:r>
      </w:hyperlink>
    </w:p>
    <w:p w14:paraId="66635293" w14:textId="77777777" w:rsidR="00E34C39" w:rsidRDefault="00E34C39" w:rsidP="00E34C39">
      <w:pPr>
        <w:tabs>
          <w:tab w:val="right" w:leader="dot" w:pos="9346"/>
        </w:tabs>
        <w:spacing w:after="100"/>
        <w:ind w:left="360" w:hanging="360"/>
        <w:jc w:val="left"/>
        <w:rPr>
          <w:rFonts w:eastAsia="MS Mincho"/>
          <w:noProof/>
        </w:rPr>
      </w:pPr>
      <w:hyperlink r:id="rId32" w:anchor="_Toc157693416" w:history="1">
        <w:r>
          <w:rPr>
            <w:rStyle w:val="Hyperlink"/>
            <w:szCs w:val="24"/>
          </w:rPr>
          <w:t xml:space="preserve">Section </w:t>
        </w:r>
        <w:r>
          <w:rPr>
            <w:rStyle w:val="Hyperlink"/>
            <w:strike/>
            <w:szCs w:val="24"/>
          </w:rPr>
          <w:t>6</w:t>
        </w:r>
        <w:r>
          <w:rPr>
            <w:rStyle w:val="Hyperlink"/>
            <w:szCs w:val="24"/>
          </w:rPr>
          <w:t>7.  Uniformity</w:t>
        </w:r>
        <w:r>
          <w:rPr>
            <w:rStyle w:val="Hyperlink"/>
            <w:webHidden/>
            <w:szCs w:val="24"/>
          </w:rPr>
          <w:tab/>
        </w:r>
        <w:r>
          <w:rPr>
            <w:rStyle w:val="Hyperlink"/>
          </w:rPr>
          <w:fldChar w:fldCharType="begin"/>
        </w:r>
        <w:r>
          <w:rPr>
            <w:rStyle w:val="Hyperlink"/>
            <w:webHidden/>
            <w:szCs w:val="24"/>
          </w:rPr>
          <w:instrText xml:space="preserve"> PAGEREF _Toc157693416 \h </w:instrText>
        </w:r>
        <w:r>
          <w:rPr>
            <w:rStyle w:val="Hyperlink"/>
          </w:rPr>
        </w:r>
        <w:r>
          <w:rPr>
            <w:rStyle w:val="Hyperlink"/>
          </w:rPr>
          <w:fldChar w:fldCharType="separate"/>
        </w:r>
        <w:r>
          <w:rPr>
            <w:rStyle w:val="Hyperlink"/>
            <w:webHidden/>
            <w:szCs w:val="24"/>
          </w:rPr>
          <w:t>160</w:t>
        </w:r>
        <w:r>
          <w:rPr>
            <w:rStyle w:val="Hyperlink"/>
          </w:rPr>
          <w:fldChar w:fldCharType="end"/>
        </w:r>
      </w:hyperlink>
    </w:p>
    <w:p w14:paraId="0B63B74F" w14:textId="77777777" w:rsidR="00E34C39" w:rsidRDefault="00E34C39" w:rsidP="00E34C39">
      <w:pPr>
        <w:tabs>
          <w:tab w:val="right" w:leader="dot" w:pos="9346"/>
        </w:tabs>
        <w:spacing w:after="100"/>
        <w:ind w:left="360" w:hanging="360"/>
        <w:jc w:val="left"/>
        <w:rPr>
          <w:rFonts w:eastAsia="MS Mincho"/>
          <w:noProof/>
        </w:rPr>
      </w:pPr>
      <w:hyperlink r:id="rId33" w:anchor="_Toc157693417" w:history="1">
        <w:r>
          <w:rPr>
            <w:rStyle w:val="Hyperlink"/>
            <w:szCs w:val="24"/>
          </w:rPr>
          <w:t xml:space="preserve">Section </w:t>
        </w:r>
        <w:r>
          <w:rPr>
            <w:rStyle w:val="Hyperlink"/>
            <w:strike/>
            <w:szCs w:val="24"/>
          </w:rPr>
          <w:t>7</w:t>
        </w:r>
        <w:r>
          <w:rPr>
            <w:rStyle w:val="Hyperlink"/>
            <w:szCs w:val="24"/>
          </w:rPr>
          <w:t>8.  Effective Date</w:t>
        </w:r>
        <w:r>
          <w:rPr>
            <w:rStyle w:val="Hyperlink"/>
            <w:webHidden/>
            <w:szCs w:val="24"/>
          </w:rPr>
          <w:tab/>
        </w:r>
        <w:r>
          <w:rPr>
            <w:rStyle w:val="Hyperlink"/>
          </w:rPr>
          <w:fldChar w:fldCharType="begin"/>
        </w:r>
        <w:r>
          <w:rPr>
            <w:rStyle w:val="Hyperlink"/>
            <w:webHidden/>
            <w:szCs w:val="24"/>
          </w:rPr>
          <w:instrText xml:space="preserve"> PAGEREF _Toc157693417 \h </w:instrText>
        </w:r>
        <w:r>
          <w:rPr>
            <w:rStyle w:val="Hyperlink"/>
          </w:rPr>
        </w:r>
        <w:r>
          <w:rPr>
            <w:rStyle w:val="Hyperlink"/>
          </w:rPr>
          <w:fldChar w:fldCharType="separate"/>
        </w:r>
        <w:r>
          <w:rPr>
            <w:rStyle w:val="Hyperlink"/>
            <w:webHidden/>
            <w:szCs w:val="24"/>
          </w:rPr>
          <w:t>161</w:t>
        </w:r>
        <w:r>
          <w:rPr>
            <w:rStyle w:val="Hyperlink"/>
          </w:rPr>
          <w:fldChar w:fldCharType="end"/>
        </w:r>
      </w:hyperlink>
    </w:p>
    <w:p w14:paraId="300D5EF4" w14:textId="4AFB58D8" w:rsidR="00E34C39" w:rsidRPr="000D469A" w:rsidRDefault="00E34C39" w:rsidP="00346B96">
      <w:pPr>
        <w:suppressLineNumbers/>
        <w:ind w:left="720"/>
        <w:rPr>
          <w:color w:val="000000"/>
          <w:sz w:val="24"/>
          <w:szCs w:val="24"/>
        </w:rPr>
      </w:pPr>
      <w:r>
        <w:fldChar w:fldCharType="end"/>
      </w:r>
    </w:p>
    <w:p w14:paraId="0C007476" w14:textId="77777777" w:rsidR="00E34C39" w:rsidRDefault="00E34C39" w:rsidP="00E34C39">
      <w:pPr>
        <w:tabs>
          <w:tab w:val="left" w:pos="360"/>
        </w:tabs>
        <w:spacing w:before="360" w:after="480"/>
        <w:jc w:val="center"/>
        <w:rPr>
          <w:b/>
          <w:bCs/>
          <w:sz w:val="24"/>
          <w:szCs w:val="24"/>
        </w:rPr>
      </w:pPr>
      <w:r>
        <w:rPr>
          <w:b/>
          <w:bCs/>
          <w:sz w:val="24"/>
          <w:szCs w:val="24"/>
        </w:rPr>
        <w:t>C.</w:t>
      </w:r>
      <w:r>
        <w:rPr>
          <w:bCs/>
          <w:sz w:val="24"/>
          <w:szCs w:val="24"/>
        </w:rPr>
        <w:t>  </w:t>
      </w:r>
      <w:r>
        <w:rPr>
          <w:b/>
          <w:bCs/>
          <w:sz w:val="24"/>
          <w:szCs w:val="24"/>
        </w:rPr>
        <w:t>Uniform Unit Pricing Regulation</w:t>
      </w:r>
    </w:p>
    <w:p w14:paraId="088080BA" w14:textId="77777777" w:rsidR="00E34C39" w:rsidRDefault="00E34C39" w:rsidP="00E34C39">
      <w:pPr>
        <w:keepNext/>
        <w:tabs>
          <w:tab w:val="left" w:pos="360"/>
        </w:tabs>
        <w:spacing w:before="400" w:after="180"/>
        <w:jc w:val="left"/>
        <w:outlineLvl w:val="5"/>
        <w:rPr>
          <w:b/>
          <w:bCs/>
          <w:szCs w:val="20"/>
        </w:rPr>
      </w:pPr>
      <w:bookmarkStart w:id="89" w:name="_Toc173470312"/>
      <w:bookmarkStart w:id="90" w:name="_Toc173471546"/>
      <w:bookmarkStart w:id="91" w:name="_Toc173474194"/>
      <w:bookmarkStart w:id="92" w:name="_Toc173771790"/>
      <w:bookmarkStart w:id="93" w:name="_Toc205539073"/>
      <w:bookmarkStart w:id="94" w:name="_Toc157693411"/>
      <w:r>
        <w:rPr>
          <w:b/>
          <w:bCs/>
          <w:szCs w:val="20"/>
        </w:rPr>
        <w:t>Section 1.  Application</w:t>
      </w:r>
      <w:bookmarkEnd w:id="89"/>
      <w:bookmarkEnd w:id="90"/>
      <w:bookmarkEnd w:id="91"/>
      <w:bookmarkEnd w:id="92"/>
      <w:bookmarkEnd w:id="93"/>
      <w:bookmarkEnd w:id="94"/>
    </w:p>
    <w:p w14:paraId="44D71957" w14:textId="77777777" w:rsidR="00E34C39" w:rsidRDefault="00E34C39" w:rsidP="00E34C39">
      <w:pPr>
        <w:jc w:val="left"/>
        <w:rPr>
          <w:iCs/>
          <w:color w:val="000000"/>
          <w:szCs w:val="24"/>
        </w:rPr>
      </w:pPr>
      <w:r>
        <w:rPr>
          <w:b/>
          <w:bCs/>
          <w:iCs/>
          <w:color w:val="000000"/>
          <w:szCs w:val="24"/>
          <w:u w:val="single"/>
        </w:rPr>
        <w:t xml:space="preserve">The purpose of this regulation is to establish uniform requirements for the presentation and display of unit pricing information for consumer commodities offered for retail sale. Unit pricing enables consumers to make </w:t>
      </w:r>
      <w:r>
        <w:rPr>
          <w:b/>
          <w:bCs/>
          <w:iCs/>
          <w:color w:val="000000"/>
          <w:szCs w:val="24"/>
          <w:u w:val="single"/>
        </w:rPr>
        <w:lastRenderedPageBreak/>
        <w:t>value-based price comparisons by providing cost-per-unit-of-measure information. This regulation supports fair marketing practices, promotes pricing transparency, and enhances consumer choice across all retail channels, including in-store and e-commerce environments.</w:t>
      </w:r>
    </w:p>
    <w:p w14:paraId="0AF3FA2C" w14:textId="77777777" w:rsidR="00E34C39" w:rsidRDefault="00E34C39" w:rsidP="00E34C39">
      <w:pPr>
        <w:tabs>
          <w:tab w:val="left" w:pos="360"/>
        </w:tabs>
        <w:jc w:val="left"/>
        <w:rPr>
          <w:iCs/>
          <w:color w:val="000000"/>
          <w:szCs w:val="24"/>
        </w:rPr>
      </w:pPr>
      <w:r>
        <w:rPr>
          <w:iCs/>
          <w:color w:val="000000"/>
          <w:szCs w:val="24"/>
        </w:rPr>
        <w:t>Except for random and uniform weight packages that clearly state the unit price</w:t>
      </w:r>
      <w:r>
        <w:fldChar w:fldCharType="begin"/>
      </w:r>
      <w:r>
        <w:rPr>
          <w:iCs/>
          <w:color w:val="000000"/>
          <w:szCs w:val="24"/>
        </w:rPr>
        <w:instrText>xe "Unit pricing"</w:instrText>
      </w:r>
      <w:r>
        <w:fldChar w:fldCharType="end"/>
      </w:r>
      <w:r>
        <w:rPr>
          <w:iCs/>
          <w:color w:val="000000"/>
          <w:szCs w:val="24"/>
        </w:rPr>
        <w:t xml:space="preserve"> in accordance with existing regulations, any retail establishment providing unit price information for packaged commodities shall provide the unit price information in the manner prescribed herein.</w:t>
      </w:r>
    </w:p>
    <w:p w14:paraId="4CD11C1C" w14:textId="77777777" w:rsidR="00E34C39" w:rsidRDefault="00E34C39" w:rsidP="00E34C39">
      <w:pPr>
        <w:tabs>
          <w:tab w:val="left" w:pos="360"/>
        </w:tabs>
        <w:jc w:val="left"/>
        <w:rPr>
          <w:b/>
          <w:bCs/>
          <w:iCs/>
          <w:color w:val="000000"/>
          <w:szCs w:val="24"/>
          <w:u w:val="single"/>
        </w:rPr>
      </w:pPr>
      <w:r>
        <w:rPr>
          <w:b/>
          <w:bCs/>
          <w:iCs/>
          <w:color w:val="000000"/>
          <w:szCs w:val="24"/>
          <w:u w:val="single"/>
        </w:rPr>
        <w:t xml:space="preserve">(Amended 202X) </w:t>
      </w:r>
    </w:p>
    <w:p w14:paraId="0D304BDF" w14:textId="77777777" w:rsidR="00E34C39" w:rsidRDefault="00E34C39" w:rsidP="00E34C39">
      <w:pPr>
        <w:tabs>
          <w:tab w:val="left" w:pos="360"/>
        </w:tabs>
        <w:jc w:val="left"/>
        <w:rPr>
          <w:b/>
          <w:bCs/>
          <w:iCs/>
          <w:color w:val="000000"/>
          <w:u w:val="single"/>
        </w:rPr>
      </w:pPr>
      <w:r>
        <w:rPr>
          <w:b/>
          <w:bCs/>
          <w:iCs/>
          <w:color w:val="000000"/>
          <w:u w:val="single"/>
        </w:rPr>
        <w:t>Section 2. Definitions</w:t>
      </w:r>
    </w:p>
    <w:p w14:paraId="10DB5A7E" w14:textId="77777777" w:rsidR="00E34C39" w:rsidRDefault="00E34C39" w:rsidP="00E34C39">
      <w:pPr>
        <w:tabs>
          <w:tab w:val="left" w:pos="360"/>
        </w:tabs>
        <w:jc w:val="left"/>
        <w:rPr>
          <w:rFonts w:eastAsia="Times New Roman"/>
          <w:b/>
          <w:iCs/>
          <w:color w:val="000000"/>
          <w:szCs w:val="20"/>
          <w:u w:val="single"/>
        </w:rPr>
      </w:pPr>
      <w:r>
        <w:rPr>
          <w:rFonts w:eastAsia="Times New Roman"/>
          <w:b/>
          <w:i/>
          <w:color w:val="000000"/>
          <w:szCs w:val="20"/>
          <w:u w:val="single"/>
        </w:rPr>
        <w:t xml:space="preserve">2.1 Unit Price – </w:t>
      </w:r>
      <w:r>
        <w:rPr>
          <w:rFonts w:eastAsia="Times New Roman"/>
          <w:b/>
          <w:iCs/>
          <w:color w:val="000000"/>
          <w:szCs w:val="20"/>
          <w:u w:val="single"/>
        </w:rPr>
        <w:t>A</w:t>
      </w:r>
      <w:r>
        <w:rPr>
          <w:rFonts w:eastAsia="Times New Roman"/>
          <w:b/>
          <w:i/>
          <w:color w:val="000000"/>
          <w:szCs w:val="20"/>
          <w:u w:val="single"/>
        </w:rPr>
        <w:t xml:space="preserve"> </w:t>
      </w:r>
      <w:r>
        <w:rPr>
          <w:rFonts w:eastAsia="Times New Roman"/>
          <w:b/>
          <w:iCs/>
          <w:color w:val="000000"/>
          <w:szCs w:val="20"/>
          <w:u w:val="single"/>
        </w:rPr>
        <w:t>Unit price is the cost per unit of measure of products, such as the cost per milliliter or per ounce.</w:t>
      </w:r>
    </w:p>
    <w:p w14:paraId="4A2B5B41" w14:textId="77777777" w:rsidR="00E34C39" w:rsidRDefault="00E34C39" w:rsidP="00E34C39">
      <w:pPr>
        <w:widowControl w:val="0"/>
        <w:autoSpaceDE w:val="0"/>
        <w:autoSpaceDN w:val="0"/>
        <w:spacing w:before="120" w:after="0"/>
        <w:rPr>
          <w:rFonts w:eastAsia="Times New Roman"/>
          <w:szCs w:val="20"/>
        </w:rPr>
      </w:pPr>
      <w:r>
        <w:rPr>
          <w:rFonts w:eastAsia="Times New Roman"/>
          <w:b/>
          <w:bCs/>
          <w:i/>
          <w:iCs/>
          <w:szCs w:val="20"/>
          <w:u w:val="single"/>
        </w:rPr>
        <w:t>2.2 Retail Price</w:t>
      </w:r>
      <w:r>
        <w:rPr>
          <w:rFonts w:eastAsia="Times New Roman"/>
          <w:b/>
          <w:bCs/>
          <w:szCs w:val="20"/>
          <w:u w:val="single"/>
        </w:rPr>
        <w:t xml:space="preserve"> – Retail price is the total selling price of a consumer commodity</w:t>
      </w:r>
      <w:r>
        <w:rPr>
          <w:rFonts w:eastAsia="Times New Roman"/>
          <w:szCs w:val="20"/>
        </w:rPr>
        <w:t>.</w:t>
      </w:r>
    </w:p>
    <w:p w14:paraId="7C58B163" w14:textId="77777777" w:rsidR="00E34C39" w:rsidRDefault="00E34C39" w:rsidP="00E34C39">
      <w:pPr>
        <w:widowControl w:val="0"/>
        <w:autoSpaceDE w:val="0"/>
        <w:autoSpaceDN w:val="0"/>
        <w:spacing w:before="120" w:after="0"/>
        <w:rPr>
          <w:rFonts w:eastAsia="Times New Roman"/>
          <w:b/>
          <w:i/>
          <w:iCs/>
          <w:szCs w:val="20"/>
          <w:u w:val="single"/>
        </w:rPr>
      </w:pPr>
      <w:r>
        <w:rPr>
          <w:rFonts w:eastAsia="Times New Roman"/>
          <w:b/>
          <w:i/>
          <w:iCs/>
          <w:szCs w:val="20"/>
          <w:u w:val="single"/>
        </w:rPr>
        <w:t xml:space="preserve">2.3 Electronic Shelf Label (ESL)- </w:t>
      </w:r>
      <w:r>
        <w:rPr>
          <w:rFonts w:eastAsia="Times New Roman"/>
          <w:b/>
          <w:szCs w:val="20"/>
          <w:u w:val="single"/>
        </w:rPr>
        <w:t xml:space="preserve">An ESL is an electronic display that retailers can use to present a product's name, price, unit price, and other information on a small wired or wireless panel, usually on the edge of a store shelf. </w:t>
      </w:r>
    </w:p>
    <w:p w14:paraId="719A2EEE" w14:textId="77777777" w:rsidR="00E34C39" w:rsidRDefault="00E34C39" w:rsidP="00E34C39">
      <w:pPr>
        <w:widowControl w:val="0"/>
        <w:autoSpaceDE w:val="0"/>
        <w:autoSpaceDN w:val="0"/>
        <w:spacing w:before="120" w:after="0"/>
        <w:rPr>
          <w:rFonts w:eastAsia="Times New Roman"/>
          <w:b/>
          <w:szCs w:val="20"/>
          <w:u w:val="single"/>
        </w:rPr>
      </w:pPr>
      <w:r>
        <w:rPr>
          <w:rFonts w:eastAsia="Times New Roman"/>
          <w:b/>
          <w:i/>
          <w:iCs/>
          <w:szCs w:val="20"/>
          <w:u w:val="single"/>
        </w:rPr>
        <w:t xml:space="preserve">2.4 E-Commerce - </w:t>
      </w:r>
      <w:r>
        <w:rPr>
          <w:rFonts w:eastAsia="Times New Roman"/>
          <w:b/>
          <w:szCs w:val="20"/>
          <w:u w:val="single"/>
        </w:rPr>
        <w:t>E-commerce is the process of using digital platforms to offer for sale, transact sales, and deliver consumer product(s) or non-consumer product(s) when the purchaser is not physically present at the point of purchase.</w:t>
      </w:r>
    </w:p>
    <w:p w14:paraId="430745FD" w14:textId="77777777" w:rsidR="00E34C39" w:rsidRDefault="00E34C39" w:rsidP="00E34C39">
      <w:pPr>
        <w:tabs>
          <w:tab w:val="left" w:pos="360"/>
        </w:tabs>
        <w:jc w:val="left"/>
        <w:rPr>
          <w:b/>
          <w:bCs/>
          <w:iCs/>
          <w:color w:val="000000"/>
          <w:szCs w:val="24"/>
          <w:u w:val="single"/>
        </w:rPr>
      </w:pPr>
    </w:p>
    <w:p w14:paraId="0914D98C" w14:textId="77777777" w:rsidR="00E34C39" w:rsidRDefault="00E34C39" w:rsidP="00E34C39">
      <w:pPr>
        <w:tabs>
          <w:tab w:val="left" w:pos="360"/>
        </w:tabs>
        <w:jc w:val="left"/>
        <w:rPr>
          <w:b/>
          <w:bCs/>
          <w:iCs/>
          <w:color w:val="000000"/>
          <w:szCs w:val="24"/>
          <w:u w:val="single"/>
        </w:rPr>
      </w:pPr>
      <w:r>
        <w:rPr>
          <w:b/>
          <w:bCs/>
          <w:iCs/>
          <w:color w:val="000000"/>
          <w:szCs w:val="24"/>
          <w:u w:val="single"/>
        </w:rPr>
        <w:t xml:space="preserve">(Amended 202X) </w:t>
      </w:r>
    </w:p>
    <w:p w14:paraId="7FEA9324" w14:textId="77777777" w:rsidR="00E34C39" w:rsidRDefault="00E34C39" w:rsidP="00E34C39">
      <w:pPr>
        <w:keepNext/>
        <w:tabs>
          <w:tab w:val="left" w:pos="360"/>
        </w:tabs>
        <w:spacing w:before="400" w:after="180"/>
        <w:jc w:val="left"/>
        <w:outlineLvl w:val="5"/>
        <w:rPr>
          <w:b/>
          <w:bCs/>
          <w:szCs w:val="20"/>
        </w:rPr>
      </w:pPr>
      <w:bookmarkStart w:id="95" w:name="_Toc173470313"/>
      <w:bookmarkStart w:id="96" w:name="_Toc173471547"/>
      <w:bookmarkStart w:id="97" w:name="_Toc173474195"/>
      <w:bookmarkStart w:id="98" w:name="_Toc173771791"/>
      <w:bookmarkStart w:id="99" w:name="_Toc205539074"/>
      <w:bookmarkStart w:id="100" w:name="_Toc157693412"/>
      <w:r>
        <w:rPr>
          <w:b/>
          <w:bCs/>
          <w:szCs w:val="20"/>
        </w:rPr>
        <w:t xml:space="preserve">Section </w:t>
      </w:r>
      <w:r>
        <w:rPr>
          <w:b/>
          <w:bCs/>
          <w:strike/>
          <w:szCs w:val="20"/>
        </w:rPr>
        <w:t>2</w:t>
      </w:r>
      <w:r>
        <w:rPr>
          <w:b/>
          <w:bCs/>
          <w:szCs w:val="20"/>
          <w:u w:val="single"/>
        </w:rPr>
        <w:t>3</w:t>
      </w:r>
      <w:r>
        <w:rPr>
          <w:b/>
          <w:bCs/>
          <w:szCs w:val="20"/>
        </w:rPr>
        <w:t>.  Terms for Unit Pricing</w:t>
      </w:r>
      <w:bookmarkEnd w:id="95"/>
      <w:bookmarkEnd w:id="96"/>
      <w:bookmarkEnd w:id="97"/>
      <w:bookmarkEnd w:id="98"/>
      <w:bookmarkEnd w:id="99"/>
      <w:bookmarkEnd w:id="100"/>
      <w:r>
        <w:fldChar w:fldCharType="begin"/>
      </w:r>
      <w:r>
        <w:rPr>
          <w:b/>
          <w:bCs/>
          <w:szCs w:val="20"/>
        </w:rPr>
        <w:instrText>xe "Unit pricing"</w:instrText>
      </w:r>
      <w:r>
        <w:fldChar w:fldCharType="end"/>
      </w:r>
    </w:p>
    <w:p w14:paraId="651BD0A0" w14:textId="77777777" w:rsidR="00E34C39" w:rsidRDefault="00E34C39" w:rsidP="00E34C39">
      <w:pPr>
        <w:tabs>
          <w:tab w:val="left" w:pos="360"/>
        </w:tabs>
        <w:jc w:val="left"/>
        <w:rPr>
          <w:iCs/>
          <w:strike/>
          <w:color w:val="000000"/>
          <w:szCs w:val="24"/>
        </w:rPr>
      </w:pPr>
      <w:r>
        <w:rPr>
          <w:iCs/>
          <w:strike/>
          <w:color w:val="000000"/>
          <w:szCs w:val="24"/>
        </w:rPr>
        <w:t>The declaration of the unit price of a particular commodity in all package sizes offered for sale in a retail establishment shall be uniformly and consistently expressed in terms of:</w:t>
      </w:r>
    </w:p>
    <w:p w14:paraId="771F7066" w14:textId="77777777" w:rsidR="00E34C39" w:rsidRDefault="00E34C39" w:rsidP="00E34C39">
      <w:pPr>
        <w:tabs>
          <w:tab w:val="left" w:pos="360"/>
        </w:tabs>
        <w:jc w:val="left"/>
        <w:rPr>
          <w:b/>
          <w:bCs/>
          <w:iCs/>
          <w:color w:val="000000"/>
          <w:szCs w:val="24"/>
          <w:u w:val="single"/>
        </w:rPr>
      </w:pPr>
      <w:r>
        <w:rPr>
          <w:rFonts w:eastAsia="Times New Roman"/>
          <w:b/>
          <w:bCs/>
          <w:iCs/>
          <w:color w:val="000000"/>
          <w:szCs w:val="20"/>
          <w:u w:val="single"/>
        </w:rPr>
        <w:t>The declaration of the unit price of a particular product category in all package sizes offered for sale in a retail establishment or e-commerce site shall be uniformly and consistently expressed in the terms below. The same unit of measure should be used whether sold in a standard pre-pack, random weight pre-pack, loose from bulk, and regardless of multiple locations within the store or e-commerce sites</w:t>
      </w:r>
    </w:p>
    <w:p w14:paraId="0C27F6F0" w14:textId="77777777" w:rsidR="00E34C39" w:rsidRDefault="00E34C39" w:rsidP="00E34C39">
      <w:pPr>
        <w:tabs>
          <w:tab w:val="left" w:pos="360"/>
        </w:tabs>
        <w:ind w:left="720" w:hanging="360"/>
        <w:jc w:val="left"/>
        <w:rPr>
          <w:iCs/>
          <w:color w:val="000000"/>
          <w:szCs w:val="24"/>
        </w:rPr>
      </w:pPr>
      <w:r>
        <w:rPr>
          <w:iCs/>
          <w:color w:val="000000"/>
          <w:szCs w:val="24"/>
        </w:rPr>
        <w:t>(a)</w:t>
      </w:r>
      <w:r>
        <w:rPr>
          <w:iCs/>
          <w:color w:val="000000"/>
          <w:szCs w:val="24"/>
        </w:rPr>
        <w:tab/>
        <w:t>Price per kilogram or 100 g, or price per pound or ounce, if the net quantity of contents of the commodity is in terms of weight.</w:t>
      </w:r>
    </w:p>
    <w:p w14:paraId="74390EA8" w14:textId="77777777" w:rsidR="00E34C39" w:rsidRDefault="00E34C39" w:rsidP="00E34C39">
      <w:pPr>
        <w:tabs>
          <w:tab w:val="left" w:pos="360"/>
        </w:tabs>
        <w:ind w:left="720" w:hanging="360"/>
        <w:jc w:val="left"/>
        <w:rPr>
          <w:iCs/>
          <w:color w:val="000000"/>
          <w:szCs w:val="24"/>
        </w:rPr>
      </w:pPr>
      <w:r>
        <w:rPr>
          <w:iCs/>
          <w:color w:val="000000"/>
          <w:szCs w:val="24"/>
        </w:rPr>
        <w:t>(b)</w:t>
      </w:r>
      <w:r>
        <w:rPr>
          <w:iCs/>
          <w:color w:val="000000"/>
          <w:szCs w:val="24"/>
        </w:rPr>
        <w:tab/>
        <w:t>Price per liter</w:t>
      </w:r>
      <w:r>
        <w:rPr>
          <w:b/>
          <w:bCs/>
          <w:iCs/>
          <w:color w:val="000000"/>
          <w:szCs w:val="24"/>
          <w:u w:val="single"/>
        </w:rPr>
        <w:t>,</w:t>
      </w:r>
      <w:r>
        <w:rPr>
          <w:iCs/>
          <w:color w:val="000000"/>
          <w:szCs w:val="24"/>
        </w:rPr>
        <w:t xml:space="preserve"> </w:t>
      </w:r>
      <w:r>
        <w:rPr>
          <w:iCs/>
          <w:strike/>
          <w:color w:val="000000"/>
          <w:szCs w:val="24"/>
        </w:rPr>
        <w:t>or</w:t>
      </w:r>
      <w:r>
        <w:rPr>
          <w:iCs/>
          <w:color w:val="000000"/>
          <w:szCs w:val="24"/>
        </w:rPr>
        <w:t xml:space="preserve"> 100 mL, </w:t>
      </w:r>
      <w:r>
        <w:rPr>
          <w:b/>
          <w:bCs/>
          <w:iCs/>
          <w:color w:val="000000"/>
          <w:szCs w:val="24"/>
          <w:u w:val="single"/>
        </w:rPr>
        <w:t>cubic meter, cubic decimeter, or cubic centimeter,</w:t>
      </w:r>
      <w:r>
        <w:rPr>
          <w:iCs/>
          <w:color w:val="000000"/>
          <w:szCs w:val="24"/>
        </w:rPr>
        <w:t xml:space="preserve"> or price per dry quart</w:t>
      </w:r>
      <w:r>
        <w:rPr>
          <w:b/>
          <w:bCs/>
          <w:iCs/>
          <w:color w:val="000000"/>
          <w:szCs w:val="24"/>
          <w:u w:val="single"/>
        </w:rPr>
        <w:t>,</w:t>
      </w:r>
      <w:r>
        <w:rPr>
          <w:iCs/>
          <w:color w:val="000000"/>
          <w:szCs w:val="24"/>
        </w:rPr>
        <w:t xml:space="preserve"> </w:t>
      </w:r>
      <w:r>
        <w:rPr>
          <w:iCs/>
          <w:strike/>
          <w:color w:val="000000"/>
          <w:szCs w:val="24"/>
        </w:rPr>
        <w:t>or</w:t>
      </w:r>
      <w:r>
        <w:rPr>
          <w:iCs/>
          <w:color w:val="000000"/>
          <w:szCs w:val="24"/>
        </w:rPr>
        <w:t xml:space="preserve"> dry pint</w:t>
      </w:r>
      <w:r>
        <w:rPr>
          <w:b/>
          <w:bCs/>
          <w:iCs/>
          <w:color w:val="000000"/>
          <w:szCs w:val="24"/>
          <w:u w:val="single"/>
        </w:rPr>
        <w:t>, cubic yard, cubic foot, or cubic inch</w:t>
      </w:r>
      <w:r>
        <w:rPr>
          <w:iCs/>
          <w:color w:val="000000"/>
          <w:szCs w:val="24"/>
        </w:rPr>
        <w:t xml:space="preserve"> if the net quantity of contents of the commodity is in terms of dry measure or volume.</w:t>
      </w:r>
    </w:p>
    <w:p w14:paraId="4BF42915" w14:textId="77777777" w:rsidR="00E34C39" w:rsidRDefault="00E34C39" w:rsidP="00E34C39">
      <w:pPr>
        <w:tabs>
          <w:tab w:val="left" w:pos="360"/>
        </w:tabs>
        <w:ind w:left="720" w:hanging="360"/>
        <w:jc w:val="left"/>
        <w:rPr>
          <w:iCs/>
          <w:color w:val="000000"/>
          <w:szCs w:val="24"/>
        </w:rPr>
      </w:pPr>
      <w:r>
        <w:rPr>
          <w:iCs/>
          <w:color w:val="000000"/>
          <w:szCs w:val="24"/>
        </w:rPr>
        <w:t>(c)</w:t>
      </w:r>
      <w:r>
        <w:rPr>
          <w:iCs/>
          <w:color w:val="000000"/>
          <w:szCs w:val="24"/>
        </w:rPr>
        <w:tab/>
        <w:t>Price per liter or 100 mL, or price per gallon, quart, pint, or fluid ounce, if the net quantity of contents of the commodity is in terms of liquid volume.</w:t>
      </w:r>
    </w:p>
    <w:p w14:paraId="70D8F3C0" w14:textId="77777777" w:rsidR="00E34C39" w:rsidRDefault="00E34C39" w:rsidP="00E34C39">
      <w:pPr>
        <w:tabs>
          <w:tab w:val="left" w:pos="360"/>
        </w:tabs>
        <w:ind w:left="720" w:hanging="360"/>
        <w:jc w:val="left"/>
        <w:rPr>
          <w:iCs/>
          <w:color w:val="000000"/>
          <w:szCs w:val="24"/>
        </w:rPr>
      </w:pPr>
      <w:r>
        <w:rPr>
          <w:iCs/>
          <w:color w:val="000000"/>
          <w:szCs w:val="24"/>
        </w:rPr>
        <w:t>(d)</w:t>
      </w:r>
      <w:r>
        <w:rPr>
          <w:iCs/>
          <w:color w:val="000000"/>
          <w:szCs w:val="24"/>
        </w:rPr>
        <w:tab/>
        <w:t>Price per individual unit or multiple units if the net quantity of contents of the commodity is in terms of count.</w:t>
      </w:r>
    </w:p>
    <w:p w14:paraId="4E0C06E2" w14:textId="77777777" w:rsidR="00E34C39" w:rsidRDefault="00E34C39" w:rsidP="00E34C39">
      <w:pPr>
        <w:tabs>
          <w:tab w:val="left" w:pos="360"/>
        </w:tabs>
        <w:ind w:left="720" w:hanging="360"/>
        <w:jc w:val="left"/>
        <w:rPr>
          <w:iCs/>
          <w:color w:val="000000"/>
          <w:szCs w:val="24"/>
        </w:rPr>
      </w:pPr>
      <w:r>
        <w:rPr>
          <w:iCs/>
          <w:color w:val="000000"/>
          <w:szCs w:val="24"/>
        </w:rPr>
        <w:t>(e)</w:t>
      </w:r>
      <w:r>
        <w:rPr>
          <w:iCs/>
          <w:color w:val="000000"/>
          <w:szCs w:val="24"/>
        </w:rPr>
        <w:tab/>
        <w:t xml:space="preserve">Price per square meter, square decimeter, or square centimeter, or price per </w:t>
      </w:r>
      <w:r>
        <w:rPr>
          <w:b/>
          <w:bCs/>
          <w:iCs/>
          <w:color w:val="000000"/>
          <w:szCs w:val="24"/>
          <w:u w:val="single"/>
        </w:rPr>
        <w:t xml:space="preserve">100 square feet, </w:t>
      </w:r>
      <w:r>
        <w:rPr>
          <w:iCs/>
          <w:color w:val="000000"/>
          <w:szCs w:val="24"/>
        </w:rPr>
        <w:t>square yard, square foot, or square inch, if the net quantity of contents of the commodity is in terms of area.</w:t>
      </w:r>
    </w:p>
    <w:p w14:paraId="3E70E8F0" w14:textId="77777777" w:rsidR="00E34C39" w:rsidRDefault="00E34C39" w:rsidP="00E34C39">
      <w:pPr>
        <w:tabs>
          <w:tab w:val="left" w:pos="360"/>
        </w:tabs>
        <w:spacing w:after="60"/>
        <w:ind w:left="720" w:hanging="360"/>
        <w:jc w:val="left"/>
        <w:rPr>
          <w:iCs/>
          <w:color w:val="000000"/>
          <w:szCs w:val="20"/>
        </w:rPr>
      </w:pPr>
      <w:r>
        <w:rPr>
          <w:iCs/>
          <w:color w:val="000000"/>
          <w:szCs w:val="24"/>
        </w:rPr>
        <w:lastRenderedPageBreak/>
        <w:t>(f)</w:t>
      </w:r>
      <w:r>
        <w:rPr>
          <w:iCs/>
          <w:color w:val="000000"/>
          <w:szCs w:val="24"/>
        </w:rPr>
        <w:tab/>
      </w:r>
      <w:r>
        <w:rPr>
          <w:iCs/>
          <w:color w:val="000000"/>
          <w:szCs w:val="20"/>
        </w:rPr>
        <w:t>Price per meter, decimeter, centimeter or price per yard, foot, or 100 feet, or inch, if net quantity of contents of the commodity is in terms of length.</w:t>
      </w:r>
    </w:p>
    <w:p w14:paraId="0CA51B0E" w14:textId="77777777" w:rsidR="00E34C39" w:rsidRDefault="00E34C39" w:rsidP="00E34C39">
      <w:pPr>
        <w:tabs>
          <w:tab w:val="left" w:pos="360"/>
        </w:tabs>
        <w:spacing w:after="60"/>
        <w:ind w:left="720" w:hanging="360"/>
        <w:jc w:val="left"/>
        <w:rPr>
          <w:b/>
          <w:bCs/>
          <w:iCs/>
          <w:color w:val="000000"/>
          <w:szCs w:val="24"/>
          <w:u w:val="single"/>
        </w:rPr>
      </w:pPr>
      <w:r>
        <w:rPr>
          <w:b/>
          <w:bCs/>
          <w:iCs/>
          <w:color w:val="000000"/>
          <w:szCs w:val="24"/>
          <w:u w:val="single"/>
        </w:rPr>
        <w:t>(g)</w:t>
      </w:r>
      <w:r>
        <w:rPr>
          <w:b/>
          <w:bCs/>
          <w:iCs/>
          <w:color w:val="000000"/>
          <w:szCs w:val="24"/>
          <w:u w:val="single"/>
        </w:rPr>
        <w:tab/>
        <w:t>Products such as wine and spirits must be unit priced in metric only in accordance with federal law.</w:t>
      </w:r>
    </w:p>
    <w:p w14:paraId="350B8FB9" w14:textId="77777777" w:rsidR="00E34C39" w:rsidRDefault="00E34C39" w:rsidP="00E34C39">
      <w:pPr>
        <w:tabs>
          <w:tab w:val="left" w:pos="360"/>
        </w:tabs>
        <w:spacing w:after="0"/>
        <w:ind w:left="720" w:hanging="360"/>
        <w:jc w:val="left"/>
        <w:rPr>
          <w:b/>
          <w:bCs/>
          <w:iCs/>
          <w:color w:val="000000"/>
          <w:szCs w:val="20"/>
          <w:u w:val="single"/>
        </w:rPr>
      </w:pPr>
    </w:p>
    <w:p w14:paraId="1795896C" w14:textId="77777777" w:rsidR="00E34C39" w:rsidRDefault="00E34C39" w:rsidP="00E34C39">
      <w:pPr>
        <w:tabs>
          <w:tab w:val="left" w:pos="360"/>
        </w:tabs>
        <w:spacing w:after="60"/>
        <w:ind w:left="720" w:hanging="360"/>
        <w:jc w:val="left"/>
        <w:rPr>
          <w:b/>
          <w:bCs/>
          <w:iCs/>
          <w:color w:val="000000"/>
          <w:szCs w:val="20"/>
          <w:u w:val="single"/>
        </w:rPr>
      </w:pPr>
      <w:r>
        <w:rPr>
          <w:b/>
          <w:bCs/>
          <w:iCs/>
          <w:color w:val="000000"/>
          <w:szCs w:val="20"/>
          <w:u w:val="single"/>
        </w:rPr>
        <w:t>(h) Unit pricing based on non-standard or ambiguous measures (e.g., “uses”, “servings”) is prohibited.</w:t>
      </w:r>
    </w:p>
    <w:p w14:paraId="5EC5A636" w14:textId="77777777" w:rsidR="00E34C39" w:rsidRDefault="00E34C39" w:rsidP="00E34C39">
      <w:pPr>
        <w:tabs>
          <w:tab w:val="left" w:pos="360"/>
        </w:tabs>
        <w:spacing w:after="60"/>
        <w:ind w:left="720" w:hanging="360"/>
        <w:jc w:val="left"/>
        <w:rPr>
          <w:iCs/>
          <w:color w:val="000000"/>
          <w:szCs w:val="20"/>
        </w:rPr>
      </w:pPr>
    </w:p>
    <w:p w14:paraId="5F864560" w14:textId="77777777" w:rsidR="00E34C39" w:rsidRDefault="00E34C39" w:rsidP="00E34C39">
      <w:pPr>
        <w:tabs>
          <w:tab w:val="left" w:pos="360"/>
        </w:tabs>
        <w:ind w:left="720"/>
        <w:jc w:val="left"/>
        <w:rPr>
          <w:iCs/>
          <w:szCs w:val="20"/>
        </w:rPr>
      </w:pPr>
      <w:r>
        <w:rPr>
          <w:iCs/>
          <w:szCs w:val="20"/>
        </w:rPr>
        <w:t xml:space="preserve">(Amended 2023 </w:t>
      </w:r>
      <w:r>
        <w:rPr>
          <w:b/>
          <w:bCs/>
          <w:iCs/>
          <w:szCs w:val="20"/>
          <w:u w:val="single"/>
        </w:rPr>
        <w:t>&amp; 202X</w:t>
      </w:r>
      <w:r>
        <w:rPr>
          <w:iCs/>
          <w:szCs w:val="20"/>
        </w:rPr>
        <w:t>)</w:t>
      </w:r>
    </w:p>
    <w:p w14:paraId="3D2052F6" w14:textId="77777777" w:rsidR="00E34C39" w:rsidRDefault="00E34C39" w:rsidP="00E34C39">
      <w:pPr>
        <w:keepNext/>
        <w:tabs>
          <w:tab w:val="left" w:pos="360"/>
        </w:tabs>
        <w:spacing w:before="400" w:after="180"/>
        <w:jc w:val="left"/>
        <w:outlineLvl w:val="5"/>
        <w:rPr>
          <w:b/>
          <w:bCs/>
          <w:szCs w:val="20"/>
        </w:rPr>
      </w:pPr>
      <w:bookmarkStart w:id="101" w:name="_Toc173470314"/>
      <w:bookmarkStart w:id="102" w:name="_Toc173471548"/>
      <w:bookmarkStart w:id="103" w:name="_Toc173474196"/>
      <w:bookmarkStart w:id="104" w:name="_Toc173771792"/>
      <w:bookmarkStart w:id="105" w:name="_Toc205539075"/>
      <w:bookmarkStart w:id="106" w:name="_Toc157693413"/>
      <w:r>
        <w:rPr>
          <w:b/>
          <w:bCs/>
          <w:szCs w:val="20"/>
        </w:rPr>
        <w:t xml:space="preserve">Section </w:t>
      </w:r>
      <w:r>
        <w:rPr>
          <w:b/>
          <w:bCs/>
          <w:strike/>
          <w:szCs w:val="20"/>
        </w:rPr>
        <w:t>3</w:t>
      </w:r>
      <w:r>
        <w:rPr>
          <w:b/>
          <w:bCs/>
          <w:szCs w:val="20"/>
          <w:u w:val="single"/>
        </w:rPr>
        <w:t>4</w:t>
      </w:r>
      <w:r>
        <w:rPr>
          <w:b/>
          <w:bCs/>
          <w:szCs w:val="20"/>
        </w:rPr>
        <w:t>.  Exemptions</w:t>
      </w:r>
      <w:bookmarkEnd w:id="101"/>
      <w:bookmarkEnd w:id="102"/>
      <w:bookmarkEnd w:id="103"/>
      <w:bookmarkEnd w:id="104"/>
      <w:bookmarkEnd w:id="105"/>
      <w:bookmarkEnd w:id="106"/>
    </w:p>
    <w:p w14:paraId="1C1B6E1A" w14:textId="77777777" w:rsidR="00E34C39" w:rsidRDefault="00E34C39" w:rsidP="00E34C39">
      <w:pPr>
        <w:tabs>
          <w:tab w:val="left" w:pos="360"/>
        </w:tabs>
        <w:ind w:left="720" w:hanging="360"/>
        <w:jc w:val="left"/>
        <w:rPr>
          <w:iCs/>
          <w:color w:val="000000"/>
          <w:szCs w:val="24"/>
        </w:rPr>
      </w:pPr>
      <w:r>
        <w:rPr>
          <w:iCs/>
          <w:color w:val="000000"/>
          <w:szCs w:val="24"/>
        </w:rPr>
        <w:t>(</w:t>
      </w:r>
      <w:r>
        <w:rPr>
          <w:iCs/>
          <w:strike/>
          <w:color w:val="000000"/>
          <w:szCs w:val="24"/>
        </w:rPr>
        <w:t>a</w:t>
      </w:r>
      <w:r>
        <w:rPr>
          <w:iCs/>
          <w:color w:val="000000"/>
          <w:szCs w:val="24"/>
        </w:rPr>
        <w:t>)</w:t>
      </w:r>
      <w:r>
        <w:rPr>
          <w:iCs/>
          <w:color w:val="000000"/>
          <w:szCs w:val="24"/>
        </w:rPr>
        <w:tab/>
      </w:r>
      <w:r>
        <w:rPr>
          <w:iCs/>
          <w:strike/>
          <w:color w:val="000000"/>
          <w:szCs w:val="24"/>
        </w:rPr>
        <w:t xml:space="preserve">Small Packages. – </w:t>
      </w:r>
      <w:r>
        <w:fldChar w:fldCharType="begin"/>
      </w:r>
      <w:r>
        <w:rPr>
          <w:iCs/>
          <w:strike/>
          <w:color w:val="000000"/>
          <w:szCs w:val="24"/>
        </w:rPr>
        <w:instrText xml:space="preserve"> XE "Package:Exemptions, small" </w:instrText>
      </w:r>
      <w:r>
        <w:fldChar w:fldCharType="end"/>
      </w:r>
      <w:r>
        <w:rPr>
          <w:iCs/>
          <w:strike/>
          <w:color w:val="000000"/>
          <w:szCs w:val="24"/>
        </w:rPr>
        <w:t>Commodities shall be exempt from these provisions when packaged in quantities of less than 28 g (1 oz) or 29 mL (1 fl oz) or when the total retail price is 50 cents or less.</w:t>
      </w:r>
    </w:p>
    <w:p w14:paraId="635BA0E7" w14:textId="77777777" w:rsidR="00E34C39" w:rsidRDefault="00E34C39" w:rsidP="00E34C39">
      <w:pPr>
        <w:tabs>
          <w:tab w:val="left" w:pos="360"/>
        </w:tabs>
        <w:ind w:left="720" w:hanging="360"/>
        <w:jc w:val="left"/>
        <w:rPr>
          <w:iCs/>
          <w:color w:val="000000"/>
          <w:szCs w:val="24"/>
        </w:rPr>
      </w:pPr>
      <w:r>
        <w:rPr>
          <w:iCs/>
          <w:color w:val="000000"/>
          <w:szCs w:val="24"/>
        </w:rPr>
        <w:t>(</w:t>
      </w:r>
      <w:r>
        <w:rPr>
          <w:iCs/>
          <w:strike/>
          <w:color w:val="000000"/>
          <w:szCs w:val="24"/>
        </w:rPr>
        <w:t>b</w:t>
      </w:r>
      <w:r>
        <w:rPr>
          <w:iCs/>
          <w:color w:val="000000"/>
          <w:szCs w:val="24"/>
        </w:rPr>
        <w:t>)</w:t>
      </w:r>
      <w:r>
        <w:rPr>
          <w:iCs/>
          <w:color w:val="000000"/>
          <w:szCs w:val="24"/>
        </w:rPr>
        <w:tab/>
      </w:r>
      <w:r>
        <w:rPr>
          <w:iCs/>
          <w:strike/>
          <w:color w:val="000000"/>
          <w:szCs w:val="24"/>
        </w:rPr>
        <w:t xml:space="preserve">Single Items. – </w:t>
      </w:r>
      <w:r>
        <w:fldChar w:fldCharType="begin"/>
      </w:r>
      <w:r>
        <w:rPr>
          <w:iCs/>
          <w:strike/>
          <w:color w:val="000000"/>
          <w:szCs w:val="24"/>
        </w:rPr>
        <w:instrText xml:space="preserve"> XE "Pckage:Exemptions, single item" </w:instrText>
      </w:r>
      <w:r>
        <w:fldChar w:fldCharType="end"/>
      </w:r>
      <w:r>
        <w:rPr>
          <w:iCs/>
          <w:strike/>
          <w:color w:val="000000"/>
          <w:szCs w:val="24"/>
        </w:rPr>
        <w:t>Commodities shall be exempt from these provisions when only one brand in only one size is offered for sale in a particular retail establishment.</w:t>
      </w:r>
    </w:p>
    <w:p w14:paraId="4D38A65E" w14:textId="77777777" w:rsidR="00E34C39" w:rsidRDefault="00E34C39" w:rsidP="00E34C39">
      <w:pPr>
        <w:tabs>
          <w:tab w:val="left" w:pos="360"/>
        </w:tabs>
        <w:ind w:left="720" w:hanging="360"/>
        <w:jc w:val="left"/>
        <w:rPr>
          <w:iCs/>
          <w:color w:val="000000"/>
          <w:szCs w:val="24"/>
        </w:rPr>
      </w:pPr>
      <w:r>
        <w:rPr>
          <w:iCs/>
          <w:color w:val="000000"/>
          <w:szCs w:val="24"/>
        </w:rPr>
        <w:t>(a)</w:t>
      </w:r>
      <w:r>
        <w:rPr>
          <w:iCs/>
          <w:color w:val="000000"/>
          <w:szCs w:val="24"/>
        </w:rPr>
        <w:tab/>
        <w:t xml:space="preserve">Infant Formula. – </w:t>
      </w:r>
      <w:r>
        <w:fldChar w:fldCharType="begin"/>
      </w:r>
      <w:r>
        <w:rPr>
          <w:iCs/>
          <w:color w:val="000000"/>
          <w:szCs w:val="24"/>
        </w:rPr>
        <w:instrText xml:space="preserve"> XE "Pckage:Exemptions, infant formula" </w:instrText>
      </w:r>
      <w:r>
        <w:fldChar w:fldCharType="end"/>
      </w:r>
      <w:r>
        <w:rPr>
          <w:iCs/>
          <w:color w:val="000000"/>
          <w:szCs w:val="24"/>
        </w:rPr>
        <w:t xml:space="preserve">For “infant formula,” </w:t>
      </w:r>
      <w:r>
        <w:fldChar w:fldCharType="begin"/>
      </w:r>
      <w:r>
        <w:rPr>
          <w:iCs/>
          <w:color w:val="000000"/>
          <w:szCs w:val="24"/>
        </w:rPr>
        <w:instrText xml:space="preserve"> XE "Infant formula" </w:instrText>
      </w:r>
      <w:r>
        <w:fldChar w:fldCharType="end"/>
      </w:r>
      <w:r>
        <w:rPr>
          <w:iCs/>
          <w:color w:val="000000"/>
          <w:szCs w:val="24"/>
        </w:rPr>
        <w:t>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115345EF" w14:textId="77777777" w:rsidR="00E34C39" w:rsidRDefault="00E34C39" w:rsidP="00E34C39">
      <w:pPr>
        <w:tabs>
          <w:tab w:val="left" w:pos="360"/>
        </w:tabs>
        <w:ind w:left="720" w:hanging="360"/>
        <w:jc w:val="left"/>
        <w:rPr>
          <w:iCs/>
          <w:color w:val="000000"/>
          <w:szCs w:val="24"/>
        </w:rPr>
      </w:pPr>
      <w:r>
        <w:rPr>
          <w:iCs/>
          <w:color w:val="000000"/>
          <w:szCs w:val="24"/>
        </w:rPr>
        <w:t>(b)</w:t>
      </w:r>
      <w:r>
        <w:rPr>
          <w:iCs/>
          <w:color w:val="000000"/>
          <w:szCs w:val="24"/>
        </w:rPr>
        <w:tab/>
        <w:t>Variety and Combination Packages</w:t>
      </w:r>
      <w:r>
        <w:fldChar w:fldCharType="begin"/>
      </w:r>
      <w:r>
        <w:rPr>
          <w:iCs/>
          <w:color w:val="000000"/>
          <w:szCs w:val="24"/>
        </w:rPr>
        <w:instrText>xe "Combination package:Exemptions"</w:instrText>
      </w:r>
      <w:r>
        <w:fldChar w:fldCharType="end"/>
      </w:r>
      <w:r>
        <w:fldChar w:fldCharType="begin"/>
      </w:r>
      <w:r>
        <w:rPr>
          <w:iCs/>
          <w:color w:val="000000"/>
          <w:szCs w:val="24"/>
        </w:rPr>
        <w:instrText xml:space="preserve"> XE "Package”:Exemptions, combination package" </w:instrText>
      </w:r>
      <w:r>
        <w:fldChar w:fldCharType="end"/>
      </w:r>
      <w:r>
        <w:fldChar w:fldCharType="begin"/>
      </w:r>
      <w:r>
        <w:rPr>
          <w:iCs/>
          <w:color w:val="000000"/>
          <w:szCs w:val="24"/>
        </w:rPr>
        <w:instrText xml:space="preserve"> XE "Package:Exemptions, variety package" </w:instrText>
      </w:r>
      <w:r>
        <w:fldChar w:fldCharType="end"/>
      </w:r>
      <w:r>
        <w:rPr>
          <w:iCs/>
          <w:color w:val="000000"/>
          <w:szCs w:val="24"/>
        </w:rPr>
        <w:t xml:space="preserve">. – Variety and Combination Packages as defined in Section 2.9 and Section 2.10 in the Uniform Packaging and Labeling Regulation </w:t>
      </w:r>
      <w:r>
        <w:rPr>
          <w:iCs/>
          <w:color w:val="000000"/>
          <w:szCs w:val="20"/>
          <w:vertAlign w:val="superscript"/>
        </w:rPr>
        <w:t xml:space="preserve">[see </w:t>
      </w:r>
      <w:r>
        <w:rPr>
          <w:b/>
          <w:i/>
          <w:iCs/>
          <w:color w:val="000000"/>
          <w:szCs w:val="20"/>
          <w:vertAlign w:val="superscript"/>
        </w:rPr>
        <w:t xml:space="preserve">Section </w:t>
      </w:r>
      <w:r>
        <w:rPr>
          <w:b/>
          <w:i/>
          <w:iCs/>
          <w:strike/>
          <w:color w:val="000000"/>
          <w:szCs w:val="20"/>
          <w:vertAlign w:val="superscript"/>
        </w:rPr>
        <w:t>3</w:t>
      </w:r>
      <w:r>
        <w:rPr>
          <w:b/>
          <w:i/>
          <w:iCs/>
          <w:color w:val="000000"/>
          <w:szCs w:val="20"/>
          <w:u w:val="single"/>
          <w:vertAlign w:val="superscript"/>
        </w:rPr>
        <w:t>4</w:t>
      </w:r>
      <w:r>
        <w:rPr>
          <w:b/>
          <w:i/>
          <w:iCs/>
          <w:color w:val="000000"/>
          <w:szCs w:val="20"/>
          <w:vertAlign w:val="superscript"/>
        </w:rPr>
        <w:t>. NOTE</w:t>
      </w:r>
      <w:r>
        <w:rPr>
          <w:iCs/>
          <w:color w:val="000000"/>
          <w:szCs w:val="20"/>
          <w:vertAlign w:val="superscript"/>
        </w:rPr>
        <w:t>]</w:t>
      </w:r>
      <w:r>
        <w:rPr>
          <w:iCs/>
          <w:color w:val="000000"/>
          <w:szCs w:val="24"/>
        </w:rPr>
        <w:t xml:space="preserve"> shall be exempt from these provisions.</w:t>
      </w:r>
    </w:p>
    <w:p w14:paraId="42AE96E0" w14:textId="77777777" w:rsidR="00E34C39" w:rsidRDefault="00E34C39" w:rsidP="00E34C39">
      <w:pPr>
        <w:tabs>
          <w:tab w:val="left" w:pos="360"/>
        </w:tabs>
        <w:jc w:val="left"/>
        <w:rPr>
          <w:color w:val="000000"/>
          <w:szCs w:val="24"/>
        </w:rPr>
      </w:pPr>
      <w:r>
        <w:rPr>
          <w:iCs/>
          <w:color w:val="000000"/>
          <w:szCs w:val="24"/>
        </w:rPr>
        <w:t xml:space="preserve">   </w:t>
      </w:r>
      <w:r>
        <w:rPr>
          <w:b/>
          <w:bCs/>
          <w:iCs/>
          <w:color w:val="000000"/>
          <w:szCs w:val="24"/>
          <w:u w:val="single"/>
        </w:rPr>
        <w:t>S</w:t>
      </w:r>
      <w:r>
        <w:rPr>
          <w:b/>
          <w:i/>
          <w:iCs/>
          <w:color w:val="000000"/>
          <w:szCs w:val="24"/>
        </w:rPr>
        <w:t xml:space="preserve">ection </w:t>
      </w:r>
      <w:r>
        <w:rPr>
          <w:b/>
          <w:i/>
          <w:iCs/>
          <w:strike/>
          <w:color w:val="000000"/>
          <w:szCs w:val="24"/>
        </w:rPr>
        <w:t>3</w:t>
      </w:r>
      <w:r>
        <w:rPr>
          <w:b/>
          <w:i/>
          <w:iCs/>
          <w:color w:val="000000"/>
          <w:szCs w:val="24"/>
          <w:u w:val="single"/>
        </w:rPr>
        <w:t>4</w:t>
      </w:r>
      <w:r>
        <w:rPr>
          <w:b/>
          <w:i/>
          <w:iCs/>
          <w:color w:val="000000"/>
          <w:szCs w:val="24"/>
        </w:rPr>
        <w:t>. NOTE:</w:t>
      </w:r>
      <w:r>
        <w:rPr>
          <w:i/>
          <w:iCs/>
          <w:color w:val="000000"/>
          <w:szCs w:val="24"/>
        </w:rPr>
        <w:t xml:space="preserve">  </w:t>
      </w:r>
      <w:r>
        <w:rPr>
          <w:color w:val="000000"/>
          <w:szCs w:val="24"/>
        </w:rPr>
        <w:t>See “Uniform Packaging and Labeling Regulation.”</w:t>
      </w:r>
    </w:p>
    <w:p w14:paraId="3EDED9EE" w14:textId="77777777" w:rsidR="00E34C39" w:rsidRDefault="00E34C39" w:rsidP="00E34C39">
      <w:pPr>
        <w:tabs>
          <w:tab w:val="left" w:pos="360"/>
        </w:tabs>
        <w:ind w:left="810"/>
        <w:jc w:val="left"/>
        <w:rPr>
          <w:b/>
          <w:bCs/>
          <w:iCs/>
          <w:color w:val="000000"/>
          <w:szCs w:val="24"/>
          <w:u w:val="single"/>
        </w:rPr>
      </w:pPr>
      <w:r>
        <w:rPr>
          <w:b/>
          <w:bCs/>
          <w:iCs/>
          <w:color w:val="000000"/>
          <w:szCs w:val="24"/>
          <w:u w:val="single"/>
        </w:rPr>
        <w:t xml:space="preserve">(Amended 202X) </w:t>
      </w:r>
    </w:p>
    <w:p w14:paraId="065B4F0A" w14:textId="77777777" w:rsidR="00E34C39" w:rsidRDefault="00E34C39" w:rsidP="00E34C39">
      <w:pPr>
        <w:keepNext/>
        <w:tabs>
          <w:tab w:val="left" w:pos="360"/>
        </w:tabs>
        <w:spacing w:before="400" w:after="180"/>
        <w:jc w:val="left"/>
        <w:outlineLvl w:val="5"/>
        <w:rPr>
          <w:b/>
          <w:bCs/>
          <w:szCs w:val="20"/>
        </w:rPr>
      </w:pPr>
      <w:bookmarkStart w:id="107" w:name="_Toc173470315"/>
      <w:bookmarkStart w:id="108" w:name="_Toc173471549"/>
      <w:bookmarkStart w:id="109" w:name="_Toc173474197"/>
      <w:bookmarkStart w:id="110" w:name="_Toc173771793"/>
      <w:bookmarkStart w:id="111" w:name="_Toc205539076"/>
      <w:bookmarkStart w:id="112" w:name="_Toc157693414"/>
      <w:r>
        <w:rPr>
          <w:b/>
          <w:bCs/>
          <w:szCs w:val="20"/>
        </w:rPr>
        <w:t xml:space="preserve">Section </w:t>
      </w:r>
      <w:r>
        <w:rPr>
          <w:b/>
          <w:bCs/>
          <w:strike/>
          <w:szCs w:val="20"/>
        </w:rPr>
        <w:t>4</w:t>
      </w:r>
      <w:r>
        <w:rPr>
          <w:b/>
          <w:bCs/>
          <w:szCs w:val="20"/>
          <w:u w:val="single"/>
        </w:rPr>
        <w:t>5</w:t>
      </w:r>
      <w:r>
        <w:rPr>
          <w:b/>
          <w:bCs/>
          <w:szCs w:val="20"/>
        </w:rPr>
        <w:t>.  Pricing</w:t>
      </w:r>
      <w:bookmarkEnd w:id="107"/>
      <w:bookmarkEnd w:id="108"/>
      <w:bookmarkEnd w:id="109"/>
      <w:bookmarkEnd w:id="110"/>
      <w:bookmarkEnd w:id="111"/>
      <w:bookmarkEnd w:id="112"/>
    </w:p>
    <w:p w14:paraId="77F3E25C" w14:textId="77777777" w:rsidR="00E34C39" w:rsidRDefault="00E34C39" w:rsidP="00E34C39">
      <w:pPr>
        <w:numPr>
          <w:ilvl w:val="0"/>
          <w:numId w:val="58"/>
        </w:numPr>
        <w:tabs>
          <w:tab w:val="left" w:pos="360"/>
        </w:tabs>
        <w:jc w:val="left"/>
        <w:rPr>
          <w:iCs/>
          <w:color w:val="000000"/>
          <w:szCs w:val="24"/>
        </w:rPr>
      </w:pPr>
      <w:r>
        <w:rPr>
          <w:iCs/>
          <w:color w:val="000000"/>
          <w:szCs w:val="24"/>
        </w:rPr>
        <w:t>The unit price shall be to the nearest cent when a dollar or more.</w:t>
      </w:r>
    </w:p>
    <w:p w14:paraId="623FD84F" w14:textId="77777777" w:rsidR="00E34C39" w:rsidRDefault="00E34C39" w:rsidP="00E34C39">
      <w:pPr>
        <w:numPr>
          <w:ilvl w:val="0"/>
          <w:numId w:val="58"/>
        </w:numPr>
        <w:tabs>
          <w:tab w:val="left" w:pos="360"/>
        </w:tabs>
        <w:jc w:val="left"/>
        <w:rPr>
          <w:iCs/>
          <w:color w:val="000000"/>
          <w:szCs w:val="24"/>
        </w:rPr>
      </w:pPr>
      <w:r>
        <w:rPr>
          <w:iCs/>
          <w:color w:val="000000"/>
          <w:szCs w:val="24"/>
        </w:rPr>
        <w:t>If the unit price is under a dollar, it shall be listed:</w:t>
      </w:r>
    </w:p>
    <w:p w14:paraId="465A3653" w14:textId="77777777" w:rsidR="00E34C39" w:rsidRDefault="00E34C39" w:rsidP="00E34C39">
      <w:pPr>
        <w:numPr>
          <w:ilvl w:val="0"/>
          <w:numId w:val="59"/>
        </w:numPr>
        <w:tabs>
          <w:tab w:val="left" w:pos="360"/>
        </w:tabs>
        <w:ind w:left="1080"/>
        <w:jc w:val="left"/>
        <w:rPr>
          <w:iCs/>
          <w:color w:val="000000"/>
          <w:szCs w:val="24"/>
        </w:rPr>
      </w:pPr>
      <w:r>
        <w:rPr>
          <w:iCs/>
          <w:color w:val="000000"/>
          <w:szCs w:val="24"/>
        </w:rPr>
        <w:t>to the tenth of a cent; or</w:t>
      </w:r>
    </w:p>
    <w:p w14:paraId="0DE2F003" w14:textId="77777777" w:rsidR="00E34C39" w:rsidRDefault="00E34C39" w:rsidP="00E34C39">
      <w:pPr>
        <w:numPr>
          <w:ilvl w:val="0"/>
          <w:numId w:val="59"/>
        </w:numPr>
        <w:tabs>
          <w:tab w:val="left" w:pos="360"/>
        </w:tabs>
        <w:ind w:left="1080"/>
        <w:jc w:val="left"/>
        <w:rPr>
          <w:iCs/>
          <w:color w:val="000000"/>
          <w:szCs w:val="24"/>
        </w:rPr>
      </w:pPr>
      <w:r>
        <w:rPr>
          <w:iCs/>
          <w:color w:val="000000"/>
          <w:szCs w:val="24"/>
        </w:rPr>
        <w:t>to the whole cent.</w:t>
      </w:r>
    </w:p>
    <w:p w14:paraId="561E5F1B" w14:textId="77777777" w:rsidR="00E34C39" w:rsidRDefault="00E34C39" w:rsidP="00E34C39">
      <w:pPr>
        <w:tabs>
          <w:tab w:val="left" w:pos="360"/>
        </w:tabs>
        <w:ind w:left="720"/>
        <w:jc w:val="left"/>
        <w:rPr>
          <w:iCs/>
          <w:color w:val="000000"/>
          <w:szCs w:val="24"/>
        </w:rPr>
      </w:pPr>
      <w:r>
        <w:rPr>
          <w:iCs/>
          <w:color w:val="000000"/>
          <w:szCs w:val="24"/>
        </w:rPr>
        <w:t>The retail establishment shall have the option of using (b)(1) or (b)(2), but shall not implement both methods.</w:t>
      </w:r>
    </w:p>
    <w:p w14:paraId="66337B9A" w14:textId="77777777" w:rsidR="00E34C39" w:rsidRDefault="00E34C39" w:rsidP="00E34C39">
      <w:pPr>
        <w:tabs>
          <w:tab w:val="left" w:pos="360"/>
        </w:tabs>
        <w:jc w:val="left"/>
        <w:rPr>
          <w:iCs/>
          <w:color w:val="000000"/>
          <w:szCs w:val="24"/>
        </w:rPr>
      </w:pPr>
      <w:r>
        <w:rPr>
          <w:iCs/>
          <w:color w:val="000000"/>
          <w:szCs w:val="24"/>
        </w:rPr>
        <w:t>The retail establishment shall accurately and consistently use the same method of rounding up or down to compute the price to the whole cent.</w:t>
      </w:r>
    </w:p>
    <w:p w14:paraId="0288A2D7" w14:textId="77777777" w:rsidR="00BA7868" w:rsidRDefault="00BA7868" w:rsidP="00BA7868">
      <w:pPr>
        <w:keepNext/>
        <w:spacing w:before="400" w:after="180"/>
        <w:rPr>
          <w:rFonts w:ascii="Arial" w:hAnsi="Arial" w:cs="Arial"/>
          <w:b/>
          <w:bCs/>
          <w:sz w:val="22"/>
        </w:rPr>
      </w:pPr>
      <w:r>
        <w:rPr>
          <w:rFonts w:ascii="Arial" w:hAnsi="Arial" w:cs="Arial"/>
          <w:b/>
          <w:bCs/>
          <w:sz w:val="22"/>
        </w:rPr>
        <w:t xml:space="preserve">Section </w:t>
      </w:r>
      <w:r>
        <w:rPr>
          <w:rFonts w:ascii="Arial" w:hAnsi="Arial" w:cs="Arial"/>
          <w:b/>
          <w:bCs/>
          <w:strike/>
          <w:sz w:val="22"/>
        </w:rPr>
        <w:t>5</w:t>
      </w:r>
      <w:r>
        <w:rPr>
          <w:rFonts w:ascii="Arial" w:hAnsi="Arial" w:cs="Arial"/>
          <w:b/>
          <w:bCs/>
          <w:sz w:val="22"/>
          <w:u w:val="single"/>
        </w:rPr>
        <w:t>6</w:t>
      </w:r>
      <w:r>
        <w:rPr>
          <w:rFonts w:ascii="Arial" w:hAnsi="Arial" w:cs="Arial"/>
          <w:b/>
          <w:bCs/>
          <w:sz w:val="22"/>
        </w:rPr>
        <w:t>.  Presentation of Price</w:t>
      </w:r>
    </w:p>
    <w:p w14:paraId="4EDBB505" w14:textId="77777777" w:rsidR="00BA7868" w:rsidRDefault="00BA7868" w:rsidP="00BA7868">
      <w:pPr>
        <w:numPr>
          <w:ilvl w:val="0"/>
          <w:numId w:val="88"/>
        </w:numPr>
        <w:spacing w:line="276" w:lineRule="auto"/>
        <w:rPr>
          <w:rFonts w:eastAsia="Times New Roman"/>
          <w:color w:val="000000"/>
          <w:szCs w:val="20"/>
        </w:rPr>
      </w:pPr>
      <w:r>
        <w:rPr>
          <w:rFonts w:eastAsia="Times New Roman"/>
          <w:color w:val="000000"/>
          <w:szCs w:val="20"/>
        </w:rPr>
        <w:t xml:space="preserve">In any retail </w:t>
      </w:r>
      <w:r>
        <w:rPr>
          <w:rFonts w:eastAsia="Times New Roman"/>
          <w:b/>
          <w:bCs/>
          <w:color w:val="000000"/>
          <w:szCs w:val="20"/>
          <w:u w:val="single"/>
        </w:rPr>
        <w:t>or e-commerce</w:t>
      </w:r>
      <w:r>
        <w:rPr>
          <w:rFonts w:eastAsia="Times New Roman"/>
          <w:color w:val="000000"/>
          <w:szCs w:val="20"/>
        </w:rPr>
        <w:t xml:space="preserve"> establishment </w:t>
      </w:r>
      <w:r>
        <w:rPr>
          <w:rFonts w:eastAsia="Times New Roman"/>
          <w:strike/>
          <w:color w:val="000000"/>
          <w:szCs w:val="20"/>
        </w:rPr>
        <w:t>in which</w:t>
      </w:r>
      <w:r>
        <w:rPr>
          <w:rFonts w:eastAsia="Times New Roman"/>
          <w:color w:val="000000"/>
          <w:szCs w:val="20"/>
        </w:rPr>
        <w:t xml:space="preserve"> the unit price </w:t>
      </w:r>
      <w:r>
        <w:rPr>
          <w:rFonts w:eastAsia="Times New Roman"/>
          <w:strike/>
          <w:color w:val="000000"/>
          <w:szCs w:val="20"/>
        </w:rPr>
        <w:t>information is provided in accordance with the provisions of this regulation, that information may</w:t>
      </w:r>
      <w:r>
        <w:rPr>
          <w:rFonts w:eastAsia="Times New Roman"/>
          <w:color w:val="000000"/>
          <w:szCs w:val="20"/>
        </w:rPr>
        <w:t xml:space="preserve"> </w:t>
      </w:r>
      <w:r>
        <w:rPr>
          <w:rFonts w:eastAsia="Times New Roman"/>
          <w:b/>
          <w:bCs/>
          <w:color w:val="000000"/>
          <w:szCs w:val="20"/>
          <w:u w:val="single"/>
        </w:rPr>
        <w:t>shall</w:t>
      </w:r>
      <w:r>
        <w:rPr>
          <w:rFonts w:eastAsia="Times New Roman"/>
          <w:color w:val="000000"/>
          <w:szCs w:val="20"/>
        </w:rPr>
        <w:t xml:space="preserve"> be displayed by means of a sign that offers the unit price for one or more brands and/or sizes of a given commodity, by means of a sticker, stamp, sign, label, </w:t>
      </w:r>
      <w:r>
        <w:rPr>
          <w:rFonts w:eastAsia="Times New Roman"/>
          <w:b/>
          <w:bCs/>
          <w:color w:val="000000"/>
          <w:szCs w:val="20"/>
          <w:u w:val="single"/>
        </w:rPr>
        <w:t xml:space="preserve">ESL, </w:t>
      </w:r>
      <w:r>
        <w:rPr>
          <w:rFonts w:eastAsia="Times New Roman"/>
          <w:color w:val="000000"/>
          <w:szCs w:val="20"/>
        </w:rPr>
        <w:t xml:space="preserve">or tag affixed to the shelf upon which the commodity is displayed, or by means of a sticker, stamp, sign, label, or </w:t>
      </w:r>
      <w:r>
        <w:rPr>
          <w:rFonts w:eastAsia="Times New Roman"/>
          <w:b/>
          <w:bCs/>
          <w:color w:val="000000"/>
          <w:szCs w:val="20"/>
          <w:u w:val="single"/>
        </w:rPr>
        <w:t xml:space="preserve">ESL, </w:t>
      </w:r>
      <w:r>
        <w:rPr>
          <w:rFonts w:eastAsia="Times New Roman"/>
          <w:color w:val="000000"/>
          <w:szCs w:val="20"/>
        </w:rPr>
        <w:t>tag affixed to the consumer commodity</w:t>
      </w:r>
      <w:r>
        <w:rPr>
          <w:rFonts w:eastAsia="Times New Roman"/>
          <w:b/>
          <w:bCs/>
          <w:color w:val="000000"/>
          <w:szCs w:val="20"/>
          <w:u w:val="single"/>
        </w:rPr>
        <w:t>,</w:t>
      </w:r>
      <w:r>
        <w:rPr>
          <w:rFonts w:eastAsia="Times New Roman"/>
          <w:color w:val="000000"/>
          <w:szCs w:val="20"/>
        </w:rPr>
        <w:t xml:space="preserve"> </w:t>
      </w:r>
      <w:r>
        <w:rPr>
          <w:rFonts w:eastAsia="Times New Roman"/>
          <w:b/>
          <w:bCs/>
          <w:color w:val="000000"/>
          <w:szCs w:val="20"/>
          <w:u w:val="single"/>
        </w:rPr>
        <w:t>and directly adjacent to the retail price</w:t>
      </w:r>
      <w:r>
        <w:rPr>
          <w:rFonts w:eastAsia="Times New Roman"/>
          <w:color w:val="000000"/>
          <w:szCs w:val="20"/>
        </w:rPr>
        <w:t>.</w:t>
      </w:r>
    </w:p>
    <w:p w14:paraId="5DBC7362" w14:textId="77777777" w:rsidR="00BA7868" w:rsidRDefault="00BA7868" w:rsidP="00BA7868">
      <w:pPr>
        <w:numPr>
          <w:ilvl w:val="0"/>
          <w:numId w:val="88"/>
        </w:numPr>
        <w:spacing w:line="276" w:lineRule="auto"/>
        <w:rPr>
          <w:rFonts w:eastAsia="Times New Roman"/>
          <w:color w:val="000000"/>
          <w:szCs w:val="20"/>
        </w:rPr>
      </w:pPr>
      <w:r>
        <w:rPr>
          <w:rFonts w:eastAsia="Times New Roman"/>
          <w:color w:val="000000"/>
          <w:szCs w:val="20"/>
        </w:rPr>
        <w:lastRenderedPageBreak/>
        <w:t>Where a sign providing unit price information for one or more sizes or brands of a given commodity is used, that sign shall be displayed clearly and in a non-deceptive manner in a central location as close as practical to all items to which the sign refers.</w:t>
      </w:r>
    </w:p>
    <w:p w14:paraId="21A35D08" w14:textId="77777777" w:rsidR="00BA7868" w:rsidRDefault="00BA7868" w:rsidP="00BA7868">
      <w:pPr>
        <w:numPr>
          <w:ilvl w:val="0"/>
          <w:numId w:val="88"/>
        </w:numPr>
        <w:spacing w:line="276" w:lineRule="auto"/>
        <w:rPr>
          <w:rFonts w:eastAsia="Times New Roman"/>
          <w:color w:val="000000"/>
          <w:szCs w:val="20"/>
        </w:rPr>
      </w:pPr>
      <w:r>
        <w:rPr>
          <w:rFonts w:eastAsia="Times New Roman"/>
          <w:color w:val="000000"/>
          <w:szCs w:val="20"/>
        </w:rPr>
        <w:t>If a single sign or tag includes the unit price information for more than one brand or size of a given commodity, the following information shall be provided:</w:t>
      </w:r>
    </w:p>
    <w:p w14:paraId="1334BB00" w14:textId="77777777" w:rsidR="00BA7868" w:rsidRDefault="00BA7868" w:rsidP="00BA7868">
      <w:pPr>
        <w:numPr>
          <w:ilvl w:val="0"/>
          <w:numId w:val="89"/>
        </w:numPr>
        <w:spacing w:line="276" w:lineRule="auto"/>
        <w:rPr>
          <w:rFonts w:eastAsia="Times New Roman"/>
          <w:color w:val="000000"/>
          <w:szCs w:val="20"/>
        </w:rPr>
      </w:pPr>
      <w:r>
        <w:rPr>
          <w:rFonts w:eastAsia="Times New Roman"/>
          <w:color w:val="000000"/>
          <w:szCs w:val="20"/>
        </w:rPr>
        <w:t>the identity and the brand name of the commodity;</w:t>
      </w:r>
    </w:p>
    <w:p w14:paraId="68F6A03A" w14:textId="77777777" w:rsidR="00BA7868" w:rsidRDefault="00BA7868" w:rsidP="00BA7868">
      <w:pPr>
        <w:numPr>
          <w:ilvl w:val="0"/>
          <w:numId w:val="89"/>
        </w:numPr>
        <w:spacing w:line="276" w:lineRule="auto"/>
        <w:rPr>
          <w:rFonts w:eastAsia="Times New Roman"/>
          <w:color w:val="000000"/>
          <w:szCs w:val="20"/>
        </w:rPr>
      </w:pPr>
      <w:r>
        <w:rPr>
          <w:rFonts w:eastAsia="Times New Roman"/>
          <w:color w:val="000000"/>
          <w:szCs w:val="20"/>
        </w:rPr>
        <w:t>the quantity of the packaged commodity, if more than one package size per brand is displayed;</w:t>
      </w:r>
    </w:p>
    <w:p w14:paraId="586DB7DF" w14:textId="77777777" w:rsidR="00BA7868" w:rsidRDefault="00BA7868" w:rsidP="00BA7868">
      <w:pPr>
        <w:numPr>
          <w:ilvl w:val="0"/>
          <w:numId w:val="89"/>
        </w:numPr>
        <w:spacing w:line="276" w:lineRule="auto"/>
        <w:rPr>
          <w:rFonts w:eastAsia="Times New Roman"/>
          <w:color w:val="000000"/>
          <w:szCs w:val="20"/>
        </w:rPr>
      </w:pPr>
      <w:r>
        <w:rPr>
          <w:rFonts w:eastAsia="Times New Roman"/>
          <w:color w:val="000000"/>
          <w:szCs w:val="20"/>
        </w:rPr>
        <w:t>the total retail sales price; and</w:t>
      </w:r>
    </w:p>
    <w:p w14:paraId="0433C7F2" w14:textId="77777777" w:rsidR="00BA7868" w:rsidRDefault="00BA7868" w:rsidP="00BA7868">
      <w:pPr>
        <w:numPr>
          <w:ilvl w:val="0"/>
          <w:numId w:val="89"/>
        </w:numPr>
        <w:spacing w:line="276" w:lineRule="auto"/>
        <w:rPr>
          <w:rFonts w:eastAsia="Times New Roman"/>
          <w:color w:val="000000"/>
          <w:szCs w:val="20"/>
        </w:rPr>
      </w:pPr>
      <w:r>
        <w:rPr>
          <w:rFonts w:eastAsia="Times New Roman"/>
          <w:color w:val="000000"/>
          <w:szCs w:val="20"/>
        </w:rPr>
        <w:t>the price per appropriate unit, in accordance with Section </w:t>
      </w:r>
      <w:r>
        <w:rPr>
          <w:rFonts w:eastAsia="Times New Roman"/>
          <w:strike/>
          <w:color w:val="000000"/>
          <w:szCs w:val="20"/>
        </w:rPr>
        <w:t>2</w:t>
      </w:r>
      <w:r>
        <w:rPr>
          <w:rFonts w:eastAsia="Times New Roman"/>
          <w:b/>
          <w:bCs/>
          <w:color w:val="000000"/>
          <w:szCs w:val="20"/>
          <w:u w:val="single"/>
        </w:rPr>
        <w:t>3</w:t>
      </w:r>
      <w:r>
        <w:rPr>
          <w:rFonts w:eastAsia="Times New Roman"/>
          <w:color w:val="000000"/>
          <w:szCs w:val="20"/>
        </w:rPr>
        <w:t>. Terms for Unit Pricing.</w:t>
      </w:r>
    </w:p>
    <w:p w14:paraId="518A51E6" w14:textId="77777777" w:rsidR="00BA7868" w:rsidRDefault="00BA7868" w:rsidP="00BA7868">
      <w:pPr>
        <w:numPr>
          <w:ilvl w:val="0"/>
          <w:numId w:val="88"/>
        </w:numPr>
        <w:spacing w:line="276" w:lineRule="auto"/>
        <w:rPr>
          <w:rFonts w:eastAsia="Times New Roman"/>
          <w:b/>
          <w:bCs/>
          <w:color w:val="000000"/>
          <w:szCs w:val="20"/>
          <w:u w:val="single"/>
        </w:rPr>
      </w:pPr>
      <w:r>
        <w:rPr>
          <w:rFonts w:eastAsia="Times New Roman"/>
          <w:b/>
          <w:bCs/>
          <w:color w:val="000000"/>
          <w:szCs w:val="20"/>
          <w:u w:val="single"/>
        </w:rPr>
        <w:t>The unit price shall be displayed for all advertised item price offers.</w:t>
      </w:r>
    </w:p>
    <w:p w14:paraId="4274CD3B" w14:textId="77777777" w:rsidR="00BA7868" w:rsidRDefault="00BA7868" w:rsidP="00BA7868">
      <w:pPr>
        <w:numPr>
          <w:ilvl w:val="0"/>
          <w:numId w:val="88"/>
        </w:numPr>
        <w:spacing w:line="276" w:lineRule="auto"/>
        <w:rPr>
          <w:rFonts w:eastAsia="Times New Roman"/>
          <w:b/>
          <w:bCs/>
          <w:color w:val="000000"/>
          <w:szCs w:val="20"/>
          <w:u w:val="single"/>
        </w:rPr>
      </w:pPr>
      <w:r>
        <w:rPr>
          <w:rFonts w:eastAsia="Times New Roman"/>
          <w:b/>
          <w:bCs/>
          <w:color w:val="000000"/>
          <w:szCs w:val="20"/>
          <w:u w:val="single"/>
        </w:rPr>
        <w:t>The words “Unit Price” must be directly adjacent to unit price.</w:t>
      </w:r>
    </w:p>
    <w:p w14:paraId="15F220C2" w14:textId="77777777" w:rsidR="00BA7868" w:rsidRDefault="00BA7868" w:rsidP="00BA7868">
      <w:pPr>
        <w:numPr>
          <w:ilvl w:val="0"/>
          <w:numId w:val="88"/>
        </w:numPr>
        <w:spacing w:line="276" w:lineRule="auto"/>
        <w:rPr>
          <w:rFonts w:eastAsia="Times New Roman"/>
          <w:b/>
          <w:bCs/>
          <w:color w:val="000000"/>
          <w:szCs w:val="20"/>
          <w:u w:val="single"/>
        </w:rPr>
      </w:pPr>
      <w:r>
        <w:rPr>
          <w:rFonts w:eastAsia="Times New Roman"/>
          <w:b/>
          <w:bCs/>
          <w:color w:val="000000"/>
          <w:szCs w:val="20"/>
          <w:u w:val="single"/>
        </w:rPr>
        <w:t>The term “per” shall precede the unit (e.g., $0.23 per oz)</w:t>
      </w:r>
    </w:p>
    <w:p w14:paraId="04DF8188" w14:textId="77777777" w:rsidR="00BA7868" w:rsidRDefault="00BA7868" w:rsidP="00BA7868">
      <w:pPr>
        <w:numPr>
          <w:ilvl w:val="0"/>
          <w:numId w:val="88"/>
        </w:numPr>
        <w:spacing w:line="276" w:lineRule="auto"/>
        <w:rPr>
          <w:rFonts w:eastAsia="Times New Roman"/>
          <w:b/>
          <w:bCs/>
          <w:color w:val="000000"/>
          <w:szCs w:val="20"/>
          <w:u w:val="single"/>
        </w:rPr>
      </w:pPr>
      <w:r>
        <w:rPr>
          <w:rFonts w:eastAsia="Times New Roman"/>
          <w:b/>
          <w:bCs/>
          <w:color w:val="000000"/>
          <w:szCs w:val="20"/>
          <w:u w:val="single"/>
        </w:rPr>
        <w:t>The height of the text providing the unit price should be as large as feasible, but shall be no less than 0.24 inches (6 mm).</w:t>
      </w:r>
    </w:p>
    <w:p w14:paraId="0D78E3B9" w14:textId="77777777" w:rsidR="00BA7868" w:rsidRDefault="00BA7868" w:rsidP="00BA7868">
      <w:pPr>
        <w:numPr>
          <w:ilvl w:val="0"/>
          <w:numId w:val="88"/>
        </w:numPr>
        <w:spacing w:line="276" w:lineRule="auto"/>
        <w:rPr>
          <w:rFonts w:eastAsia="Times New Roman"/>
          <w:b/>
          <w:bCs/>
          <w:color w:val="000000"/>
          <w:szCs w:val="20"/>
          <w:u w:val="single"/>
        </w:rPr>
      </w:pPr>
      <w:r>
        <w:rPr>
          <w:rFonts w:eastAsia="Times New Roman"/>
          <w:b/>
          <w:bCs/>
          <w:color w:val="000000"/>
          <w:szCs w:val="20"/>
          <w:u w:val="single"/>
        </w:rPr>
        <w:t>Electronic Shelf Labels (ESLs). ESLs must comply with all requirements set forth in this section and shall remain continuously visible (“always on”). The label must maintain legibility and prominence of unit pricing information equivalent to printed labels.</w:t>
      </w:r>
    </w:p>
    <w:p w14:paraId="419CED7A" w14:textId="45B4C225" w:rsidR="00BA7868" w:rsidRPr="00BA7868" w:rsidRDefault="00BA7868" w:rsidP="00BA7868">
      <w:pPr>
        <w:ind w:left="720"/>
        <w:rPr>
          <w:b/>
          <w:bCs/>
          <w:color w:val="000000"/>
          <w:szCs w:val="20"/>
          <w:u w:val="single"/>
        </w:rPr>
      </w:pPr>
      <w:r>
        <w:rPr>
          <w:b/>
          <w:bCs/>
          <w:color w:val="000000"/>
          <w:szCs w:val="20"/>
          <w:u w:val="single"/>
        </w:rPr>
        <w:t xml:space="preserve">(Amended 2025) </w:t>
      </w:r>
    </w:p>
    <w:p w14:paraId="22B04BB5" w14:textId="77777777" w:rsidR="00E34C39" w:rsidRDefault="00E34C39" w:rsidP="00E34C39">
      <w:pPr>
        <w:keepNext/>
        <w:tabs>
          <w:tab w:val="left" w:pos="360"/>
        </w:tabs>
        <w:spacing w:before="400" w:after="180"/>
        <w:jc w:val="left"/>
        <w:outlineLvl w:val="5"/>
        <w:rPr>
          <w:b/>
          <w:bCs/>
          <w:szCs w:val="20"/>
        </w:rPr>
      </w:pPr>
      <w:bookmarkStart w:id="113" w:name="_Toc173470317"/>
      <w:bookmarkStart w:id="114" w:name="_Toc173471551"/>
      <w:bookmarkStart w:id="115" w:name="_Toc173474199"/>
      <w:bookmarkStart w:id="116" w:name="_Toc173771795"/>
      <w:bookmarkStart w:id="117" w:name="_Toc205539078"/>
      <w:bookmarkStart w:id="118" w:name="_Toc157693416"/>
      <w:r>
        <w:rPr>
          <w:b/>
          <w:bCs/>
          <w:szCs w:val="20"/>
        </w:rPr>
        <w:t xml:space="preserve">Section </w:t>
      </w:r>
      <w:r>
        <w:rPr>
          <w:b/>
          <w:bCs/>
          <w:strike/>
          <w:szCs w:val="20"/>
        </w:rPr>
        <w:t>6</w:t>
      </w:r>
      <w:r>
        <w:rPr>
          <w:b/>
          <w:bCs/>
          <w:szCs w:val="20"/>
          <w:u w:val="single"/>
        </w:rPr>
        <w:t>7</w:t>
      </w:r>
      <w:r>
        <w:rPr>
          <w:b/>
          <w:bCs/>
          <w:szCs w:val="20"/>
        </w:rPr>
        <w:t>.  Uniformity</w:t>
      </w:r>
      <w:bookmarkEnd w:id="113"/>
      <w:bookmarkEnd w:id="114"/>
      <w:bookmarkEnd w:id="115"/>
      <w:bookmarkEnd w:id="116"/>
      <w:bookmarkEnd w:id="117"/>
      <w:bookmarkEnd w:id="118"/>
    </w:p>
    <w:p w14:paraId="60552290" w14:textId="4B04E112" w:rsidR="00E34C39" w:rsidRDefault="00E34C39" w:rsidP="00E34C39">
      <w:pPr>
        <w:numPr>
          <w:ilvl w:val="0"/>
          <w:numId w:val="61"/>
        </w:numPr>
        <w:tabs>
          <w:tab w:val="left" w:pos="360"/>
        </w:tabs>
        <w:jc w:val="left"/>
        <w:rPr>
          <w:iCs/>
          <w:color w:val="000000"/>
          <w:szCs w:val="24"/>
        </w:rPr>
      </w:pPr>
      <w:r>
        <w:rPr>
          <w:iCs/>
          <w:color w:val="000000"/>
          <w:szCs w:val="24"/>
        </w:rPr>
        <w:t>If different brands or package sizes of the same consumer commodity are expressed in more than one unit of measure (e.g., soft drinks</w:t>
      </w:r>
      <w:r>
        <w:fldChar w:fldCharType="begin"/>
      </w:r>
      <w:r>
        <w:rPr>
          <w:iCs/>
          <w:color w:val="000000"/>
          <w:szCs w:val="24"/>
        </w:rPr>
        <w:instrText xml:space="preserve"> XE "</w:instrText>
      </w:r>
      <w:r>
        <w:rPr>
          <w:b/>
          <w:iCs/>
          <w:color w:val="000000"/>
          <w:szCs w:val="24"/>
        </w:rPr>
        <w:instrText>Soft drink</w:instrText>
      </w:r>
      <w:r>
        <w:rPr>
          <w:iCs/>
          <w:color w:val="000000"/>
          <w:szCs w:val="24"/>
        </w:rPr>
        <w:instrText xml:space="preserve">" </w:instrText>
      </w:r>
      <w:r>
        <w:fldChar w:fldCharType="end"/>
      </w:r>
      <w:r>
        <w:rPr>
          <w:iCs/>
          <w:color w:val="000000"/>
          <w:szCs w:val="24"/>
        </w:rPr>
        <w:t xml:space="preserve"> are offered for sale in 2 L bottles and 12 fl</w:t>
      </w:r>
      <w:r w:rsidR="00F63FEA">
        <w:rPr>
          <w:iCs/>
          <w:color w:val="000000"/>
          <w:szCs w:val="24"/>
        </w:rPr>
        <w:t>.</w:t>
      </w:r>
      <w:r>
        <w:rPr>
          <w:iCs/>
          <w:color w:val="000000"/>
          <w:szCs w:val="24"/>
        </w:rPr>
        <w:t xml:space="preserve"> oz cans), the retail establishment shall unit price the items consistently </w:t>
      </w:r>
      <w:r>
        <w:rPr>
          <w:b/>
          <w:bCs/>
          <w:iCs/>
          <w:color w:val="000000"/>
          <w:szCs w:val="24"/>
          <w:u w:val="single"/>
        </w:rPr>
        <w:t>in the same unit of measure</w:t>
      </w:r>
      <w:r>
        <w:rPr>
          <w:iCs/>
          <w:color w:val="000000"/>
          <w:szCs w:val="24"/>
        </w:rPr>
        <w:t>.</w:t>
      </w:r>
    </w:p>
    <w:p w14:paraId="3D1BD6EA" w14:textId="77777777" w:rsidR="00E34C39" w:rsidRDefault="00E34C39" w:rsidP="00E34C39">
      <w:pPr>
        <w:numPr>
          <w:ilvl w:val="0"/>
          <w:numId w:val="61"/>
        </w:numPr>
        <w:tabs>
          <w:tab w:val="left" w:pos="360"/>
        </w:tabs>
        <w:jc w:val="left"/>
        <w:rPr>
          <w:iCs/>
          <w:color w:val="000000"/>
          <w:szCs w:val="24"/>
        </w:rPr>
      </w:pPr>
      <w:r>
        <w:rPr>
          <w:iCs/>
          <w:color w:val="000000"/>
          <w:szCs w:val="24"/>
        </w:rPr>
        <w:t xml:space="preserve">When metric units appear on the consumer commodity in addition to other units of measure, the retail establishment </w:t>
      </w:r>
      <w:r>
        <w:rPr>
          <w:b/>
          <w:bCs/>
          <w:iCs/>
          <w:color w:val="000000"/>
          <w:szCs w:val="24"/>
          <w:u w:val="single"/>
        </w:rPr>
        <w:t>or e-commerce</w:t>
      </w:r>
      <w:r>
        <w:rPr>
          <w:iCs/>
          <w:color w:val="000000"/>
          <w:szCs w:val="24"/>
        </w:rPr>
        <w:t xml:space="preserve"> site may include both units of measure on any stamps, </w:t>
      </w:r>
      <w:r>
        <w:rPr>
          <w:iCs/>
          <w:strike/>
          <w:color w:val="000000"/>
          <w:szCs w:val="24"/>
        </w:rPr>
        <w:t>tags, labels, signs,</w:t>
      </w:r>
      <w:r>
        <w:rPr>
          <w:iCs/>
          <w:color w:val="000000"/>
          <w:szCs w:val="24"/>
        </w:rPr>
        <w:t xml:space="preserve"> sign, label, </w:t>
      </w:r>
      <w:r>
        <w:rPr>
          <w:b/>
          <w:bCs/>
          <w:iCs/>
          <w:color w:val="000000"/>
          <w:szCs w:val="24"/>
          <w:u w:val="single"/>
        </w:rPr>
        <w:t xml:space="preserve">ESL, </w:t>
      </w:r>
      <w:r>
        <w:rPr>
          <w:iCs/>
          <w:color w:val="000000"/>
          <w:szCs w:val="24"/>
        </w:rPr>
        <w:t>tag or list.</w:t>
      </w:r>
    </w:p>
    <w:p w14:paraId="7010985C" w14:textId="77777777" w:rsidR="00E34C39" w:rsidRDefault="00E34C39" w:rsidP="00E34C39">
      <w:pPr>
        <w:tabs>
          <w:tab w:val="left" w:pos="360"/>
        </w:tabs>
        <w:jc w:val="left"/>
        <w:rPr>
          <w:b/>
          <w:bCs/>
          <w:iCs/>
          <w:color w:val="000000"/>
          <w:szCs w:val="24"/>
          <w:u w:val="single"/>
        </w:rPr>
      </w:pPr>
      <w:bookmarkStart w:id="119" w:name="_Hlk202900806"/>
      <w:r>
        <w:rPr>
          <w:b/>
          <w:bCs/>
          <w:iCs/>
          <w:color w:val="000000"/>
          <w:szCs w:val="24"/>
          <w:u w:val="single"/>
        </w:rPr>
        <w:t xml:space="preserve">(Amended 202X) </w:t>
      </w:r>
    </w:p>
    <w:p w14:paraId="47B1FAF5" w14:textId="77777777" w:rsidR="00E34C39" w:rsidRDefault="00E34C39" w:rsidP="00E34C39">
      <w:pPr>
        <w:keepNext/>
        <w:tabs>
          <w:tab w:val="left" w:pos="360"/>
        </w:tabs>
        <w:spacing w:before="400" w:after="180"/>
        <w:jc w:val="left"/>
        <w:outlineLvl w:val="5"/>
        <w:rPr>
          <w:b/>
          <w:bCs/>
          <w:szCs w:val="20"/>
        </w:rPr>
      </w:pPr>
      <w:bookmarkStart w:id="120" w:name="_Toc173471552"/>
      <w:bookmarkStart w:id="121" w:name="_Toc173474200"/>
      <w:bookmarkStart w:id="122" w:name="_Toc173771796"/>
      <w:bookmarkStart w:id="123" w:name="_Toc205539079"/>
      <w:bookmarkStart w:id="124" w:name="_Toc157693417"/>
      <w:bookmarkEnd w:id="119"/>
      <w:r>
        <w:rPr>
          <w:b/>
          <w:bCs/>
          <w:szCs w:val="20"/>
        </w:rPr>
        <w:t xml:space="preserve">Section </w:t>
      </w:r>
      <w:r>
        <w:rPr>
          <w:b/>
          <w:bCs/>
          <w:strike/>
          <w:szCs w:val="20"/>
        </w:rPr>
        <w:t>7</w:t>
      </w:r>
      <w:r>
        <w:rPr>
          <w:b/>
          <w:bCs/>
          <w:szCs w:val="20"/>
          <w:u w:val="single"/>
        </w:rPr>
        <w:t>8</w:t>
      </w:r>
      <w:r>
        <w:rPr>
          <w:b/>
          <w:bCs/>
          <w:szCs w:val="20"/>
        </w:rPr>
        <w:t>.  Effective Date</w:t>
      </w:r>
      <w:bookmarkEnd w:id="120"/>
      <w:bookmarkEnd w:id="121"/>
      <w:bookmarkEnd w:id="122"/>
      <w:bookmarkEnd w:id="123"/>
      <w:bookmarkEnd w:id="124"/>
    </w:p>
    <w:p w14:paraId="11F55476" w14:textId="77777777" w:rsidR="00E34C39" w:rsidRDefault="00E34C39" w:rsidP="00E34C39">
      <w:pPr>
        <w:tabs>
          <w:tab w:val="left" w:pos="360"/>
        </w:tabs>
        <w:jc w:val="left"/>
        <w:rPr>
          <w:iCs/>
          <w:color w:val="000000"/>
          <w:szCs w:val="24"/>
        </w:rPr>
      </w:pPr>
      <w:r>
        <w:rPr>
          <w:iCs/>
          <w:color w:val="000000"/>
          <w:szCs w:val="24"/>
        </w:rPr>
        <w:t>This regulation shall become effective on __________, 20__.</w:t>
      </w:r>
    </w:p>
    <w:p w14:paraId="0BB5E2FA" w14:textId="77777777" w:rsidR="00E34C39" w:rsidRDefault="00E34C39" w:rsidP="00E34C39">
      <w:pPr>
        <w:tabs>
          <w:tab w:val="left" w:pos="360"/>
        </w:tabs>
        <w:jc w:val="left"/>
        <w:rPr>
          <w:iCs/>
          <w:color w:val="000000"/>
          <w:szCs w:val="24"/>
        </w:rPr>
      </w:pPr>
      <w:r>
        <w:rPr>
          <w:iCs/>
          <w:color w:val="000000"/>
          <w:szCs w:val="24"/>
        </w:rPr>
        <w:t>Given under my hand and the seal of my office in the City of __________ on this __________ day of ________, 20_____.</w:t>
      </w:r>
    </w:p>
    <w:p w14:paraId="5BD13575" w14:textId="77777777" w:rsidR="00E34C39" w:rsidRDefault="00E34C39" w:rsidP="00E34C39">
      <w:pPr>
        <w:tabs>
          <w:tab w:val="left" w:pos="360"/>
        </w:tabs>
        <w:spacing w:after="60"/>
        <w:jc w:val="left"/>
        <w:rPr>
          <w:iCs/>
          <w:color w:val="000000"/>
          <w:szCs w:val="24"/>
        </w:rPr>
      </w:pPr>
      <w:r>
        <w:rPr>
          <w:iCs/>
          <w:color w:val="000000"/>
          <w:szCs w:val="24"/>
        </w:rPr>
        <w:t xml:space="preserve">Signed </w:t>
      </w:r>
      <w:r>
        <w:rPr>
          <w:iCs/>
          <w:color w:val="000000"/>
          <w:szCs w:val="24"/>
          <w:u w:val="single"/>
        </w:rPr>
        <w:t>                                                            </w:t>
      </w:r>
    </w:p>
    <w:p w14:paraId="03FCC2E4" w14:textId="77777777" w:rsidR="00E34C39" w:rsidRDefault="00E34C39" w:rsidP="00E34C39">
      <w:r>
        <w:rPr>
          <w:iCs/>
          <w:color w:val="000000"/>
          <w:szCs w:val="24"/>
        </w:rPr>
        <w:lastRenderedPageBreak/>
        <w:t xml:space="preserve">(Amended 1997 </w:t>
      </w:r>
      <w:r>
        <w:rPr>
          <w:b/>
          <w:bCs/>
          <w:iCs/>
          <w:color w:val="000000"/>
          <w:szCs w:val="24"/>
          <w:u w:val="single"/>
        </w:rPr>
        <w:t>&amp; 202X</w:t>
      </w:r>
      <w:r>
        <w:rPr>
          <w:iCs/>
          <w:color w:val="000000"/>
          <w:szCs w:val="24"/>
        </w:rPr>
        <w:t>)</w:t>
      </w:r>
    </w:p>
    <w:p w14:paraId="12CD6233" w14:textId="77777777" w:rsidR="00E34C39" w:rsidRDefault="00E34C39" w:rsidP="00E34C39">
      <w:pPr>
        <w:keepNext/>
        <w:spacing w:after="0"/>
      </w:pPr>
      <w:r>
        <w:rPr>
          <w:b/>
        </w:rPr>
        <w:t>Previous Status:</w:t>
      </w:r>
    </w:p>
    <w:p w14:paraId="6C3CE8EF" w14:textId="053B53EF" w:rsidR="00E34C39" w:rsidRDefault="00E34C39" w:rsidP="00E34C39">
      <w:r>
        <w:t xml:space="preserve">2026: New Proposal </w:t>
      </w:r>
    </w:p>
    <w:p w14:paraId="77C111AE" w14:textId="77777777" w:rsidR="00E34C39" w:rsidRDefault="00E34C39" w:rsidP="00E34C39">
      <w:pPr>
        <w:keepNext/>
        <w:spacing w:after="0"/>
        <w:rPr>
          <w:b/>
        </w:rPr>
      </w:pPr>
      <w:r>
        <w:rPr>
          <w:b/>
        </w:rPr>
        <w:t>Original Justification:</w:t>
      </w:r>
    </w:p>
    <w:p w14:paraId="44D03FF7" w14:textId="77777777" w:rsidR="00E34C39" w:rsidRPr="00FF211F" w:rsidRDefault="00E34C39" w:rsidP="00FF211F">
      <w:r w:rsidRPr="00FF211F">
        <w:t>Unit pricing has existed in the U.S.A. since the early 1970s, growing out of the “truth-in-labeling” era. Consumers demanded more information (“right to know”) on labels to make informed purchase decisions. More recent innovations in retail sales, such as electronic shelf labels that utilize interactive devices such as QR codes, online advertising and sales, and related sales for pick up or delivery, and prices posted on applications that can be individualized to specific consumers, require new ways to inform consumers. Relatedly, evolutions in the retail marketplace have blurred the lines between traditional categories, with grocery, hardware, and even clothing stores offering products once exclusively sold by other categories of retailers, and have expanded the range of retailers concerned with disclosing unit prices. Consumers need unit pricing to make informed decisions about price and value comparisons for the products they are purchasing. Retailers also benefit when unit price labeling is implemented through improved pricing accuracy and greater inventory control, ultimately reducing the retailer's labor costs.</w:t>
      </w:r>
    </w:p>
    <w:p w14:paraId="0432B509" w14:textId="77777777" w:rsidR="00E34C39" w:rsidRPr="00FF211F" w:rsidRDefault="00E34C39" w:rsidP="00FF211F">
      <w:r w:rsidRPr="00FF211F">
        <w:t>The submitter acknowledges that unit pricing has been in place for decades; the industry may not be ready to implement the additional requirements for e-commerce sites and technological advancements.</w:t>
      </w:r>
    </w:p>
    <w:p w14:paraId="2857C6A1" w14:textId="77777777" w:rsidR="00E34C39" w:rsidRDefault="00E34C39" w:rsidP="00E34C39">
      <w:pPr>
        <w:keepNext/>
        <w:rPr>
          <w:b/>
        </w:rPr>
      </w:pPr>
      <w:r>
        <w:rPr>
          <w:b/>
        </w:rPr>
        <w:t>Comments in Favor:</w:t>
      </w:r>
    </w:p>
    <w:p w14:paraId="4A6BD658" w14:textId="278C2CF0" w:rsidR="00E34C39" w:rsidRDefault="0042639E" w:rsidP="00E34C39">
      <w:pPr>
        <w:keepNext/>
        <w:spacing w:after="0"/>
        <w:ind w:left="720"/>
        <w:rPr>
          <w:b/>
        </w:rPr>
      </w:pPr>
      <w:r>
        <w:rPr>
          <w:b/>
        </w:rPr>
        <w:t>Weights and Measures Officials</w:t>
      </w:r>
      <w:r w:rsidR="00E34C39">
        <w:rPr>
          <w:b/>
        </w:rPr>
        <w:t>:</w:t>
      </w:r>
    </w:p>
    <w:p w14:paraId="260ACF3A" w14:textId="7F1DEAAB" w:rsidR="00E34C39" w:rsidRDefault="00767A39" w:rsidP="00E34C39">
      <w:pPr>
        <w:pStyle w:val="ListParagraph"/>
        <w:numPr>
          <w:ilvl w:val="0"/>
          <w:numId w:val="62"/>
        </w:numPr>
        <w:spacing w:after="0" w:line="256" w:lineRule="auto"/>
        <w:contextualSpacing/>
        <w:jc w:val="left"/>
      </w:pPr>
      <w:r w:rsidRPr="001B29F9">
        <w:t xml:space="preserve">Multiple </w:t>
      </w:r>
      <w:r w:rsidR="001B29F9">
        <w:t>w</w:t>
      </w:r>
      <w:r w:rsidR="005D41D3" w:rsidRPr="001B29F9">
        <w:t xml:space="preserve">eights and </w:t>
      </w:r>
      <w:r w:rsidR="001B29F9">
        <w:t>m</w:t>
      </w:r>
      <w:r w:rsidR="005D41D3" w:rsidRPr="001B29F9">
        <w:t xml:space="preserve">easures </w:t>
      </w:r>
      <w:r w:rsidR="001B29F9">
        <w:t xml:space="preserve">officials </w:t>
      </w:r>
      <w:r w:rsidR="005D41D3">
        <w:t>supported this item and recommended Voting status.</w:t>
      </w:r>
    </w:p>
    <w:p w14:paraId="07BCB512" w14:textId="77777777" w:rsidR="00E34C39" w:rsidRDefault="00E34C39" w:rsidP="00E34C39">
      <w:pPr>
        <w:spacing w:before="240" w:after="0"/>
        <w:ind w:left="720"/>
        <w:rPr>
          <w:b/>
        </w:rPr>
      </w:pPr>
      <w:r>
        <w:rPr>
          <w:b/>
        </w:rPr>
        <w:t>Industry:</w:t>
      </w:r>
    </w:p>
    <w:p w14:paraId="6D7B3493" w14:textId="096D5F67" w:rsidR="00E34C39" w:rsidRDefault="00F04409" w:rsidP="00E34C39">
      <w:pPr>
        <w:pStyle w:val="ListParagraph"/>
        <w:numPr>
          <w:ilvl w:val="0"/>
          <w:numId w:val="62"/>
        </w:numPr>
        <w:spacing w:after="0" w:line="256" w:lineRule="auto"/>
        <w:contextualSpacing/>
        <w:jc w:val="left"/>
      </w:pPr>
      <w:r>
        <w:t>None</w:t>
      </w:r>
    </w:p>
    <w:p w14:paraId="2A9CDEB8" w14:textId="77777777" w:rsidR="00E34C39" w:rsidRDefault="00E34C39" w:rsidP="00E34C39">
      <w:pPr>
        <w:spacing w:before="240" w:after="0"/>
        <w:ind w:left="720"/>
        <w:rPr>
          <w:b/>
        </w:rPr>
      </w:pPr>
      <w:r>
        <w:rPr>
          <w:b/>
        </w:rPr>
        <w:t>Advisory:</w:t>
      </w:r>
    </w:p>
    <w:p w14:paraId="5F19014C" w14:textId="39C0A339" w:rsidR="00E34C39" w:rsidRDefault="005D41D3" w:rsidP="00E34C39">
      <w:pPr>
        <w:pStyle w:val="ListParagraph"/>
        <w:numPr>
          <w:ilvl w:val="0"/>
          <w:numId w:val="62"/>
        </w:numPr>
        <w:spacing w:after="0" w:line="256" w:lineRule="auto"/>
        <w:contextualSpacing/>
        <w:jc w:val="left"/>
      </w:pPr>
      <w:r>
        <w:t xml:space="preserve">The representative from NIST OWM recommended Voting with editorial changes to Section </w:t>
      </w:r>
      <w:r w:rsidR="00E30CBC">
        <w:t>6</w:t>
      </w:r>
      <w:r>
        <w:t>.</w:t>
      </w:r>
    </w:p>
    <w:p w14:paraId="5D53B340" w14:textId="77777777" w:rsidR="00E34C39" w:rsidRDefault="00E34C39" w:rsidP="00E34C39">
      <w:pPr>
        <w:spacing w:before="240"/>
        <w:rPr>
          <w:b/>
        </w:rPr>
      </w:pPr>
      <w:r>
        <w:rPr>
          <w:b/>
        </w:rPr>
        <w:t>Comments Against:</w:t>
      </w:r>
    </w:p>
    <w:p w14:paraId="6F1074A4" w14:textId="47A4CC94" w:rsidR="00E34C39" w:rsidRDefault="0042639E" w:rsidP="00E34C39">
      <w:pPr>
        <w:spacing w:after="0"/>
        <w:ind w:left="720"/>
        <w:rPr>
          <w:b/>
        </w:rPr>
      </w:pPr>
      <w:r>
        <w:rPr>
          <w:b/>
        </w:rPr>
        <w:t>Weights and Measures Officials</w:t>
      </w:r>
      <w:r w:rsidR="00E34C39">
        <w:rPr>
          <w:b/>
        </w:rPr>
        <w:t>:</w:t>
      </w:r>
    </w:p>
    <w:p w14:paraId="6557A1F9" w14:textId="49592DD3" w:rsidR="00E34C39" w:rsidRDefault="00F04409" w:rsidP="00E34C39">
      <w:pPr>
        <w:pStyle w:val="ListParagraph"/>
        <w:numPr>
          <w:ilvl w:val="0"/>
          <w:numId w:val="63"/>
        </w:numPr>
        <w:spacing w:after="0" w:line="256" w:lineRule="auto"/>
        <w:contextualSpacing/>
        <w:jc w:val="left"/>
      </w:pPr>
      <w:r>
        <w:t>None</w:t>
      </w:r>
    </w:p>
    <w:p w14:paraId="6DEDCAF6" w14:textId="77777777" w:rsidR="00E34C39" w:rsidRDefault="00E34C39" w:rsidP="00E34C39">
      <w:pPr>
        <w:spacing w:before="240" w:after="0"/>
        <w:ind w:left="720"/>
        <w:rPr>
          <w:b/>
        </w:rPr>
      </w:pPr>
      <w:r>
        <w:rPr>
          <w:b/>
        </w:rPr>
        <w:t>Industry:</w:t>
      </w:r>
    </w:p>
    <w:p w14:paraId="569022B9" w14:textId="4D871286" w:rsidR="00E34C39" w:rsidRDefault="00F04409" w:rsidP="00E34C39">
      <w:pPr>
        <w:pStyle w:val="ListParagraph"/>
        <w:numPr>
          <w:ilvl w:val="0"/>
          <w:numId w:val="63"/>
        </w:numPr>
        <w:spacing w:after="0" w:line="256" w:lineRule="auto"/>
        <w:contextualSpacing/>
        <w:jc w:val="left"/>
      </w:pPr>
      <w:r>
        <w:t>None</w:t>
      </w:r>
    </w:p>
    <w:p w14:paraId="7290E7A6" w14:textId="77777777" w:rsidR="00E34C39" w:rsidRDefault="00E34C39" w:rsidP="00E34C39">
      <w:pPr>
        <w:spacing w:before="240" w:after="0"/>
        <w:ind w:left="720"/>
        <w:rPr>
          <w:b/>
        </w:rPr>
      </w:pPr>
      <w:r>
        <w:rPr>
          <w:b/>
        </w:rPr>
        <w:t>Advisory:</w:t>
      </w:r>
    </w:p>
    <w:p w14:paraId="3C13C058" w14:textId="5B4FA451" w:rsidR="00E34C39" w:rsidRDefault="00F04409" w:rsidP="00E34C39">
      <w:pPr>
        <w:pStyle w:val="ListParagraph"/>
        <w:numPr>
          <w:ilvl w:val="0"/>
          <w:numId w:val="63"/>
        </w:numPr>
        <w:spacing w:after="0" w:line="256" w:lineRule="auto"/>
        <w:contextualSpacing/>
        <w:jc w:val="left"/>
      </w:pPr>
      <w:r>
        <w:t>None</w:t>
      </w:r>
    </w:p>
    <w:p w14:paraId="5CC6BF51" w14:textId="77777777" w:rsidR="00E34C39" w:rsidRDefault="00E34C39" w:rsidP="00E34C39">
      <w:pPr>
        <w:spacing w:before="240"/>
        <w:rPr>
          <w:b/>
        </w:rPr>
      </w:pPr>
      <w:r>
        <w:rPr>
          <w:b/>
        </w:rPr>
        <w:t>Neutral Comments:</w:t>
      </w:r>
    </w:p>
    <w:p w14:paraId="4FA66DFA" w14:textId="184917FE" w:rsidR="00E34C39" w:rsidRDefault="0042639E" w:rsidP="00E34C39">
      <w:pPr>
        <w:spacing w:after="0"/>
        <w:ind w:left="720"/>
        <w:rPr>
          <w:b/>
        </w:rPr>
      </w:pPr>
      <w:r>
        <w:rPr>
          <w:b/>
        </w:rPr>
        <w:t>Weights and Measures Officials</w:t>
      </w:r>
      <w:r w:rsidR="00E34C39">
        <w:rPr>
          <w:b/>
        </w:rPr>
        <w:t>:</w:t>
      </w:r>
    </w:p>
    <w:p w14:paraId="3ED5EAB5" w14:textId="3D4F4202" w:rsidR="00E34C39" w:rsidRDefault="00116A15" w:rsidP="00E34C39">
      <w:pPr>
        <w:pStyle w:val="ListParagraph"/>
        <w:numPr>
          <w:ilvl w:val="0"/>
          <w:numId w:val="63"/>
        </w:numPr>
        <w:spacing w:after="0" w:line="256" w:lineRule="auto"/>
        <w:contextualSpacing/>
        <w:jc w:val="left"/>
      </w:pPr>
      <w:r>
        <w:t xml:space="preserve">The </w:t>
      </w:r>
      <w:r w:rsidRPr="001B29F9">
        <w:t>weights and measures official</w:t>
      </w:r>
      <w:r>
        <w:t xml:space="preserve"> from Arkansas </w:t>
      </w:r>
      <w:r w:rsidR="00022ED8">
        <w:t xml:space="preserve">recommended removing the status of promulgation map and just referencing the table showing the status of promulgation in the front of NIST Handbook </w:t>
      </w:r>
      <w:r w:rsidR="006D4DC0">
        <w:t>130</w:t>
      </w:r>
      <w:r w:rsidR="00022ED8">
        <w:t>.</w:t>
      </w:r>
    </w:p>
    <w:p w14:paraId="2F9A0842" w14:textId="77777777" w:rsidR="00E34C39" w:rsidRDefault="00E34C39" w:rsidP="00E34C39">
      <w:pPr>
        <w:spacing w:before="240" w:after="0"/>
        <w:ind w:left="720"/>
        <w:rPr>
          <w:b/>
        </w:rPr>
      </w:pPr>
      <w:r>
        <w:rPr>
          <w:b/>
        </w:rPr>
        <w:t>Industry:</w:t>
      </w:r>
    </w:p>
    <w:p w14:paraId="433B9209" w14:textId="59F82B3B" w:rsidR="00E34C39" w:rsidRDefault="00F04409" w:rsidP="00E34C39">
      <w:pPr>
        <w:pStyle w:val="ListParagraph"/>
        <w:numPr>
          <w:ilvl w:val="0"/>
          <w:numId w:val="63"/>
        </w:numPr>
        <w:spacing w:after="0" w:line="256" w:lineRule="auto"/>
        <w:contextualSpacing/>
        <w:jc w:val="left"/>
      </w:pPr>
      <w:r>
        <w:t>None</w:t>
      </w:r>
    </w:p>
    <w:p w14:paraId="5F5E36BD" w14:textId="77777777" w:rsidR="00E34C39" w:rsidRDefault="00E34C39" w:rsidP="00E34C39">
      <w:pPr>
        <w:spacing w:before="240" w:after="0"/>
        <w:ind w:left="720"/>
        <w:rPr>
          <w:b/>
        </w:rPr>
      </w:pPr>
      <w:r>
        <w:rPr>
          <w:b/>
        </w:rPr>
        <w:t>Advisory:</w:t>
      </w:r>
    </w:p>
    <w:p w14:paraId="3C66D7D6" w14:textId="29E91FFD" w:rsidR="00E34C39" w:rsidRDefault="00F04409" w:rsidP="00E34C39">
      <w:pPr>
        <w:pStyle w:val="ListParagraph"/>
        <w:numPr>
          <w:ilvl w:val="0"/>
          <w:numId w:val="63"/>
        </w:numPr>
        <w:spacing w:after="0" w:line="256" w:lineRule="auto"/>
        <w:contextualSpacing/>
        <w:jc w:val="left"/>
      </w:pPr>
      <w:r>
        <w:t>None</w:t>
      </w:r>
    </w:p>
    <w:p w14:paraId="50730B27" w14:textId="77777777" w:rsidR="00E34C39" w:rsidRDefault="00E34C39" w:rsidP="00E34C39">
      <w:pPr>
        <w:spacing w:before="240" w:after="0"/>
        <w:rPr>
          <w:b/>
        </w:rPr>
      </w:pPr>
      <w:r>
        <w:rPr>
          <w:b/>
        </w:rPr>
        <w:lastRenderedPageBreak/>
        <w:t>Item Development:</w:t>
      </w:r>
    </w:p>
    <w:p w14:paraId="687FABE9" w14:textId="43612F1B" w:rsidR="00E34C39" w:rsidRDefault="00E34C39" w:rsidP="00E34C39">
      <w:r>
        <w:t>New Proposal</w:t>
      </w:r>
      <w:r w:rsidR="00EC3CDB">
        <w:t xml:space="preserve"> 2026</w:t>
      </w:r>
    </w:p>
    <w:p w14:paraId="7B2809EA" w14:textId="2517D09A" w:rsidR="00EC3CDB" w:rsidRDefault="00EC3CDB" w:rsidP="00BA7232">
      <w:pPr>
        <w:keepNext/>
        <w:keepLines/>
        <w:spacing w:after="0"/>
        <w:rPr>
          <w:szCs w:val="20"/>
          <w:u w:val="single"/>
        </w:rPr>
      </w:pPr>
      <w:r w:rsidRPr="00960A2B">
        <w:rPr>
          <w:szCs w:val="20"/>
          <w:u w:val="single"/>
        </w:rPr>
        <w:t>NCWM 202</w:t>
      </w:r>
      <w:r>
        <w:rPr>
          <w:szCs w:val="20"/>
          <w:u w:val="single"/>
        </w:rPr>
        <w:t>6</w:t>
      </w:r>
      <w:r w:rsidRPr="00960A2B">
        <w:rPr>
          <w:szCs w:val="20"/>
          <w:u w:val="single"/>
        </w:rPr>
        <w:t xml:space="preserve"> Interim:</w:t>
      </w:r>
      <w:r w:rsidR="0083028D" w:rsidRPr="00BA7232">
        <w:rPr>
          <w:szCs w:val="20"/>
        </w:rPr>
        <w:t xml:space="preserve"> </w:t>
      </w:r>
      <w:r w:rsidR="00BA7232">
        <w:rPr>
          <w:szCs w:val="20"/>
        </w:rPr>
        <w:t xml:space="preserve">Based on comments from the Arkansas </w:t>
      </w:r>
      <w:r w:rsidR="001B29F9" w:rsidRPr="00FD3A16">
        <w:rPr>
          <w:szCs w:val="20"/>
        </w:rPr>
        <w:t>w</w:t>
      </w:r>
      <w:r w:rsidR="00BA7232" w:rsidRPr="001B29F9">
        <w:rPr>
          <w:szCs w:val="20"/>
        </w:rPr>
        <w:t xml:space="preserve">eights and </w:t>
      </w:r>
      <w:r w:rsidR="001B29F9" w:rsidRPr="00FD3A16">
        <w:rPr>
          <w:szCs w:val="20"/>
        </w:rPr>
        <w:t>m</w:t>
      </w:r>
      <w:r w:rsidR="00BA7232" w:rsidRPr="001B29F9">
        <w:rPr>
          <w:szCs w:val="20"/>
        </w:rPr>
        <w:t xml:space="preserve">easures </w:t>
      </w:r>
      <w:r w:rsidR="002C1468" w:rsidRPr="001B29F9">
        <w:rPr>
          <w:szCs w:val="20"/>
        </w:rPr>
        <w:t>official</w:t>
      </w:r>
      <w:r w:rsidR="00BA7232">
        <w:rPr>
          <w:szCs w:val="20"/>
        </w:rPr>
        <w:t xml:space="preserve"> the </w:t>
      </w:r>
      <w:r w:rsidR="0083028D" w:rsidRPr="00BA7232">
        <w:rPr>
          <w:szCs w:val="20"/>
        </w:rPr>
        <w:t xml:space="preserve">Committee deleted the map from the original proposal and </w:t>
      </w:r>
      <w:r w:rsidR="00E26033" w:rsidRPr="00BA7232">
        <w:rPr>
          <w:szCs w:val="20"/>
        </w:rPr>
        <w:t>added a section directing readers to where the summary of adoption by states can be found.</w:t>
      </w:r>
      <w:r w:rsidR="00363D73" w:rsidRPr="00BA7232">
        <w:rPr>
          <w:szCs w:val="20"/>
        </w:rPr>
        <w:t xml:space="preserve">  The Committee also amended the item to reflect the editorial changes</w:t>
      </w:r>
      <w:r w:rsidR="00BA7868">
        <w:rPr>
          <w:szCs w:val="20"/>
        </w:rPr>
        <w:t xml:space="preserve"> in the new Sectio</w:t>
      </w:r>
      <w:r w:rsidR="00BA7868" w:rsidRPr="00BA7868">
        <w:rPr>
          <w:szCs w:val="20"/>
        </w:rPr>
        <w:t>n 6</w:t>
      </w:r>
      <w:r w:rsidR="00BA7868">
        <w:rPr>
          <w:szCs w:val="20"/>
        </w:rPr>
        <w:t xml:space="preserve"> as</w:t>
      </w:r>
      <w:r w:rsidR="00363D73" w:rsidRPr="00BA7232">
        <w:rPr>
          <w:szCs w:val="20"/>
        </w:rPr>
        <w:t xml:space="preserve"> suggested by NIST OWM</w:t>
      </w:r>
      <w:r w:rsidR="00E30CBC">
        <w:rPr>
          <w:szCs w:val="20"/>
        </w:rPr>
        <w:t xml:space="preserve">; some of the language </w:t>
      </w:r>
      <w:r w:rsidR="00EA0ACE">
        <w:rPr>
          <w:szCs w:val="20"/>
        </w:rPr>
        <w:t>shown</w:t>
      </w:r>
      <w:r w:rsidR="00E30CBC">
        <w:rPr>
          <w:szCs w:val="20"/>
        </w:rPr>
        <w:t xml:space="preserve"> in the item wasn’t the original</w:t>
      </w:r>
      <w:r w:rsidR="00A156D6">
        <w:rPr>
          <w:szCs w:val="20"/>
        </w:rPr>
        <w:t xml:space="preserve"> or current </w:t>
      </w:r>
      <w:r w:rsidR="00E30CBC">
        <w:rPr>
          <w:szCs w:val="20"/>
        </w:rPr>
        <w:t>language in HB 130</w:t>
      </w:r>
      <w:r w:rsidR="00AB7226">
        <w:rPr>
          <w:szCs w:val="20"/>
        </w:rPr>
        <w:t>.</w:t>
      </w:r>
      <w:r w:rsidR="00363D73" w:rsidRPr="00BA7232">
        <w:rPr>
          <w:szCs w:val="20"/>
        </w:rPr>
        <w:t xml:space="preserve"> The Committee believes this item is fully developed and </w:t>
      </w:r>
      <w:r w:rsidR="0064623D">
        <w:rPr>
          <w:szCs w:val="20"/>
        </w:rPr>
        <w:t>has moved t</w:t>
      </w:r>
      <w:r w:rsidR="00FB656D">
        <w:rPr>
          <w:szCs w:val="20"/>
        </w:rPr>
        <w:t>his</w:t>
      </w:r>
      <w:r w:rsidR="0064623D">
        <w:rPr>
          <w:szCs w:val="20"/>
        </w:rPr>
        <w:t xml:space="preserve"> </w:t>
      </w:r>
      <w:r w:rsidR="00BA7232">
        <w:rPr>
          <w:szCs w:val="20"/>
        </w:rPr>
        <w:t xml:space="preserve">forward for </w:t>
      </w:r>
      <w:r w:rsidR="00363D73" w:rsidRPr="00BA7232">
        <w:rPr>
          <w:szCs w:val="20"/>
        </w:rPr>
        <w:t>Voting.</w:t>
      </w:r>
    </w:p>
    <w:p w14:paraId="0C706137" w14:textId="77777777" w:rsidR="00BA7232" w:rsidRPr="00BA7232" w:rsidRDefault="00BA7232" w:rsidP="00BA7232">
      <w:pPr>
        <w:keepNext/>
        <w:keepLines/>
        <w:spacing w:after="0"/>
        <w:rPr>
          <w:szCs w:val="20"/>
          <w:u w:val="single"/>
        </w:rPr>
      </w:pPr>
    </w:p>
    <w:p w14:paraId="04F2F432" w14:textId="77777777" w:rsidR="00E34C39" w:rsidRDefault="00E34C39" w:rsidP="00E34C39">
      <w:pPr>
        <w:spacing w:after="0"/>
        <w:rPr>
          <w:b/>
        </w:rPr>
      </w:pPr>
      <w:r>
        <w:rPr>
          <w:b/>
        </w:rPr>
        <w:t>Regional Associations’ Comments:</w:t>
      </w:r>
    </w:p>
    <w:p w14:paraId="778EE0E0" w14:textId="77777777" w:rsidR="00E34C39" w:rsidRDefault="00E34C39" w:rsidP="00E34C39">
      <w:pPr>
        <w:rPr>
          <w:bCs/>
        </w:rPr>
      </w:pPr>
      <w:r>
        <w:rPr>
          <w:bCs/>
        </w:rPr>
        <w:t>New Proposal</w:t>
      </w:r>
    </w:p>
    <w:p w14:paraId="5833B02C" w14:textId="62A7B137" w:rsidR="003179B2" w:rsidRPr="007B2872" w:rsidRDefault="00C8190C" w:rsidP="007B2872">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7C60387D" w14:textId="3A0BAA35" w:rsidR="00C8190C" w:rsidRPr="00A43BF4" w:rsidRDefault="003179B2" w:rsidP="007B2872">
      <w:pPr>
        <w:rPr>
          <w:rFonts w:eastAsia="Times New Roman"/>
          <w:szCs w:val="24"/>
        </w:rPr>
      </w:pPr>
      <w:r w:rsidRPr="003179B2">
        <w:rPr>
          <w:rFonts w:eastAsia="Times New Roman"/>
          <w:szCs w:val="24"/>
        </w:rPr>
        <w:t>No comments or status recommendation.</w:t>
      </w:r>
    </w:p>
    <w:p w14:paraId="12641E68" w14:textId="381E5324" w:rsidR="00C8190C" w:rsidRDefault="00C8190C" w:rsidP="00C8190C">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60E61">
        <w:rPr>
          <w:rFonts w:eastAsia="Times New Roman"/>
          <w:szCs w:val="24"/>
          <w:u w:val="single"/>
        </w:rPr>
        <w:t>Interim</w:t>
      </w:r>
      <w:r w:rsidRPr="0051426D">
        <w:rPr>
          <w:rFonts w:eastAsia="Times New Roman"/>
          <w:szCs w:val="24"/>
          <w:u w:val="single"/>
        </w:rPr>
        <w:t xml:space="preserve"> Meeting:</w:t>
      </w:r>
    </w:p>
    <w:p w14:paraId="3A128900" w14:textId="4E7861B1" w:rsidR="00F95698" w:rsidRPr="00F95698" w:rsidRDefault="00F95698" w:rsidP="007B2872">
      <w:pPr>
        <w:rPr>
          <w:rFonts w:eastAsia="Times New Roman"/>
          <w:szCs w:val="24"/>
        </w:rPr>
      </w:pPr>
      <w:r>
        <w:rPr>
          <w:rFonts w:eastAsia="Times New Roman"/>
          <w:szCs w:val="24"/>
        </w:rPr>
        <w:t xml:space="preserve">Two regulators recommended </w:t>
      </w:r>
      <w:r w:rsidR="000A74C9">
        <w:rPr>
          <w:rFonts w:eastAsia="Times New Roman"/>
          <w:szCs w:val="24"/>
        </w:rPr>
        <w:t>developing</w:t>
      </w:r>
      <w:r>
        <w:rPr>
          <w:rFonts w:eastAsia="Times New Roman"/>
          <w:szCs w:val="24"/>
        </w:rPr>
        <w:t xml:space="preserve"> this item.  It was suggested to receive input from more stakeholders.</w:t>
      </w:r>
      <w:r>
        <w:rPr>
          <w:rFonts w:eastAsia="Times New Roman"/>
          <w:szCs w:val="24"/>
          <w:u w:val="single"/>
        </w:rPr>
        <w:br/>
      </w:r>
      <w:r w:rsidRPr="00F95698">
        <w:rPr>
          <w:rFonts w:eastAsia="Times New Roman"/>
          <w:szCs w:val="24"/>
        </w:rPr>
        <w:t xml:space="preserve">The CWMA L&amp;R Committee recommends a developing status for this item. </w:t>
      </w:r>
    </w:p>
    <w:p w14:paraId="3A40BACC" w14:textId="557C2A95" w:rsidR="003179B2" w:rsidRDefault="00C8190C" w:rsidP="00C8190C">
      <w:pPr>
        <w:jc w:val="left"/>
        <w:rPr>
          <w:u w:val="single"/>
        </w:rPr>
      </w:pPr>
      <w:r w:rsidRPr="006C7BFB">
        <w:rPr>
          <w:u w:val="single"/>
        </w:rPr>
        <w:t>NEWMA 202</w:t>
      </w:r>
      <w:r>
        <w:rPr>
          <w:u w:val="single"/>
        </w:rPr>
        <w:t>5</w:t>
      </w:r>
      <w:r w:rsidRPr="006C7BFB">
        <w:rPr>
          <w:u w:val="single"/>
        </w:rPr>
        <w:t xml:space="preserve"> Interim Meeting:</w:t>
      </w:r>
    </w:p>
    <w:p w14:paraId="023AE8E3" w14:textId="77777777" w:rsidR="006E03A8" w:rsidRDefault="003179B2" w:rsidP="007B2872">
      <w:pPr>
        <w:jc w:val="left"/>
        <w:rPr>
          <w:rFonts w:eastAsia="Times New Roman"/>
          <w:szCs w:val="24"/>
        </w:rPr>
      </w:pPr>
      <w:r w:rsidRPr="003179B2">
        <w:rPr>
          <w:rFonts w:eastAsia="Times New Roman"/>
          <w:szCs w:val="24"/>
        </w:rPr>
        <w:t>No comments or status recommendation.</w:t>
      </w:r>
    </w:p>
    <w:p w14:paraId="32C460E7" w14:textId="213ED33F" w:rsidR="00514242" w:rsidRPr="003179B2" w:rsidRDefault="00C8190C" w:rsidP="007B2872">
      <w:pPr>
        <w:jc w:val="left"/>
        <w:rPr>
          <w:rFonts w:eastAsia="Times New Roman"/>
          <w:szCs w:val="24"/>
        </w:rPr>
      </w:pPr>
      <w:r>
        <w:rPr>
          <w:u w:val="single"/>
        </w:rPr>
        <w:br/>
        <w:t>S</w:t>
      </w:r>
      <w:r w:rsidRPr="00EF1ACC">
        <w:rPr>
          <w:u w:val="single"/>
        </w:rPr>
        <w:t>WMA 202</w:t>
      </w:r>
      <w:r>
        <w:rPr>
          <w:u w:val="single"/>
        </w:rPr>
        <w:t>5</w:t>
      </w:r>
      <w:r w:rsidRPr="00EF1ACC">
        <w:rPr>
          <w:u w:val="single"/>
        </w:rPr>
        <w:t xml:space="preserve"> </w:t>
      </w:r>
      <w:r w:rsidR="00A60E61">
        <w:rPr>
          <w:u w:val="single"/>
        </w:rPr>
        <w:t>Annual</w:t>
      </w:r>
      <w:r w:rsidRPr="00EF1ACC">
        <w:rPr>
          <w:u w:val="single"/>
        </w:rPr>
        <w:t xml:space="preserve"> Meeting</w:t>
      </w:r>
      <w:r>
        <w:rPr>
          <w:u w:val="single"/>
        </w:rPr>
        <w:t>:</w:t>
      </w:r>
    </w:p>
    <w:p w14:paraId="12008E09" w14:textId="19B1D1C4" w:rsidR="00514242" w:rsidRDefault="00514242" w:rsidP="007B2872">
      <w:pPr>
        <w:rPr>
          <w:rFonts w:eastAsia="Times New Roman"/>
          <w:szCs w:val="24"/>
        </w:rPr>
      </w:pPr>
      <w:r>
        <w:rPr>
          <w:rFonts w:eastAsia="Times New Roman"/>
          <w:szCs w:val="24"/>
        </w:rPr>
        <w:t xml:space="preserve">Mr. Tory Brewer with the state of West Virginia recommends this item </w:t>
      </w:r>
      <w:r w:rsidRPr="00102A19">
        <w:rPr>
          <w:rFonts w:eastAsia="Times New Roman"/>
          <w:szCs w:val="24"/>
        </w:rPr>
        <w:t>be given Informational status</w:t>
      </w:r>
      <w:r w:rsidR="007B2872">
        <w:rPr>
          <w:rFonts w:eastAsia="Times New Roman"/>
          <w:szCs w:val="24"/>
        </w:rPr>
        <w:t>.</w:t>
      </w:r>
      <w:r>
        <w:rPr>
          <w:rFonts w:eastAsia="Times New Roman"/>
          <w:szCs w:val="24"/>
        </w:rPr>
        <w:t xml:space="preserve"> </w:t>
      </w:r>
    </w:p>
    <w:p w14:paraId="05DDA232" w14:textId="43179E19" w:rsidR="00514242" w:rsidRDefault="00514242" w:rsidP="007B2872">
      <w:pPr>
        <w:rPr>
          <w:rFonts w:eastAsia="Times New Roman"/>
          <w:szCs w:val="24"/>
        </w:rPr>
      </w:pPr>
      <w:r>
        <w:rPr>
          <w:rFonts w:eastAsia="Times New Roman"/>
          <w:szCs w:val="24"/>
        </w:rPr>
        <w:t xml:space="preserve">Mr. Mauricio Mejia, with the state of Florida, echoes West Virginia’s comments.  </w:t>
      </w:r>
    </w:p>
    <w:p w14:paraId="34609213" w14:textId="1BB2BFD4" w:rsidR="00514242" w:rsidRPr="00514242" w:rsidRDefault="00514242" w:rsidP="007B2872">
      <w:pPr>
        <w:rPr>
          <w:rFonts w:eastAsia="Times New Roman"/>
          <w:szCs w:val="24"/>
        </w:rPr>
      </w:pPr>
      <w:r>
        <w:rPr>
          <w:rFonts w:eastAsia="Times New Roman"/>
          <w:szCs w:val="24"/>
        </w:rPr>
        <w:t>The Committee admitted this item during open hearings and opened it for comments though it was not in the Laws &amp; Regulations Committees agenda.   The Committee recommends this item be added to the table of contents and therefore agenda at NCWM interim and recommends an Informational Status based on the comments received on the floor.</w:t>
      </w:r>
    </w:p>
    <w:p w14:paraId="28D36436" w14:textId="3F55F2DA" w:rsidR="00E34C39" w:rsidRPr="00E34C39" w:rsidRDefault="00E34C39" w:rsidP="00E34C39">
      <w:r>
        <w:t xml:space="preserve">Additional letters, presentation and data may have been submitted for consideration with this item.  Please refer to </w:t>
      </w:r>
      <w:hyperlink r:id="rId34" w:history="1">
        <w:r>
          <w:rPr>
            <w:rStyle w:val="Hyperlink"/>
          </w:rPr>
          <w:t>https://www.ncwm.com/publication-15</w:t>
        </w:r>
      </w:hyperlink>
      <w:r>
        <w:t xml:space="preserve"> to review these documents.</w:t>
      </w:r>
    </w:p>
    <w:p w14:paraId="085C32B6" w14:textId="362B7A58" w:rsidR="000B7F42" w:rsidRDefault="00AF5611" w:rsidP="000B58AD">
      <w:pPr>
        <w:pStyle w:val="Heading1"/>
      </w:pPr>
      <w:bookmarkStart w:id="125" w:name="_Toc224019620"/>
      <w:r>
        <w:t>FLR – Uniform Fuels and Automotive Lubricants Regulation</w:t>
      </w:r>
      <w:bookmarkEnd w:id="125"/>
    </w:p>
    <w:p w14:paraId="106B5F14" w14:textId="22ECCE1A" w:rsidR="005178E0" w:rsidRDefault="0048725E" w:rsidP="005178E0">
      <w:pPr>
        <w:pStyle w:val="ItemHeading"/>
      </w:pPr>
      <w:bookmarkStart w:id="126" w:name="_Toc224019621"/>
      <w:r>
        <w:t>FLR-26.1</w:t>
      </w:r>
      <w:r>
        <w:tab/>
      </w:r>
      <w:r w:rsidR="007F6E65">
        <w:t>A</w:t>
      </w:r>
      <w:r>
        <w:tab/>
      </w:r>
      <w:r w:rsidR="003945B6">
        <w:t>7.2. Reproducibility Limits</w:t>
      </w:r>
      <w:bookmarkEnd w:id="126"/>
    </w:p>
    <w:p w14:paraId="5207962C" w14:textId="77777777" w:rsidR="00612085" w:rsidRPr="00E025F9" w:rsidRDefault="00612085" w:rsidP="00612085">
      <w:pPr>
        <w:spacing w:after="0"/>
        <w:rPr>
          <w:b/>
        </w:rPr>
      </w:pPr>
      <w:r w:rsidRPr="00E025F9">
        <w:rPr>
          <w:b/>
        </w:rPr>
        <w:t>Source:</w:t>
      </w:r>
    </w:p>
    <w:p w14:paraId="081907E1" w14:textId="480EA8F3" w:rsidR="00612085" w:rsidRPr="00C8190C" w:rsidRDefault="00DA3F68" w:rsidP="00C8190C">
      <w:r w:rsidRPr="00C8190C">
        <w:t xml:space="preserve">Colorado Division of </w:t>
      </w:r>
      <w:r w:rsidR="00E868A8" w:rsidRPr="00C8190C">
        <w:t>Oil and Public Safety</w:t>
      </w:r>
    </w:p>
    <w:p w14:paraId="434FF9D0" w14:textId="77777777" w:rsidR="00612085" w:rsidRPr="00E025F9" w:rsidRDefault="00612085" w:rsidP="00612085">
      <w:pPr>
        <w:spacing w:after="0"/>
        <w:rPr>
          <w:b/>
        </w:rPr>
      </w:pPr>
      <w:r w:rsidRPr="00E025F9">
        <w:rPr>
          <w:b/>
        </w:rPr>
        <w:t>Purpose:</w:t>
      </w:r>
    </w:p>
    <w:p w14:paraId="6E2F6771" w14:textId="7C6B016D" w:rsidR="00612085" w:rsidRPr="00C8190C" w:rsidRDefault="0078074E" w:rsidP="00C8190C">
      <w:r w:rsidRPr="00C8190C">
        <w:t>This proposal aims to clarify section 7.2.5. – Enforcement Action in the Uniform Fuels Regulation to address misleading and inadequate language from 2008.</w:t>
      </w:r>
    </w:p>
    <w:p w14:paraId="2BA053D0" w14:textId="77777777" w:rsidR="00612085" w:rsidRPr="00E025F9" w:rsidRDefault="00612085" w:rsidP="00612085">
      <w:pPr>
        <w:spacing w:after="0"/>
        <w:rPr>
          <w:b/>
        </w:rPr>
      </w:pPr>
      <w:r w:rsidRPr="00E025F9">
        <w:rPr>
          <w:b/>
        </w:rPr>
        <w:t>Item under Consideration:</w:t>
      </w:r>
    </w:p>
    <w:p w14:paraId="40BC0C7B" w14:textId="5430D2B2" w:rsidR="00612085" w:rsidRDefault="003D5197" w:rsidP="00612085">
      <w:r>
        <w:t xml:space="preserve">Amend NIST Handbook 130 Uniform </w:t>
      </w:r>
      <w:r w:rsidR="00207D4B">
        <w:t xml:space="preserve">Fuels and Automotive Lubricants Regulation as follows: </w:t>
      </w:r>
    </w:p>
    <w:p w14:paraId="4ECC58FE" w14:textId="77777777" w:rsidR="00165A81" w:rsidRPr="00A55B21" w:rsidRDefault="00165A81" w:rsidP="00165A81">
      <w:pPr>
        <w:ind w:left="360"/>
        <w:rPr>
          <w:szCs w:val="20"/>
        </w:rPr>
      </w:pPr>
      <w:bookmarkStart w:id="127" w:name="_Toc135041530"/>
      <w:bookmarkStart w:id="128" w:name="_Toc174106180"/>
      <w:bookmarkStart w:id="129" w:name="_Toc174106415"/>
      <w:bookmarkStart w:id="130" w:name="_Toc178174148"/>
      <w:r w:rsidRPr="00A55B21">
        <w:rPr>
          <w:szCs w:val="20"/>
        </w:rPr>
        <w:lastRenderedPageBreak/>
        <w:t>7.2. Reproducibility Limits.</w:t>
      </w:r>
      <w:bookmarkEnd w:id="127"/>
      <w:bookmarkEnd w:id="128"/>
      <w:bookmarkEnd w:id="129"/>
      <w:bookmarkEnd w:id="130"/>
    </w:p>
    <w:p w14:paraId="107EEFC1" w14:textId="77777777" w:rsidR="00165A81" w:rsidRPr="00A55B21" w:rsidRDefault="00165A81" w:rsidP="00712C69">
      <w:pPr>
        <w:keepNext/>
        <w:keepLines/>
        <w:ind w:left="720"/>
        <w:rPr>
          <w:vanish/>
          <w:szCs w:val="20"/>
          <w:specVanish/>
        </w:rPr>
      </w:pPr>
      <w:bookmarkStart w:id="131" w:name="_Toc135041531"/>
      <w:bookmarkStart w:id="132" w:name="_Toc174106181"/>
      <w:bookmarkStart w:id="133" w:name="_Toc174106416"/>
      <w:bookmarkStart w:id="134" w:name="_Toc178174149"/>
      <w:r w:rsidRPr="00A55B21">
        <w:rPr>
          <w:szCs w:val="20"/>
        </w:rPr>
        <w:t>7.2.1. AKI Limits.</w:t>
      </w:r>
      <w:bookmarkEnd w:id="131"/>
      <w:bookmarkEnd w:id="132"/>
      <w:bookmarkEnd w:id="133"/>
      <w:bookmarkEnd w:id="134"/>
    </w:p>
    <w:p w14:paraId="70C06CAB" w14:textId="77777777" w:rsidR="00165A81" w:rsidRPr="00A55B21" w:rsidRDefault="00165A81" w:rsidP="00712C69">
      <w:pPr>
        <w:keepNext/>
        <w:keepLines/>
        <w:ind w:left="720"/>
        <w:rPr>
          <w:szCs w:val="20"/>
        </w:rPr>
      </w:pPr>
      <w:r w:rsidRPr="00A55B21">
        <w:rPr>
          <w:szCs w:val="20"/>
        </w:rPr>
        <w:t xml:space="preserve"> – When determining the antiknock index</w:t>
      </w:r>
      <w:r w:rsidRPr="00A55B21">
        <w:rPr>
          <w:szCs w:val="20"/>
        </w:rPr>
        <w:fldChar w:fldCharType="begin"/>
      </w:r>
      <w:r w:rsidRPr="00A55B21">
        <w:rPr>
          <w:szCs w:val="20"/>
        </w:rPr>
        <w:instrText>xe "Antiknock index"</w:instrText>
      </w:r>
      <w:r w:rsidRPr="00A55B21">
        <w:rPr>
          <w:szCs w:val="20"/>
        </w:rPr>
        <w:fldChar w:fldCharType="end"/>
      </w:r>
      <w:r w:rsidRPr="00A55B21">
        <w:rPr>
          <w:szCs w:val="20"/>
        </w:rPr>
        <w:t xml:space="preserve"> (AKI) </w:t>
      </w:r>
      <w:r w:rsidRPr="00A55B21">
        <w:rPr>
          <w:szCs w:val="20"/>
        </w:rPr>
        <w:fldChar w:fldCharType="begin"/>
      </w:r>
      <w:r w:rsidRPr="00A55B21">
        <w:rPr>
          <w:szCs w:val="20"/>
        </w:rPr>
        <w:instrText xml:space="preserve"> XE "Fuels:Reproducibility limits" </w:instrText>
      </w:r>
      <w:r w:rsidRPr="00A55B21">
        <w:rPr>
          <w:szCs w:val="20"/>
        </w:rPr>
        <w:fldChar w:fldCharType="end"/>
      </w:r>
      <w:r w:rsidRPr="00A55B21">
        <w:rPr>
          <w:szCs w:val="20"/>
        </w:rPr>
        <w:fldChar w:fldCharType="begin"/>
      </w:r>
      <w:r w:rsidRPr="00A55B21">
        <w:rPr>
          <w:szCs w:val="20"/>
        </w:rPr>
        <w:instrText xml:space="preserve"> XE "Fuels:AKI limits" </w:instrText>
      </w:r>
      <w:r w:rsidRPr="00A55B21">
        <w:rPr>
          <w:szCs w:val="20"/>
        </w:rPr>
        <w:fldChar w:fldCharType="end"/>
      </w:r>
      <w:r w:rsidRPr="00A55B21">
        <w:rPr>
          <w:szCs w:val="20"/>
        </w:rPr>
        <w:t>acceptance or rejection of a gasoline sample, the AKI reproducibility limits as outlined in the latest version of ASTM D4814, “Standard Specification for Automotive Spark-Ignition Engine Fuel,” Appendix X1 shall be acknowledged for enforcement purposes.</w:t>
      </w:r>
    </w:p>
    <w:p w14:paraId="2115C6BF" w14:textId="77777777" w:rsidR="00165A81" w:rsidRPr="00A55B21" w:rsidRDefault="00165A81" w:rsidP="00165A81">
      <w:pPr>
        <w:ind w:left="720"/>
        <w:rPr>
          <w:vanish/>
          <w:szCs w:val="20"/>
          <w:specVanish/>
        </w:rPr>
      </w:pPr>
      <w:bookmarkStart w:id="135" w:name="_Toc135041532"/>
      <w:bookmarkStart w:id="136" w:name="_Toc174106182"/>
      <w:bookmarkStart w:id="137" w:name="_Toc174106417"/>
      <w:bookmarkStart w:id="138" w:name="_Toc178174150"/>
      <w:r w:rsidRPr="00A55B21">
        <w:rPr>
          <w:szCs w:val="20"/>
        </w:rPr>
        <w:t>7.2.2. Reproducibility.</w:t>
      </w:r>
      <w:bookmarkEnd w:id="135"/>
      <w:bookmarkEnd w:id="136"/>
      <w:bookmarkEnd w:id="137"/>
      <w:bookmarkEnd w:id="138"/>
    </w:p>
    <w:p w14:paraId="5B765325" w14:textId="77777777" w:rsidR="00165A81" w:rsidRPr="00A55B21" w:rsidRDefault="00165A81" w:rsidP="00165A81">
      <w:pPr>
        <w:spacing w:after="0"/>
        <w:ind w:left="720"/>
        <w:rPr>
          <w:szCs w:val="20"/>
          <w:u w:val="single"/>
        </w:rPr>
      </w:pPr>
      <w:r w:rsidRPr="00A55B21">
        <w:rPr>
          <w:szCs w:val="20"/>
        </w:rPr>
        <w:t xml:space="preserve"> </w:t>
      </w:r>
      <w:r w:rsidRPr="00A55B21">
        <w:rPr>
          <w:bCs/>
          <w:szCs w:val="20"/>
        </w:rPr>
        <w:t>–</w:t>
      </w:r>
      <w:r w:rsidRPr="00A55B21">
        <w:rPr>
          <w:szCs w:val="20"/>
        </w:rPr>
        <w:t xml:space="preserve"> The reproducibility limits of the standard test method used for each test performed shall be acknowledged for enforcement purposes, except as indicated in Section 2.2.1. Premium Diesel Fuel and Section 7.2.1. AKI Limits.  No allowance shall be made for the precision of the test methods for aviation gasoline or aviation turbine fuels.</w:t>
      </w:r>
    </w:p>
    <w:p w14:paraId="65609066" w14:textId="77777777" w:rsidR="00165A81" w:rsidRDefault="00165A81" w:rsidP="00165A81">
      <w:pPr>
        <w:ind w:left="720"/>
        <w:rPr>
          <w:szCs w:val="20"/>
        </w:rPr>
      </w:pPr>
      <w:r w:rsidRPr="00A55B21">
        <w:rPr>
          <w:szCs w:val="20"/>
        </w:rPr>
        <w:t>(Amended 2008)</w:t>
      </w:r>
    </w:p>
    <w:p w14:paraId="449090B7" w14:textId="77777777" w:rsidR="00165A81" w:rsidRDefault="00165A81" w:rsidP="00165A81">
      <w:pPr>
        <w:spacing w:after="0"/>
        <w:ind w:left="1080"/>
        <w:rPr>
          <w:b/>
          <w:bCs/>
          <w:szCs w:val="20"/>
          <w:u w:val="single"/>
        </w:rPr>
      </w:pPr>
      <w:r w:rsidRPr="004869A7">
        <w:rPr>
          <w:b/>
          <w:bCs/>
          <w:szCs w:val="20"/>
          <w:u w:val="single"/>
        </w:rPr>
        <w:t xml:space="preserve">7.2.2.1 Enforcement Action. - To avoid the exploitation of a test method's reproducibility limits by any regulated party, the Director may initiate enforcement action when several independent test results, of the same product sampled from the same source location at different times, are exceeding legal limits (such as specification values, posted values, certified values, or registered values). </w:t>
      </w:r>
    </w:p>
    <w:p w14:paraId="790C9963" w14:textId="77777777" w:rsidR="00165A81" w:rsidRPr="004869A7" w:rsidRDefault="00165A81" w:rsidP="00165A81">
      <w:pPr>
        <w:ind w:left="1080"/>
        <w:rPr>
          <w:szCs w:val="20"/>
        </w:rPr>
      </w:pPr>
      <w:r w:rsidRPr="004869A7">
        <w:rPr>
          <w:b/>
          <w:bCs/>
          <w:szCs w:val="20"/>
          <w:u w:val="single"/>
        </w:rPr>
        <w:t>(Added 202X).</w:t>
      </w:r>
    </w:p>
    <w:p w14:paraId="73657428" w14:textId="77777777" w:rsidR="00165A81" w:rsidRPr="00A55B21" w:rsidRDefault="00165A81" w:rsidP="00165A81">
      <w:pPr>
        <w:ind w:left="720"/>
        <w:rPr>
          <w:vanish/>
          <w:szCs w:val="20"/>
          <w:specVanish/>
        </w:rPr>
      </w:pPr>
      <w:bookmarkStart w:id="139" w:name="_Toc135041533"/>
      <w:bookmarkStart w:id="140" w:name="_Toc174106183"/>
      <w:bookmarkStart w:id="141" w:name="_Toc174106418"/>
      <w:bookmarkStart w:id="142" w:name="_Toc178174151"/>
      <w:r w:rsidRPr="00A55B21">
        <w:rPr>
          <w:szCs w:val="20"/>
        </w:rPr>
        <w:t>7.2.3. SAE Viscosity Grades for Engine Oils.</w:t>
      </w:r>
      <w:bookmarkEnd w:id="139"/>
      <w:bookmarkEnd w:id="140"/>
      <w:bookmarkEnd w:id="141"/>
      <w:bookmarkEnd w:id="142"/>
    </w:p>
    <w:p w14:paraId="162612DA" w14:textId="77777777" w:rsidR="00165A81" w:rsidRPr="00A55B21" w:rsidRDefault="00165A81" w:rsidP="00165A81">
      <w:pPr>
        <w:spacing w:after="0"/>
        <w:ind w:left="720"/>
        <w:rPr>
          <w:bCs/>
          <w:szCs w:val="20"/>
        </w:rPr>
      </w:pPr>
      <w:r w:rsidRPr="00A55B21">
        <w:rPr>
          <w:bCs/>
          <w:szCs w:val="20"/>
        </w:rPr>
        <w:t xml:space="preserve"> – With the exception of the low-temperature cranking viscosity, all values required to define SAE Viscosity Grades, as defined in the latest version of SAE J300, “Engine Oil Viscosity Classification”, are critical specifications as defined by the latest version of ASTM D3244, “Standard Practice for Utilization of Test Data to Determine Conformance with Specifications”.</w:t>
      </w:r>
    </w:p>
    <w:p w14:paraId="4DADF376" w14:textId="77777777" w:rsidR="00165A81" w:rsidRPr="00A55B21" w:rsidRDefault="00165A81" w:rsidP="00165A81">
      <w:pPr>
        <w:ind w:left="720"/>
        <w:rPr>
          <w:szCs w:val="20"/>
        </w:rPr>
      </w:pPr>
      <w:r w:rsidRPr="00A55B21">
        <w:rPr>
          <w:szCs w:val="20"/>
        </w:rPr>
        <w:t>(Added 2008) (Amended 2021)</w:t>
      </w:r>
    </w:p>
    <w:p w14:paraId="2561CD89" w14:textId="77777777" w:rsidR="00165A81" w:rsidRPr="00A55B21" w:rsidRDefault="00165A81" w:rsidP="00165A81">
      <w:pPr>
        <w:ind w:left="720"/>
        <w:rPr>
          <w:iCs/>
          <w:vanish/>
          <w:szCs w:val="20"/>
          <w:specVanish/>
        </w:rPr>
      </w:pPr>
      <w:bookmarkStart w:id="143" w:name="_Toc135041534"/>
      <w:bookmarkStart w:id="144" w:name="_Toc174106184"/>
      <w:bookmarkStart w:id="145" w:name="_Toc174106419"/>
      <w:bookmarkStart w:id="146" w:name="_Toc178174152"/>
      <w:r w:rsidRPr="00A55B21">
        <w:rPr>
          <w:szCs w:val="20"/>
        </w:rPr>
        <w:t>7.2.4. Dispute Resolution.</w:t>
      </w:r>
      <w:bookmarkEnd w:id="143"/>
      <w:bookmarkEnd w:id="144"/>
      <w:bookmarkEnd w:id="145"/>
      <w:bookmarkEnd w:id="146"/>
    </w:p>
    <w:p w14:paraId="3416C82D" w14:textId="77777777" w:rsidR="00165A81" w:rsidRPr="00A55B21" w:rsidRDefault="00165A81" w:rsidP="00165A81">
      <w:pPr>
        <w:ind w:left="720"/>
        <w:rPr>
          <w:bCs/>
          <w:szCs w:val="20"/>
        </w:rPr>
      </w:pPr>
      <w:r w:rsidRPr="00A55B21">
        <w:rPr>
          <w:bCs/>
          <w:szCs w:val="20"/>
        </w:rPr>
        <w:t xml:space="preserve"> – In the event of a dispute over a reported test value, the guidelines presented in the latest version of ASTM D3244, “Standard</w:t>
      </w:r>
      <w:r w:rsidRPr="00A55B21">
        <w:rPr>
          <w:bCs/>
          <w:szCs w:val="20"/>
        </w:rPr>
        <w:fldChar w:fldCharType="begin"/>
      </w:r>
      <w:r w:rsidRPr="00A55B21">
        <w:rPr>
          <w:bCs/>
          <w:szCs w:val="20"/>
        </w:rPr>
        <w:instrText>xe "Standard"</w:instrText>
      </w:r>
      <w:r w:rsidRPr="00A55B21">
        <w:rPr>
          <w:bCs/>
          <w:szCs w:val="20"/>
        </w:rPr>
        <w:fldChar w:fldCharType="end"/>
      </w:r>
      <w:r w:rsidRPr="00A55B21">
        <w:rPr>
          <w:bCs/>
          <w:szCs w:val="20"/>
        </w:rPr>
        <w:t xml:space="preserve"> Practice for Utilization of Test Data to Determine Conformance with Specifications</w:t>
      </w:r>
      <w:r w:rsidRPr="00A55B21">
        <w:rPr>
          <w:bCs/>
          <w:szCs w:val="20"/>
        </w:rPr>
        <w:fldChar w:fldCharType="begin"/>
      </w:r>
      <w:r w:rsidRPr="00A55B21">
        <w:rPr>
          <w:bCs/>
          <w:szCs w:val="20"/>
        </w:rPr>
        <w:instrText>xe "Specifications"</w:instrText>
      </w:r>
      <w:r w:rsidRPr="00A55B21">
        <w:rPr>
          <w:bCs/>
          <w:szCs w:val="20"/>
        </w:rPr>
        <w:fldChar w:fldCharType="end"/>
      </w:r>
      <w:r w:rsidRPr="00A55B21">
        <w:rPr>
          <w:bCs/>
          <w:szCs w:val="20"/>
        </w:rPr>
        <w:t>,” shall be used to determine the acceptance or rejection of the sample.</w:t>
      </w:r>
    </w:p>
    <w:p w14:paraId="690A4428" w14:textId="77777777" w:rsidR="00165A81" w:rsidRPr="00A55B21" w:rsidRDefault="00165A81" w:rsidP="00165A81">
      <w:pPr>
        <w:ind w:left="720"/>
        <w:rPr>
          <w:b/>
          <w:bCs/>
          <w:strike/>
          <w:vanish/>
          <w:szCs w:val="20"/>
          <w:specVanish/>
        </w:rPr>
      </w:pPr>
      <w:bookmarkStart w:id="147" w:name="_Toc135041535"/>
      <w:bookmarkStart w:id="148" w:name="_Toc174106185"/>
      <w:bookmarkStart w:id="149" w:name="_Toc174106420"/>
      <w:bookmarkStart w:id="150" w:name="_Toc178174153"/>
      <w:r w:rsidRPr="004869A7">
        <w:rPr>
          <w:b/>
          <w:bCs/>
          <w:strike/>
          <w:szCs w:val="20"/>
        </w:rPr>
        <w:t>7.2.5. Additional</w:t>
      </w:r>
      <w:r w:rsidRPr="00A55B21">
        <w:rPr>
          <w:b/>
          <w:bCs/>
          <w:strike/>
          <w:szCs w:val="20"/>
        </w:rPr>
        <w:t xml:space="preserve"> Enforcement Action.</w:t>
      </w:r>
      <w:bookmarkEnd w:id="147"/>
      <w:bookmarkEnd w:id="148"/>
      <w:bookmarkEnd w:id="149"/>
      <w:bookmarkEnd w:id="150"/>
    </w:p>
    <w:p w14:paraId="49E59C41" w14:textId="77777777" w:rsidR="00165A81" w:rsidRDefault="00165A81" w:rsidP="00165A81">
      <w:pPr>
        <w:spacing w:after="0"/>
        <w:rPr>
          <w:b/>
          <w:bCs/>
          <w:strike/>
          <w:szCs w:val="20"/>
        </w:rPr>
      </w:pPr>
      <w:r w:rsidRPr="00A55B21">
        <w:rPr>
          <w:b/>
          <w:bCs/>
          <w:strike/>
          <w:szCs w:val="20"/>
        </w:rPr>
        <w:t xml:space="preserve"> – The Director may initiate </w:t>
      </w:r>
      <w:r w:rsidRPr="00A55B21">
        <w:rPr>
          <w:b/>
          <w:bCs/>
          <w:strike/>
          <w:szCs w:val="20"/>
        </w:rPr>
        <w:fldChar w:fldCharType="begin"/>
      </w:r>
      <w:r w:rsidRPr="00A55B21">
        <w:rPr>
          <w:b/>
          <w:bCs/>
          <w:strike/>
          <w:szCs w:val="20"/>
        </w:rPr>
        <w:instrText xml:space="preserve"> XE "Fuels:Enforcement" </w:instrText>
      </w:r>
      <w:r w:rsidRPr="00A55B21">
        <w:rPr>
          <w:b/>
          <w:bCs/>
          <w:strike/>
          <w:szCs w:val="20"/>
        </w:rPr>
        <w:fldChar w:fldCharType="end"/>
      </w:r>
      <w:r w:rsidRPr="00A55B21">
        <w:rPr>
          <w:b/>
          <w:bCs/>
          <w:strike/>
          <w:szCs w:val="20"/>
        </w:rPr>
        <w:t>enforcement action in the event that, based upon a statistically significant number of samples, the average test result for products sampled from the same source location is greater than the legal maximum or less than the legal minimum limits (specification value), posted values, certified values, or registered values.</w:t>
      </w:r>
    </w:p>
    <w:p w14:paraId="021280E7" w14:textId="08A84EC5" w:rsidR="00207D4B" w:rsidRDefault="00165A81" w:rsidP="00165A81">
      <w:pPr>
        <w:ind w:left="720"/>
      </w:pPr>
      <w:r w:rsidRPr="004869A7">
        <w:rPr>
          <w:b/>
          <w:bCs/>
          <w:strike/>
          <w:szCs w:val="20"/>
        </w:rPr>
        <w:t>(Added 2008) (Amended 2018)</w:t>
      </w:r>
    </w:p>
    <w:p w14:paraId="0937B430" w14:textId="77777777" w:rsidR="00612085" w:rsidRDefault="00612085" w:rsidP="00612085">
      <w:pPr>
        <w:keepNext/>
        <w:spacing w:after="0"/>
      </w:pPr>
      <w:r w:rsidRPr="00E025F9">
        <w:rPr>
          <w:b/>
        </w:rPr>
        <w:t xml:space="preserve">Previous </w:t>
      </w:r>
      <w:r>
        <w:rPr>
          <w:b/>
        </w:rPr>
        <w:t>Status</w:t>
      </w:r>
      <w:r w:rsidRPr="00E025F9">
        <w:rPr>
          <w:b/>
        </w:rPr>
        <w:t>:</w:t>
      </w:r>
    </w:p>
    <w:p w14:paraId="370103B5" w14:textId="33CBAB63" w:rsidR="005F2F22" w:rsidRPr="00217E22" w:rsidRDefault="00BA75F6" w:rsidP="00BA75F6">
      <w:pPr>
        <w:spacing w:after="0"/>
      </w:pPr>
      <w:r w:rsidRPr="00217E22">
        <w:t>New Proposal</w:t>
      </w:r>
      <w:r w:rsidR="005F2F22">
        <w:t xml:space="preserve"> 2026</w:t>
      </w:r>
    </w:p>
    <w:p w14:paraId="57035E37" w14:textId="7D065543" w:rsidR="00612085" w:rsidRPr="00217E22" w:rsidRDefault="00612085" w:rsidP="00BA75F6">
      <w:pPr>
        <w:spacing w:after="0"/>
      </w:pPr>
      <w:r w:rsidRPr="00217E22">
        <w:t xml:space="preserve"> </w:t>
      </w:r>
    </w:p>
    <w:p w14:paraId="37424C82" w14:textId="77777777" w:rsidR="00612085" w:rsidRPr="00217E22" w:rsidRDefault="00612085" w:rsidP="00612085">
      <w:pPr>
        <w:keepNext/>
        <w:spacing w:after="0"/>
        <w:rPr>
          <w:b/>
        </w:rPr>
      </w:pPr>
      <w:r w:rsidRPr="00217E22">
        <w:rPr>
          <w:b/>
        </w:rPr>
        <w:t>Original Justification:</w:t>
      </w:r>
    </w:p>
    <w:p w14:paraId="628C8F9F" w14:textId="77777777" w:rsidR="00217E22" w:rsidRPr="00BF191B" w:rsidRDefault="00217E22" w:rsidP="00BF191B">
      <w:r w:rsidRPr="00BF191B">
        <w:t>Nationwide, all state jurisdictions that are adopting the fuel quality regulations of NIST HB 130 acknowledge reproducibility* limits of</w:t>
      </w:r>
    </w:p>
    <w:p w14:paraId="41FF8F81" w14:textId="77777777" w:rsidR="00217E22" w:rsidRPr="00BF191B" w:rsidRDefault="00217E22" w:rsidP="00BF191B">
      <w:r w:rsidRPr="00BF191B">
        <w:t>analytical test methods for enforcement action purposes.</w:t>
      </w:r>
    </w:p>
    <w:p w14:paraId="04311318" w14:textId="77777777" w:rsidR="00217E22" w:rsidRPr="00BF191B" w:rsidRDefault="00217E22" w:rsidP="00BF191B">
      <w:r w:rsidRPr="00BF191B">
        <w:t>Though these reproducibility limits (R) are acknowledged by these state regulatory agencies authorized to assure fuel quality, the objective and intent for all parties involved is to meet legal requirements, not to exploit the space given between a legal limit and the (acknowledged) reproducibility limit.</w:t>
      </w:r>
    </w:p>
    <w:p w14:paraId="69B64147" w14:textId="77777777" w:rsidR="00217E22" w:rsidRPr="00BF191B" w:rsidRDefault="00217E22" w:rsidP="00BF191B">
      <w:r w:rsidRPr="00BF191B">
        <w:t>With the intent to avoid the exploitation of such R values by any regulated party, section 7.2.5. – Additional Enforcement Action was originally published in 2008 and amended in 2018.</w:t>
      </w:r>
    </w:p>
    <w:p w14:paraId="0FF33E87" w14:textId="77777777" w:rsidR="00217E22" w:rsidRPr="00BF191B" w:rsidRDefault="00217E22" w:rsidP="00BF191B">
      <w:r w:rsidRPr="00BF191B">
        <w:t>The applicable section currently reads:</w:t>
      </w:r>
    </w:p>
    <w:p w14:paraId="01B26C95" w14:textId="77777777" w:rsidR="00217E22" w:rsidRPr="00BF191B" w:rsidRDefault="00217E22" w:rsidP="00712C69">
      <w:pPr>
        <w:keepNext/>
        <w:keepLines/>
      </w:pPr>
      <w:r w:rsidRPr="00BF191B">
        <w:lastRenderedPageBreak/>
        <w:t>“7.2.5. Additional Enforcement Action. The Director may initiate enforcement action in the event that, based upon a statistically significant number of samples, the average test result for</w:t>
      </w:r>
    </w:p>
    <w:p w14:paraId="34FC31B3" w14:textId="77777777" w:rsidR="00217E22" w:rsidRPr="00BF191B" w:rsidRDefault="00217E22" w:rsidP="00712C69">
      <w:pPr>
        <w:keepNext/>
        <w:keepLines/>
      </w:pPr>
      <w:r w:rsidRPr="00BF191B">
        <w:t>products sampled from the same source location is greater than the legal maximum or less than the legal minimum limits (specification value), posted value, certified values, or registered values.”</w:t>
      </w:r>
    </w:p>
    <w:p w14:paraId="4A0B61E4" w14:textId="77777777" w:rsidR="00217E22" w:rsidRPr="00BF191B" w:rsidRDefault="00217E22" w:rsidP="00BF191B">
      <w:r w:rsidRPr="00BF191B">
        <w:t>However, the current language insufficiently articulates its intent, and obscures proper approach and conditional parameters. More specifically, the current Enforcement Action language does not articulate that its intent is to address situations where fuel quality characteristics are within reproducibility limits but often outside legal requirements. In addition, the language “the average test result for products sampled from the same source location” can mislead a regulatory agency to average a number of test results obtained from the same sample specimen**. However, “the average test result” shall be calculated from a number of independent test results obtained from independent sample specimens, each of which represent the same product, from the same location, sampled at different times. Finally, the word “additional” in the title “Additional Enforcement Action” implies that other enforcement action(s) already took place.</w:t>
      </w:r>
    </w:p>
    <w:p w14:paraId="31B74BB5" w14:textId="77777777" w:rsidR="00217E22" w:rsidRPr="00BF191B" w:rsidRDefault="00217E22" w:rsidP="00BF191B">
      <w:r w:rsidRPr="00BF191B">
        <w:t>However, that won’t be the case because in most scenarios no enforcement actions will have been taken after each individual sampling and testing event, because the regulating agency acknowledged reproducibility limits at the conclusion of each individual sampling and testing event though the single test result exceeded legal limits.</w:t>
      </w:r>
    </w:p>
    <w:p w14:paraId="5FE03D76" w14:textId="77777777" w:rsidR="00217E22" w:rsidRPr="00BF191B" w:rsidRDefault="00217E22" w:rsidP="00BF191B">
      <w:r w:rsidRPr="00BF191B">
        <w:t>When these discrepancies were first brought to the Fuels and Lubricants Subcommittee’s attention during the NCWM Interim Meeting in January of 2025, a focus group*** comprising of 13 diverse stakeholders from fuel industry and regulatory agencies was established. After email correspondence, two virtual meetings and an in-person meeting during the Annual NCWM Meeting in July of 2025, consensus on the following language was reached within the diverse focus group:</w:t>
      </w:r>
    </w:p>
    <w:p w14:paraId="38A2C87C" w14:textId="77777777" w:rsidR="00217E22" w:rsidRPr="00BF191B" w:rsidRDefault="00217E22" w:rsidP="00BF191B">
      <w:r w:rsidRPr="00BF191B">
        <w:t>“To avoid the exploitation of a test method's reproducibility limits by any regulated party, the Director may initiate enforcement action when several independent test results, of the same product sampled from the same source location at different times, are exceeding legal limits (such as specification values, posted values, certified values, or registered values). (Added 202X).”</w:t>
      </w:r>
    </w:p>
    <w:p w14:paraId="57F2171C" w14:textId="77777777" w:rsidR="00217E22" w:rsidRPr="00BF191B" w:rsidRDefault="00217E22" w:rsidP="00BF191B">
      <w:r w:rsidRPr="00BF191B">
        <w:t>Consensus on the title and position within section 7. Test Methods and Reproducibility Limits were also reached by the focus group, and are as follows:</w:t>
      </w:r>
    </w:p>
    <w:p w14:paraId="7D6D73BF" w14:textId="77777777" w:rsidR="00217E22" w:rsidRPr="00BF191B" w:rsidRDefault="00217E22" w:rsidP="00BF191B">
      <w:r w:rsidRPr="00BF191B">
        <w:t>7.2.2.1. Enforcement Action</w:t>
      </w:r>
    </w:p>
    <w:p w14:paraId="6AFE59C6" w14:textId="77777777" w:rsidR="00217E22" w:rsidRPr="00BF191B" w:rsidRDefault="00217E22" w:rsidP="00BF191B">
      <w:r w:rsidRPr="00BF191B">
        <w:t>This title resolves the currently inaccurate title, and the sub-placement of this Enforcement Action regulation as 7.2.2.1 links it directly to its intended scope:</w:t>
      </w:r>
    </w:p>
    <w:p w14:paraId="7DF0D933" w14:textId="77777777" w:rsidR="00217E22" w:rsidRPr="00BF191B" w:rsidRDefault="00217E22" w:rsidP="00BF191B">
      <w:r w:rsidRPr="00BF191B">
        <w:t>Section 7.2.2. Reproducibility.</w:t>
      </w:r>
    </w:p>
    <w:p w14:paraId="1BC981C0" w14:textId="77777777" w:rsidR="00217E22" w:rsidRPr="00BF191B" w:rsidRDefault="00217E22" w:rsidP="00BF191B">
      <w:r w:rsidRPr="00BF191B">
        <w:t>In addition, Section 7.2.4. Dispute Resolution represents a process possibly necessary AFTER enforcement actions were initiated by a regulating agency. Hence, dispute resolutions should conclude Section 7. Test Methods and Reproducibility Limits, instead of end with 7.2.5 Additional Enforcement Action as currently published in HB 130.</w:t>
      </w:r>
    </w:p>
    <w:p w14:paraId="1C835EEB" w14:textId="77777777" w:rsidR="00217E22" w:rsidRPr="00BF191B" w:rsidRDefault="00217E22" w:rsidP="00BF191B">
      <w:r w:rsidRPr="00BF191B">
        <w:t>* Reproducibility (R) of a standard test method is most often defined by the standard organization ASTM as the variability between single analytical test results obtained in different laboratories, each of which has applied the test method to test specimens taken from a single quantity of homogenous material.</w:t>
      </w:r>
    </w:p>
    <w:p w14:paraId="76DD31BD" w14:textId="77777777" w:rsidR="00217E22" w:rsidRPr="00BF191B" w:rsidRDefault="00217E22" w:rsidP="00BF191B">
      <w:r w:rsidRPr="00BF191B">
        <w:t>** A sample specimen is a portion taken from a storage tank, truck, or dispenser, etc., is representative of a larger amount of product, and is used for testing to determine the quality, composition, as well as performance and safety suitability of a fuel product.</w:t>
      </w:r>
    </w:p>
    <w:p w14:paraId="1ECA0DBB" w14:textId="77777777" w:rsidR="00217E22" w:rsidRPr="00BF191B" w:rsidRDefault="00217E22" w:rsidP="00BF191B">
      <w:r w:rsidRPr="00BF191B">
        <w:lastRenderedPageBreak/>
        <w:t>*** Enforcement Action Focus Group members: Kevin Adlaf, Vanessa Benchea, Scott Fenwick, Steven Harrington, Marilyn Herman, Randy Jennings, Russ Lewis, Vernon Miller, Timothy</w:t>
      </w:r>
    </w:p>
    <w:p w14:paraId="057DD99E" w14:textId="487D9254" w:rsidR="00612085" w:rsidRPr="00BF191B" w:rsidRDefault="00217E22" w:rsidP="00BF191B">
      <w:r w:rsidRPr="00BF191B">
        <w:t>Morales, Tamara Paik, Matthew Sheehan, and Jenny Tabbert.</w:t>
      </w:r>
    </w:p>
    <w:p w14:paraId="2F390860" w14:textId="40201AD8" w:rsidR="009148D7" w:rsidRPr="00BF191B" w:rsidRDefault="00FE43CC" w:rsidP="00BF191B">
      <w:r w:rsidRPr="00BF191B">
        <w:t>It is not expected that there will be any opposition as this proposal is simply clarifying language in HB 130.</w:t>
      </w:r>
    </w:p>
    <w:p w14:paraId="5883A338" w14:textId="2B03EA10" w:rsidR="00BA5FBC" w:rsidRPr="00217E22" w:rsidRDefault="006540E5" w:rsidP="00BF191B">
      <w:r w:rsidRPr="00BF191B">
        <w:t>The submitter requested Voting status in 2026.</w:t>
      </w:r>
    </w:p>
    <w:p w14:paraId="48123354" w14:textId="77777777" w:rsidR="00612085" w:rsidRPr="00217E22" w:rsidRDefault="00612085" w:rsidP="00612085">
      <w:pPr>
        <w:keepNext/>
        <w:rPr>
          <w:b/>
        </w:rPr>
      </w:pPr>
      <w:r w:rsidRPr="00217E22">
        <w:rPr>
          <w:b/>
        </w:rPr>
        <w:t>Comments in Favor:</w:t>
      </w:r>
    </w:p>
    <w:p w14:paraId="7D47E871" w14:textId="10F87634" w:rsidR="00612085" w:rsidRPr="00217E22" w:rsidRDefault="0042639E" w:rsidP="00612085">
      <w:pPr>
        <w:keepNext/>
        <w:spacing w:after="0"/>
        <w:ind w:left="720"/>
        <w:rPr>
          <w:b/>
        </w:rPr>
      </w:pPr>
      <w:r>
        <w:rPr>
          <w:b/>
        </w:rPr>
        <w:t>Weights and Measures Officials</w:t>
      </w:r>
      <w:r w:rsidR="00612085" w:rsidRPr="00217E22">
        <w:rPr>
          <w:b/>
        </w:rPr>
        <w:t>:</w:t>
      </w:r>
    </w:p>
    <w:p w14:paraId="4AAD2977" w14:textId="1EBD2A18" w:rsidR="00612085" w:rsidRPr="002A7C3B" w:rsidRDefault="00A72C16" w:rsidP="00612085">
      <w:pPr>
        <w:pStyle w:val="ListParagraph"/>
        <w:numPr>
          <w:ilvl w:val="0"/>
          <w:numId w:val="26"/>
        </w:numPr>
        <w:spacing w:after="0" w:line="259" w:lineRule="auto"/>
        <w:contextualSpacing/>
        <w:jc w:val="left"/>
      </w:pPr>
      <w:r>
        <w:t xml:space="preserve">A </w:t>
      </w:r>
      <w:r w:rsidR="001B29F9" w:rsidRPr="00220D4D">
        <w:t>w</w:t>
      </w:r>
      <w:r w:rsidRPr="00220D4D">
        <w:t xml:space="preserve">eights and </w:t>
      </w:r>
      <w:r w:rsidR="001B29F9" w:rsidRPr="00220D4D">
        <w:t>m</w:t>
      </w:r>
      <w:r w:rsidRPr="00220D4D">
        <w:t xml:space="preserve">easures </w:t>
      </w:r>
      <w:r w:rsidR="006D4A31" w:rsidRPr="00220D4D">
        <w:t>official</w:t>
      </w:r>
      <w:r w:rsidRPr="00220D4D">
        <w:t xml:space="preserve"> representing</w:t>
      </w:r>
      <w:r>
        <w:t xml:space="preserve"> Colorado stated that the item is fully developed and recommended Voting status.</w:t>
      </w:r>
    </w:p>
    <w:p w14:paraId="701CA227" w14:textId="6E18A587" w:rsidR="00612085" w:rsidRPr="002A7C3B" w:rsidRDefault="00612085" w:rsidP="00612085">
      <w:pPr>
        <w:spacing w:before="240" w:after="0"/>
        <w:ind w:left="720"/>
        <w:rPr>
          <w:b/>
        </w:rPr>
      </w:pPr>
      <w:r w:rsidRPr="002A7C3B">
        <w:rPr>
          <w:b/>
        </w:rPr>
        <w:t>Industry:</w:t>
      </w:r>
    </w:p>
    <w:p w14:paraId="1585AFE7" w14:textId="0950F148" w:rsidR="00612085" w:rsidRDefault="00161010" w:rsidP="00612085">
      <w:pPr>
        <w:pStyle w:val="ListParagraph"/>
        <w:numPr>
          <w:ilvl w:val="0"/>
          <w:numId w:val="26"/>
        </w:numPr>
        <w:spacing w:after="0" w:line="259" w:lineRule="auto"/>
        <w:contextualSpacing/>
        <w:jc w:val="left"/>
      </w:pPr>
      <w:r>
        <w:t>None</w:t>
      </w:r>
    </w:p>
    <w:p w14:paraId="2FA6838D" w14:textId="77777777" w:rsidR="00C15922" w:rsidRPr="002A7C3B" w:rsidRDefault="00C15922" w:rsidP="00C15922">
      <w:pPr>
        <w:pStyle w:val="ListParagraph"/>
        <w:spacing w:after="0" w:line="259" w:lineRule="auto"/>
        <w:ind w:left="1080"/>
        <w:contextualSpacing/>
        <w:jc w:val="left"/>
      </w:pPr>
    </w:p>
    <w:p w14:paraId="2950D5D1" w14:textId="1A99019F" w:rsidR="00612085" w:rsidRDefault="00612085" w:rsidP="00C15922">
      <w:pPr>
        <w:spacing w:after="0"/>
        <w:ind w:firstLine="720"/>
        <w:rPr>
          <w:b/>
        </w:rPr>
      </w:pPr>
      <w:r w:rsidRPr="002A7C3B">
        <w:rPr>
          <w:b/>
        </w:rPr>
        <w:t>Advisory:</w:t>
      </w:r>
    </w:p>
    <w:p w14:paraId="64B949BE" w14:textId="7DACC134" w:rsidR="00161010" w:rsidRPr="00265606" w:rsidRDefault="001B3FB3" w:rsidP="00B530E4">
      <w:pPr>
        <w:pStyle w:val="ListParagraph"/>
        <w:numPr>
          <w:ilvl w:val="0"/>
          <w:numId w:val="26"/>
        </w:numPr>
        <w:spacing w:after="0"/>
        <w:rPr>
          <w:bCs/>
        </w:rPr>
      </w:pPr>
      <w:r w:rsidRPr="00B530E4">
        <w:rPr>
          <w:bCs/>
        </w:rPr>
        <w:t>None</w:t>
      </w:r>
    </w:p>
    <w:p w14:paraId="1D276C8C" w14:textId="77777777" w:rsidR="00612085" w:rsidRPr="002A7C3B" w:rsidRDefault="00612085" w:rsidP="00612085">
      <w:pPr>
        <w:spacing w:before="240"/>
        <w:rPr>
          <w:b/>
        </w:rPr>
      </w:pPr>
      <w:r>
        <w:rPr>
          <w:b/>
        </w:rPr>
        <w:t>Comments</w:t>
      </w:r>
      <w:r w:rsidRPr="002A7C3B">
        <w:rPr>
          <w:b/>
        </w:rPr>
        <w:t xml:space="preserve"> Against:</w:t>
      </w:r>
    </w:p>
    <w:p w14:paraId="0C7C047D" w14:textId="47A73D01" w:rsidR="00612085" w:rsidRPr="002A7C3B" w:rsidRDefault="0042639E" w:rsidP="00612085">
      <w:pPr>
        <w:spacing w:after="0"/>
        <w:ind w:left="720"/>
        <w:rPr>
          <w:b/>
        </w:rPr>
      </w:pPr>
      <w:r>
        <w:rPr>
          <w:b/>
        </w:rPr>
        <w:t>Weights and Measures Officials</w:t>
      </w:r>
      <w:r w:rsidR="00612085" w:rsidRPr="002A7C3B">
        <w:rPr>
          <w:b/>
        </w:rPr>
        <w:t>:</w:t>
      </w:r>
    </w:p>
    <w:p w14:paraId="0CC4E9C8" w14:textId="4D21A049" w:rsidR="00612085" w:rsidRPr="002A7C3B" w:rsidRDefault="00265606" w:rsidP="00612085">
      <w:pPr>
        <w:pStyle w:val="ListParagraph"/>
        <w:numPr>
          <w:ilvl w:val="0"/>
          <w:numId w:val="27"/>
        </w:numPr>
        <w:spacing w:after="0" w:line="259" w:lineRule="auto"/>
        <w:contextualSpacing/>
        <w:jc w:val="left"/>
      </w:pPr>
      <w:r>
        <w:t>None</w:t>
      </w:r>
    </w:p>
    <w:p w14:paraId="759E2515" w14:textId="77777777" w:rsidR="00A44005" w:rsidRDefault="00A44005" w:rsidP="00612085">
      <w:pPr>
        <w:spacing w:before="240" w:after="0"/>
        <w:ind w:left="720"/>
        <w:rPr>
          <w:b/>
        </w:rPr>
      </w:pPr>
    </w:p>
    <w:p w14:paraId="7949643C" w14:textId="6F2B9272" w:rsidR="00612085" w:rsidRPr="002A7C3B" w:rsidRDefault="00612085" w:rsidP="00612085">
      <w:pPr>
        <w:spacing w:before="240" w:after="0"/>
        <w:ind w:left="720"/>
        <w:rPr>
          <w:b/>
        </w:rPr>
      </w:pPr>
      <w:r w:rsidRPr="002A7C3B">
        <w:rPr>
          <w:b/>
        </w:rPr>
        <w:t>Industry:</w:t>
      </w:r>
    </w:p>
    <w:p w14:paraId="0F97560C" w14:textId="10119C40" w:rsidR="00612085" w:rsidRPr="002A7C3B" w:rsidRDefault="00265606" w:rsidP="00612085">
      <w:pPr>
        <w:pStyle w:val="ListParagraph"/>
        <w:numPr>
          <w:ilvl w:val="0"/>
          <w:numId w:val="27"/>
        </w:numPr>
        <w:spacing w:after="0" w:line="259" w:lineRule="auto"/>
        <w:contextualSpacing/>
        <w:jc w:val="left"/>
      </w:pPr>
      <w:r>
        <w:t>None</w:t>
      </w:r>
    </w:p>
    <w:p w14:paraId="3BCCD4C4" w14:textId="77777777" w:rsidR="00612085" w:rsidRPr="00AC5B86" w:rsidRDefault="00612085" w:rsidP="00612085">
      <w:pPr>
        <w:spacing w:before="240" w:after="0"/>
        <w:ind w:left="720"/>
        <w:rPr>
          <w:b/>
        </w:rPr>
      </w:pPr>
      <w:r w:rsidRPr="002A7C3B">
        <w:rPr>
          <w:b/>
        </w:rPr>
        <w:t>Advisory:</w:t>
      </w:r>
    </w:p>
    <w:p w14:paraId="3C0B24D7" w14:textId="744387B1" w:rsidR="00612085" w:rsidRDefault="00265606" w:rsidP="00612085">
      <w:pPr>
        <w:pStyle w:val="ListParagraph"/>
        <w:numPr>
          <w:ilvl w:val="0"/>
          <w:numId w:val="27"/>
        </w:numPr>
        <w:spacing w:after="0" w:line="259" w:lineRule="auto"/>
        <w:contextualSpacing/>
        <w:jc w:val="left"/>
      </w:pPr>
      <w:r>
        <w:t>None</w:t>
      </w:r>
    </w:p>
    <w:p w14:paraId="12912A71" w14:textId="77777777" w:rsidR="00612085" w:rsidRPr="002A7C3B" w:rsidRDefault="00612085" w:rsidP="00612085">
      <w:pPr>
        <w:spacing w:before="240"/>
        <w:rPr>
          <w:b/>
        </w:rPr>
      </w:pPr>
      <w:r>
        <w:rPr>
          <w:b/>
        </w:rPr>
        <w:t>Neutral Comments</w:t>
      </w:r>
      <w:r w:rsidRPr="002A7C3B">
        <w:rPr>
          <w:b/>
        </w:rPr>
        <w:t>:</w:t>
      </w:r>
    </w:p>
    <w:p w14:paraId="6615FED3" w14:textId="75DC1A70" w:rsidR="00612085" w:rsidRPr="002A7C3B" w:rsidRDefault="0042639E" w:rsidP="00612085">
      <w:pPr>
        <w:spacing w:after="0"/>
        <w:ind w:left="720"/>
        <w:rPr>
          <w:b/>
        </w:rPr>
      </w:pPr>
      <w:r>
        <w:rPr>
          <w:b/>
        </w:rPr>
        <w:t>Weights and Measures Officials</w:t>
      </w:r>
      <w:r w:rsidR="00612085" w:rsidRPr="002A7C3B">
        <w:rPr>
          <w:b/>
        </w:rPr>
        <w:t>:</w:t>
      </w:r>
    </w:p>
    <w:p w14:paraId="74DDD352" w14:textId="7FD9ED09" w:rsidR="00612085" w:rsidRPr="002A7C3B" w:rsidRDefault="00265606" w:rsidP="00612085">
      <w:pPr>
        <w:pStyle w:val="ListParagraph"/>
        <w:numPr>
          <w:ilvl w:val="0"/>
          <w:numId w:val="27"/>
        </w:numPr>
        <w:spacing w:after="0" w:line="259" w:lineRule="auto"/>
        <w:contextualSpacing/>
        <w:jc w:val="left"/>
      </w:pPr>
      <w:r>
        <w:t>None</w:t>
      </w:r>
    </w:p>
    <w:p w14:paraId="7D00D57D" w14:textId="77777777" w:rsidR="00612085" w:rsidRPr="002A7C3B" w:rsidRDefault="00612085" w:rsidP="00612085">
      <w:pPr>
        <w:spacing w:before="240" w:after="0"/>
        <w:ind w:left="720"/>
        <w:rPr>
          <w:b/>
        </w:rPr>
      </w:pPr>
      <w:r w:rsidRPr="002A7C3B">
        <w:rPr>
          <w:b/>
        </w:rPr>
        <w:t>Industry:</w:t>
      </w:r>
    </w:p>
    <w:p w14:paraId="240B2169" w14:textId="593D056C" w:rsidR="00612085" w:rsidRPr="002A7C3B" w:rsidRDefault="002B5C50" w:rsidP="00612085">
      <w:pPr>
        <w:pStyle w:val="ListParagraph"/>
        <w:numPr>
          <w:ilvl w:val="0"/>
          <w:numId w:val="27"/>
        </w:numPr>
        <w:spacing w:after="0" w:line="259" w:lineRule="auto"/>
        <w:contextualSpacing/>
        <w:jc w:val="left"/>
      </w:pPr>
      <w:r>
        <w:t xml:space="preserve">None </w:t>
      </w:r>
    </w:p>
    <w:p w14:paraId="5A0D7C81" w14:textId="77777777" w:rsidR="00612085" w:rsidRPr="002A7C3B" w:rsidRDefault="00612085" w:rsidP="00612085">
      <w:pPr>
        <w:spacing w:before="240" w:after="0"/>
        <w:ind w:left="720"/>
        <w:rPr>
          <w:b/>
        </w:rPr>
      </w:pPr>
      <w:r w:rsidRPr="002A7C3B">
        <w:rPr>
          <w:b/>
        </w:rPr>
        <w:t>Advisory:</w:t>
      </w:r>
    </w:p>
    <w:p w14:paraId="526E4604" w14:textId="72822949" w:rsidR="00612085" w:rsidRDefault="002B5C50" w:rsidP="00612085">
      <w:pPr>
        <w:pStyle w:val="ListParagraph"/>
        <w:numPr>
          <w:ilvl w:val="0"/>
          <w:numId w:val="27"/>
        </w:numPr>
        <w:spacing w:after="0" w:line="259" w:lineRule="auto"/>
        <w:contextualSpacing/>
        <w:jc w:val="left"/>
      </w:pPr>
      <w:r>
        <w:t>The FALS Chair requested that the item be assigned to FALS for further development.</w:t>
      </w:r>
    </w:p>
    <w:p w14:paraId="6B80E988" w14:textId="77777777" w:rsidR="00612085" w:rsidRPr="00E025F9" w:rsidRDefault="00612085" w:rsidP="00612085">
      <w:pPr>
        <w:spacing w:before="240" w:after="0"/>
        <w:rPr>
          <w:b/>
        </w:rPr>
      </w:pPr>
      <w:r w:rsidRPr="002A7C3B">
        <w:rPr>
          <w:b/>
        </w:rPr>
        <w:t>Item Develop</w:t>
      </w:r>
      <w:r w:rsidRPr="00E025F9">
        <w:rPr>
          <w:b/>
        </w:rPr>
        <w:t>ment:</w:t>
      </w:r>
    </w:p>
    <w:p w14:paraId="4B8BFDB1" w14:textId="6FDF9B02" w:rsidR="00612085" w:rsidRDefault="000835DD" w:rsidP="00612085">
      <w:r>
        <w:t>New Proposal</w:t>
      </w:r>
    </w:p>
    <w:p w14:paraId="0BEAD5D9" w14:textId="33BC13F6" w:rsidR="00232A7C" w:rsidRDefault="00232A7C" w:rsidP="00346B96">
      <w:pPr>
        <w:keepNext/>
        <w:keepLines/>
        <w:rPr>
          <w:szCs w:val="20"/>
          <w:u w:val="single"/>
        </w:rPr>
      </w:pPr>
      <w:r w:rsidRPr="00960A2B">
        <w:rPr>
          <w:szCs w:val="20"/>
          <w:u w:val="single"/>
        </w:rPr>
        <w:lastRenderedPageBreak/>
        <w:t>NCWM 202</w:t>
      </w:r>
      <w:r>
        <w:rPr>
          <w:szCs w:val="20"/>
          <w:u w:val="single"/>
        </w:rPr>
        <w:t>6</w:t>
      </w:r>
      <w:r w:rsidRPr="00960A2B">
        <w:rPr>
          <w:szCs w:val="20"/>
          <w:u w:val="single"/>
        </w:rPr>
        <w:t xml:space="preserve"> Interim:</w:t>
      </w:r>
      <w:r w:rsidRPr="00C15922">
        <w:rPr>
          <w:szCs w:val="20"/>
        </w:rPr>
        <w:t xml:space="preserve">  The Committee assigned this item to FALS</w:t>
      </w:r>
      <w:r w:rsidR="00C15922">
        <w:rPr>
          <w:szCs w:val="20"/>
        </w:rPr>
        <w:t xml:space="preserve"> for further development</w:t>
      </w:r>
      <w:r w:rsidRPr="00C15922">
        <w:rPr>
          <w:szCs w:val="20"/>
        </w:rPr>
        <w:t>.</w:t>
      </w:r>
    </w:p>
    <w:p w14:paraId="54904FBC" w14:textId="77777777" w:rsidR="00612085" w:rsidRPr="00E025F9" w:rsidRDefault="00612085" w:rsidP="00346B96">
      <w:pPr>
        <w:keepNext/>
        <w:rPr>
          <w:b/>
        </w:rPr>
      </w:pPr>
      <w:r w:rsidRPr="00E025F9">
        <w:rPr>
          <w:b/>
        </w:rPr>
        <w:t>Regional Associations’ Comments:</w:t>
      </w:r>
    </w:p>
    <w:p w14:paraId="0824E2E4" w14:textId="036596AE" w:rsidR="00B55C17" w:rsidRDefault="00B6288F" w:rsidP="00346B96">
      <w:pPr>
        <w:keepNext/>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9DAF0DF" w14:textId="25626C71" w:rsidR="007F2EE6" w:rsidRDefault="007F2EE6" w:rsidP="007B2872">
      <w:pPr>
        <w:rPr>
          <w:rFonts w:eastAsia="Times New Roman"/>
          <w:szCs w:val="24"/>
        </w:rPr>
      </w:pPr>
      <w:r>
        <w:rPr>
          <w:rFonts w:eastAsia="Times New Roman"/>
          <w:szCs w:val="24"/>
        </w:rPr>
        <w:t>The WWMA L&amp;R Committee Chair Mr. Scott Wagner recused himself from the L&amp;R working session for this item as he represents the submitter of this item.</w:t>
      </w:r>
    </w:p>
    <w:p w14:paraId="2A69B283" w14:textId="7D4F6F03" w:rsidR="007F2EE6" w:rsidRDefault="007F2EE6" w:rsidP="007B2872">
      <w:pPr>
        <w:rPr>
          <w:rFonts w:eastAsia="Times New Roman"/>
          <w:szCs w:val="24"/>
        </w:rPr>
      </w:pPr>
      <w:r w:rsidRPr="006963C8">
        <w:rPr>
          <w:rFonts w:eastAsia="Times New Roman"/>
          <w:szCs w:val="24"/>
        </w:rPr>
        <w:t>Mr. Mahesh Albuquerque (Colorado Division of Oil and Public Safety)</w:t>
      </w:r>
      <w:r>
        <w:rPr>
          <w:rFonts w:eastAsia="Times New Roman"/>
          <w:szCs w:val="24"/>
        </w:rPr>
        <w:t xml:space="preserve"> stated that </w:t>
      </w:r>
      <w:r w:rsidRPr="00A02345">
        <w:rPr>
          <w:rFonts w:eastAsia="Times New Roman"/>
          <w:szCs w:val="24"/>
        </w:rPr>
        <w:t>Dr. Jenny Tabbert (Colorado)</w:t>
      </w:r>
      <w:r>
        <w:rPr>
          <w:rFonts w:eastAsia="Times New Roman"/>
          <w:szCs w:val="24"/>
        </w:rPr>
        <w:t xml:space="preserve"> submitted this item and considers it a cleanup item which has been vetted by a focus group with FALS.</w:t>
      </w:r>
    </w:p>
    <w:p w14:paraId="6BF19A5D" w14:textId="33984E4C" w:rsidR="007F2EE6" w:rsidRDefault="007F2EE6" w:rsidP="007B2872">
      <w:pPr>
        <w:rPr>
          <w:rFonts w:eastAsia="Times New Roman"/>
          <w:szCs w:val="24"/>
        </w:rPr>
      </w:pPr>
      <w:r>
        <w:rPr>
          <w:rFonts w:eastAsia="Times New Roman"/>
          <w:szCs w:val="24"/>
        </w:rPr>
        <w:t>Mr. Matt Douglas (Representing the WWMA L&amp;R Committee) asked a clarifying question regarding the omission of language regarding “…less than the legal minimum limits...” which appears in the current language but not in the proposal.</w:t>
      </w:r>
    </w:p>
    <w:p w14:paraId="75A63D96" w14:textId="612BA079" w:rsidR="007F2EE6" w:rsidRDefault="007F2EE6" w:rsidP="007B2872">
      <w:pPr>
        <w:rPr>
          <w:rFonts w:eastAsia="Times New Roman"/>
          <w:szCs w:val="24"/>
        </w:rPr>
      </w:pPr>
      <w:r>
        <w:rPr>
          <w:rFonts w:eastAsia="Times New Roman"/>
          <w:szCs w:val="24"/>
        </w:rPr>
        <w:t xml:space="preserve">Mr. Randy Jennings (Vice Chair for FALS – temporarily performing the duties of the FALS Chair) responded to Mr. Douglas clarifying that the word “exceeding” is intended to be inclusive of “above” or “below” the legal limits. Mr. Jennings then provided comments that he was a participant in the </w:t>
      </w:r>
      <w:r w:rsidRPr="0062461D">
        <w:rPr>
          <w:rFonts w:eastAsia="Times New Roman"/>
          <w:szCs w:val="24"/>
        </w:rPr>
        <w:t>7.2 Reproducibility Limits Focus Group</w:t>
      </w:r>
      <w:r>
        <w:rPr>
          <w:rFonts w:eastAsia="Times New Roman"/>
          <w:szCs w:val="24"/>
        </w:rPr>
        <w:t xml:space="preserve"> which held several meetings in the development of the proposed language. The Focus Group supports the item and it is his intention to meet with FALS after the regional meetings to seek consensus from FALS on this item. Mr. Jennings supported a voting status for this item.</w:t>
      </w:r>
    </w:p>
    <w:p w14:paraId="5884D7AF" w14:textId="692EC990" w:rsidR="007F2EE6" w:rsidRDefault="007F2EE6" w:rsidP="007B2872">
      <w:pPr>
        <w:rPr>
          <w:rFonts w:eastAsia="Times New Roman"/>
          <w:szCs w:val="24"/>
        </w:rPr>
      </w:pPr>
      <w:r>
        <w:rPr>
          <w:rFonts w:eastAsia="Times New Roman"/>
          <w:szCs w:val="24"/>
        </w:rPr>
        <w:t>Mr. Russ Lewis (Marathon Petroleum) stated that the “exceeding” language was reviewed by counsel as part of the development of the item and supported a voting status.</w:t>
      </w:r>
    </w:p>
    <w:p w14:paraId="422DFE69" w14:textId="454C24CE" w:rsidR="007F2EE6" w:rsidRPr="00A43BF4" w:rsidRDefault="007F2EE6" w:rsidP="007B2872">
      <w:pPr>
        <w:rPr>
          <w:rFonts w:eastAsia="Times New Roman"/>
          <w:szCs w:val="24"/>
        </w:rPr>
      </w:pPr>
      <w:r>
        <w:rPr>
          <w:rFonts w:eastAsia="Times New Roman"/>
          <w:szCs w:val="24"/>
        </w:rPr>
        <w:t>Mr. Matt Sheehan (Chevron) and Matt Douglas (California Division of Measurement Standards) also supported a voting status for this item.</w:t>
      </w:r>
    </w:p>
    <w:p w14:paraId="0FFF8513" w14:textId="6E1191A8" w:rsidR="00D641FF" w:rsidRPr="007F2EE6" w:rsidRDefault="007F2EE6" w:rsidP="00B6288F">
      <w:pPr>
        <w:spacing w:after="0"/>
        <w:rPr>
          <w:rFonts w:eastAsia="Times New Roman"/>
          <w:szCs w:val="24"/>
        </w:rPr>
      </w:pPr>
      <w:r>
        <w:rPr>
          <w:rFonts w:eastAsia="Times New Roman"/>
          <w:szCs w:val="24"/>
        </w:rPr>
        <w:t>The WWMA L&amp;R Committee recommends a voting status.</w:t>
      </w:r>
    </w:p>
    <w:p w14:paraId="361A3E93" w14:textId="77777777" w:rsidR="007B2C09" w:rsidRDefault="007B2C09" w:rsidP="00FD00AF">
      <w:pPr>
        <w:spacing w:after="0"/>
        <w:rPr>
          <w:rFonts w:eastAsia="Times New Roman"/>
          <w:szCs w:val="24"/>
          <w:u w:val="single"/>
        </w:rPr>
      </w:pPr>
    </w:p>
    <w:p w14:paraId="10302753" w14:textId="6E85AA87" w:rsidR="00B6288F" w:rsidRDefault="00B6288F" w:rsidP="00B6288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A60E61">
        <w:rPr>
          <w:rFonts w:eastAsia="Times New Roman"/>
          <w:szCs w:val="24"/>
          <w:u w:val="single"/>
        </w:rPr>
        <w:t>Interim</w:t>
      </w:r>
      <w:r w:rsidRPr="0051426D">
        <w:rPr>
          <w:rFonts w:eastAsia="Times New Roman"/>
          <w:szCs w:val="24"/>
          <w:u w:val="single"/>
        </w:rPr>
        <w:t xml:space="preserve"> Meeting:</w:t>
      </w:r>
    </w:p>
    <w:p w14:paraId="0DAF70C1" w14:textId="073DC25C" w:rsidR="00BC482E" w:rsidRDefault="00A52889" w:rsidP="00B6288F">
      <w:pPr>
        <w:rPr>
          <w:rFonts w:eastAsia="Times New Roman"/>
          <w:szCs w:val="24"/>
        </w:rPr>
      </w:pPr>
      <w:r>
        <w:rPr>
          <w:rFonts w:eastAsia="Times New Roman"/>
          <w:szCs w:val="24"/>
        </w:rPr>
        <w:t>Ron Hayes, Retired, said the new language has become too specific and may change what FALS intended the language to be.</w:t>
      </w:r>
    </w:p>
    <w:p w14:paraId="74980531" w14:textId="53AD5C9C" w:rsidR="00A52889" w:rsidRDefault="00A52889" w:rsidP="00B6288F">
      <w:pPr>
        <w:rPr>
          <w:rFonts w:eastAsia="Times New Roman"/>
          <w:szCs w:val="24"/>
          <w:u w:val="single"/>
        </w:rPr>
      </w:pPr>
      <w:r>
        <w:rPr>
          <w:rFonts w:eastAsia="Times New Roman"/>
          <w:szCs w:val="24"/>
        </w:rPr>
        <w:t xml:space="preserve">The CWMA L&amp;R Committee recommends an informational status for this item. </w:t>
      </w:r>
    </w:p>
    <w:p w14:paraId="51856DBE" w14:textId="77777777" w:rsidR="00033390" w:rsidRDefault="00B6288F" w:rsidP="00B6288F">
      <w:pPr>
        <w:jc w:val="left"/>
        <w:rPr>
          <w:u w:val="single"/>
        </w:rPr>
      </w:pPr>
      <w:r w:rsidRPr="006C7BFB">
        <w:rPr>
          <w:u w:val="single"/>
        </w:rPr>
        <w:t>NEWMA 202</w:t>
      </w:r>
      <w:r>
        <w:rPr>
          <w:u w:val="single"/>
        </w:rPr>
        <w:t>5</w:t>
      </w:r>
      <w:r w:rsidRPr="006C7BFB">
        <w:rPr>
          <w:u w:val="single"/>
        </w:rPr>
        <w:t xml:space="preserve"> Interim Meeting:</w:t>
      </w:r>
    </w:p>
    <w:p w14:paraId="3FCA524D" w14:textId="682E3DCC" w:rsidR="005942C0" w:rsidRDefault="005942C0" w:rsidP="007B2872">
      <w:pPr>
        <w:rPr>
          <w:rFonts w:eastAsia="Times New Roman"/>
          <w:szCs w:val="24"/>
        </w:rPr>
      </w:pPr>
      <w:r>
        <w:rPr>
          <w:rFonts w:eastAsia="Times New Roman"/>
          <w:szCs w:val="24"/>
        </w:rPr>
        <w:t xml:space="preserve">No comments were heard during open hearings.  The committee received a late submission of a supporting document indicating opposition to the item.  The supporting document was not reviewed by the </w:t>
      </w:r>
      <w:r w:rsidR="00E43A79">
        <w:rPr>
          <w:rFonts w:eastAsia="Times New Roman"/>
          <w:szCs w:val="24"/>
        </w:rPr>
        <w:t>committee but</w:t>
      </w:r>
      <w:r>
        <w:rPr>
          <w:rFonts w:eastAsia="Times New Roman"/>
          <w:szCs w:val="24"/>
        </w:rPr>
        <w:t xml:space="preserve"> was subsequently posted to the NEWMA website.</w:t>
      </w:r>
    </w:p>
    <w:p w14:paraId="54CBF8FC" w14:textId="77777777" w:rsidR="007B2872" w:rsidRDefault="005942C0" w:rsidP="007B2872">
      <w:pPr>
        <w:spacing w:before="240"/>
        <w:jc w:val="left"/>
        <w:rPr>
          <w:u w:val="single"/>
        </w:rPr>
      </w:pPr>
      <w:r>
        <w:rPr>
          <w:rFonts w:eastAsia="Times New Roman"/>
          <w:szCs w:val="24"/>
        </w:rPr>
        <w:t>As no comments were heard from the floor and the late supporting documents were not reviewed, the committee did not recommend a status for this item, and the body concurred.</w:t>
      </w:r>
    </w:p>
    <w:p w14:paraId="5F3E6272" w14:textId="1391A0A1" w:rsidR="00A831C4" w:rsidRDefault="00B6288F" w:rsidP="007B2872">
      <w:pPr>
        <w:spacing w:before="240"/>
        <w:jc w:val="left"/>
        <w:rPr>
          <w:u w:val="single"/>
        </w:rPr>
      </w:pPr>
      <w:r>
        <w:rPr>
          <w:u w:val="single"/>
        </w:rPr>
        <w:t>S</w:t>
      </w:r>
      <w:r w:rsidRPr="00EF1ACC">
        <w:rPr>
          <w:u w:val="single"/>
        </w:rPr>
        <w:t>WMA 202</w:t>
      </w:r>
      <w:r>
        <w:rPr>
          <w:u w:val="single"/>
        </w:rPr>
        <w:t>5</w:t>
      </w:r>
      <w:r w:rsidRPr="00EF1ACC">
        <w:rPr>
          <w:u w:val="single"/>
        </w:rPr>
        <w:t xml:space="preserve"> </w:t>
      </w:r>
      <w:r w:rsidR="00A60E61">
        <w:rPr>
          <w:u w:val="single"/>
        </w:rPr>
        <w:t>Annual</w:t>
      </w:r>
      <w:r w:rsidRPr="00EF1ACC">
        <w:rPr>
          <w:u w:val="single"/>
        </w:rPr>
        <w:t xml:space="preserve"> Meeting</w:t>
      </w:r>
      <w:r>
        <w:rPr>
          <w:u w:val="single"/>
        </w:rPr>
        <w:t>:</w:t>
      </w:r>
    </w:p>
    <w:p w14:paraId="4F413F5A" w14:textId="687C02D2" w:rsidR="00A831C4" w:rsidRDefault="00A831C4" w:rsidP="007B2872">
      <w:pPr>
        <w:rPr>
          <w:rFonts w:eastAsia="Times New Roman"/>
          <w:szCs w:val="24"/>
        </w:rPr>
      </w:pPr>
      <w:r>
        <w:rPr>
          <w:rFonts w:eastAsia="Times New Roman"/>
          <w:szCs w:val="24"/>
        </w:rPr>
        <w:t xml:space="preserve">Mr. </w:t>
      </w:r>
      <w:r w:rsidRPr="00BB33A1">
        <w:rPr>
          <w:rFonts w:eastAsia="Times New Roman"/>
          <w:szCs w:val="24"/>
        </w:rPr>
        <w:t>Randy Jennings, Vice-Chair of FALS, also temporarily performing the duties of FALS Chair, and a participant on the 7.2 Reproducibility Limits Focus Group</w:t>
      </w:r>
      <w:r>
        <w:rPr>
          <w:rFonts w:eastAsia="Times New Roman"/>
          <w:szCs w:val="24"/>
        </w:rPr>
        <w:t xml:space="preserve"> commented that the</w:t>
      </w:r>
      <w:r w:rsidRPr="00BB33A1">
        <w:rPr>
          <w:rFonts w:eastAsia="Times New Roman"/>
          <w:szCs w:val="24"/>
        </w:rPr>
        <w:t xml:space="preserve"> Focus group chair Jenny Tabbert, CO, held several virtual meetings this semester that resulted in the development of the language as presented.  The Focus Group Members support the amendment as presented and recommend</w:t>
      </w:r>
      <w:r>
        <w:rPr>
          <w:rFonts w:eastAsia="Times New Roman"/>
          <w:szCs w:val="24"/>
        </w:rPr>
        <w:t>s</w:t>
      </w:r>
      <w:r w:rsidRPr="00BB33A1">
        <w:rPr>
          <w:rFonts w:eastAsia="Times New Roman"/>
          <w:szCs w:val="24"/>
        </w:rPr>
        <w:t xml:space="preserve"> a Voting Status.  It i</w:t>
      </w:r>
      <w:r>
        <w:rPr>
          <w:rFonts w:eastAsia="Times New Roman"/>
          <w:szCs w:val="24"/>
        </w:rPr>
        <w:t>s Mr. Jennings</w:t>
      </w:r>
      <w:r w:rsidRPr="00BB33A1">
        <w:rPr>
          <w:rFonts w:eastAsia="Times New Roman"/>
          <w:szCs w:val="24"/>
        </w:rPr>
        <w:t xml:space="preserve"> intent to convene a FALS virtual meeting after the Fall Regional meetings and prior to the NCWM Interim.  The aim of this meeting will </w:t>
      </w:r>
      <w:r w:rsidRPr="00BB33A1">
        <w:rPr>
          <w:rFonts w:eastAsia="Times New Roman"/>
          <w:szCs w:val="24"/>
        </w:rPr>
        <w:lastRenderedPageBreak/>
        <w:t xml:space="preserve">be to seek consensus on this item from FALS as a whole.  With that being said, </w:t>
      </w:r>
      <w:r>
        <w:rPr>
          <w:rFonts w:eastAsia="Times New Roman"/>
          <w:szCs w:val="24"/>
        </w:rPr>
        <w:t>Mr. Jennings commented that they</w:t>
      </w:r>
      <w:r w:rsidRPr="00BB33A1">
        <w:rPr>
          <w:rFonts w:eastAsia="Times New Roman"/>
          <w:szCs w:val="24"/>
        </w:rPr>
        <w:t xml:space="preserve"> have received feedback from one FALS member expressing concerns with the amended language so this will need vetting within FALS and we will report the subcommittee status at the Interim.</w:t>
      </w:r>
    </w:p>
    <w:p w14:paraId="59F98B2B" w14:textId="51241062" w:rsidR="005942C0" w:rsidRPr="005942C0" w:rsidRDefault="00A831C4" w:rsidP="007B2872">
      <w:pPr>
        <w:rPr>
          <w:rFonts w:eastAsia="Times New Roman"/>
          <w:szCs w:val="24"/>
        </w:rPr>
      </w:pPr>
      <w:r>
        <w:rPr>
          <w:rFonts w:eastAsia="Times New Roman"/>
          <w:szCs w:val="24"/>
        </w:rPr>
        <w:t>Based on the comments made from the floor the Committee recommends this item an Assigned status.</w:t>
      </w:r>
    </w:p>
    <w:p w14:paraId="199D21B5" w14:textId="28E1EB66" w:rsidR="00A93033" w:rsidRDefault="00612085" w:rsidP="000835DD">
      <w:r>
        <w:t xml:space="preserve">Additional letters, </w:t>
      </w:r>
      <w:r w:rsidR="00E43A79">
        <w:t>presentations</w:t>
      </w:r>
      <w:r>
        <w:t xml:space="preserve"> and data may have been submitted for consideration with this item.  Please refer to </w:t>
      </w:r>
      <w:hyperlink r:id="rId35" w:history="1">
        <w:r w:rsidRPr="002A1164">
          <w:rPr>
            <w:rStyle w:val="Hyperlink"/>
          </w:rPr>
          <w:t>https://www.ncwm.com/publication-15</w:t>
        </w:r>
      </w:hyperlink>
      <w:r>
        <w:t xml:space="preserve"> to </w:t>
      </w:r>
      <w:r w:rsidRPr="00E43A79">
        <w:t>review these documents</w:t>
      </w:r>
      <w:r>
        <w:t>.</w:t>
      </w:r>
    </w:p>
    <w:p w14:paraId="3DF65830" w14:textId="563DA6C8" w:rsidR="00DB197E" w:rsidRDefault="00726A96" w:rsidP="00DB197E">
      <w:pPr>
        <w:pStyle w:val="Heading1"/>
      </w:pPr>
      <w:bookmarkStart w:id="151" w:name="_Toc224019622"/>
      <w:r>
        <w:t>ecm</w:t>
      </w:r>
      <w:r w:rsidR="00DB197E" w:rsidRPr="00281428">
        <w:t xml:space="preserve"> – </w:t>
      </w:r>
      <w:r>
        <w:t>uniform e-</w:t>
      </w:r>
      <w:r w:rsidR="001205DB">
        <w:t>commerce regulation</w:t>
      </w:r>
      <w:bookmarkEnd w:id="151"/>
      <w:r w:rsidR="00DB197E" w:rsidRPr="00281428">
        <w:t xml:space="preserve"> </w:t>
      </w:r>
    </w:p>
    <w:p w14:paraId="08E31A13" w14:textId="3739F9D0" w:rsidR="00DB197E" w:rsidRPr="003C355F" w:rsidRDefault="001205DB" w:rsidP="00DB197E">
      <w:pPr>
        <w:pStyle w:val="ItemHeading"/>
      </w:pPr>
      <w:bookmarkStart w:id="152" w:name="_Toc224019623"/>
      <w:bookmarkStart w:id="153" w:name="_Hlk143506855"/>
      <w:bookmarkStart w:id="154" w:name="_Hlk143515249"/>
      <w:r>
        <w:t>ECM-26.1</w:t>
      </w:r>
      <w:r w:rsidR="00DB197E" w:rsidRPr="003C355F">
        <w:tab/>
      </w:r>
      <w:r w:rsidR="007F6E65">
        <w:t>V</w:t>
      </w:r>
      <w:r w:rsidR="00DB197E" w:rsidRPr="003C355F">
        <w:tab/>
      </w:r>
      <w:r w:rsidR="006A47BB">
        <w:t>Section 2. Definitions</w:t>
      </w:r>
      <w:r w:rsidR="00D158CA">
        <w:t xml:space="preserve">, </w:t>
      </w:r>
      <w:r w:rsidR="00973755">
        <w:t>Section 3. Required Declarations for E-commerce Sites Offering Products for Sale</w:t>
      </w:r>
      <w:r w:rsidR="001D0F5C">
        <w:t xml:space="preserve">, </w:t>
      </w:r>
      <w:r w:rsidR="00E057A6">
        <w:t>Section 5</w:t>
      </w:r>
      <w:r w:rsidR="00D22ABA">
        <w:t xml:space="preserve">. Unit Pricing Requirements on E-Commerce Sites for Products Offered </w:t>
      </w:r>
      <w:r w:rsidR="00B851F5">
        <w:t>fo</w:t>
      </w:r>
      <w:r w:rsidR="009720F2">
        <w:t>r</w:t>
      </w:r>
      <w:r w:rsidR="00B851F5">
        <w:t xml:space="preserve"> Sale, </w:t>
      </w:r>
      <w:r w:rsidR="00630825">
        <w:t xml:space="preserve">Section 10. </w:t>
      </w:r>
      <w:r w:rsidR="00931A3B">
        <w:t>Prominence and Placement of Required Information on E-commerce Sites: Offering E-commerce Products for Sale</w:t>
      </w:r>
      <w:bookmarkEnd w:id="152"/>
    </w:p>
    <w:p w14:paraId="0B6BFF6E" w14:textId="77777777" w:rsidR="00DB197E" w:rsidRDefault="00DB197E" w:rsidP="00DB197E">
      <w:pPr>
        <w:spacing w:after="0"/>
      </w:pPr>
    </w:p>
    <w:p w14:paraId="4932DF19" w14:textId="77777777" w:rsidR="00DB197E" w:rsidRPr="00E025F9" w:rsidRDefault="00DB197E" w:rsidP="00DB197E">
      <w:pPr>
        <w:spacing w:after="0"/>
        <w:rPr>
          <w:b/>
        </w:rPr>
      </w:pPr>
      <w:r w:rsidRPr="00E025F9">
        <w:rPr>
          <w:b/>
        </w:rPr>
        <w:t>Source:</w:t>
      </w:r>
    </w:p>
    <w:p w14:paraId="3FA5AE81" w14:textId="5FA046A4" w:rsidR="00DB197E" w:rsidRDefault="00A05496" w:rsidP="00DB197E">
      <w:r>
        <w:t>NIST Office of Weights and Measures</w:t>
      </w:r>
    </w:p>
    <w:p w14:paraId="52245E55" w14:textId="77777777" w:rsidR="00DB197E" w:rsidRPr="00E025F9" w:rsidRDefault="00DB197E" w:rsidP="00DB197E">
      <w:pPr>
        <w:spacing w:after="0"/>
        <w:rPr>
          <w:b/>
        </w:rPr>
      </w:pPr>
      <w:r w:rsidRPr="00E025F9">
        <w:rPr>
          <w:b/>
        </w:rPr>
        <w:t>Purpose:</w:t>
      </w:r>
    </w:p>
    <w:p w14:paraId="5843CA0E" w14:textId="72E51D07" w:rsidR="00DB197E" w:rsidRPr="00F310A4" w:rsidRDefault="00351453" w:rsidP="00F310A4">
      <w:r w:rsidRPr="00F310A4">
        <w:t>Adding unit pricing to e-commerce websites helps shoppers make more informed and cost-effective purchasing decisions by displaying the price per standardized unit of measure, such as per ounce, liter, or count, alongside the total product price. This transparency allows customers to easily compare the value of different product sizes, brands, and package types, ultimately fostering trust in the retailer. By simplifying comparison shopping, unit pricing can improve the user experience, encourage customer loyalty, and support better purchasing choices, while also aligning the platform with consumer protection best practices and potential regulatory requirements.</w:t>
      </w:r>
    </w:p>
    <w:p w14:paraId="45353FF2" w14:textId="77777777" w:rsidR="008277B9" w:rsidRDefault="008277B9" w:rsidP="00DB197E">
      <w:pPr>
        <w:spacing w:after="0"/>
        <w:rPr>
          <w:b/>
        </w:rPr>
      </w:pPr>
    </w:p>
    <w:p w14:paraId="3BAB597F" w14:textId="741ADA4A" w:rsidR="00DB197E" w:rsidRPr="00E025F9" w:rsidRDefault="00DB197E" w:rsidP="00DB197E">
      <w:pPr>
        <w:spacing w:after="0"/>
        <w:rPr>
          <w:b/>
        </w:rPr>
      </w:pPr>
      <w:r w:rsidRPr="00E025F9">
        <w:rPr>
          <w:b/>
        </w:rPr>
        <w:t>Item under Consideration:</w:t>
      </w:r>
    </w:p>
    <w:p w14:paraId="379531E2" w14:textId="130C4BEE" w:rsidR="00DB197E" w:rsidRDefault="001D0F5C" w:rsidP="00DB197E">
      <w:r>
        <w:t xml:space="preserve">Amend the Uniform </w:t>
      </w:r>
      <w:r w:rsidR="007A3298">
        <w:t xml:space="preserve">E-commerce </w:t>
      </w:r>
      <w:r>
        <w:t>Regulation</w:t>
      </w:r>
      <w:r w:rsidR="007A3298">
        <w:t xml:space="preserve"> </w:t>
      </w:r>
      <w:r>
        <w:t>as follows:</w:t>
      </w:r>
    </w:p>
    <w:p w14:paraId="00D6E650" w14:textId="36E7F6F3" w:rsidR="0040195D" w:rsidRDefault="00DF32ED" w:rsidP="001A610A">
      <w:pPr>
        <w:ind w:left="360"/>
        <w:rPr>
          <w:b/>
          <w:bCs/>
        </w:rPr>
      </w:pPr>
      <w:r>
        <w:rPr>
          <w:b/>
          <w:bCs/>
        </w:rPr>
        <w:t>Section 2. Definitions</w:t>
      </w:r>
    </w:p>
    <w:p w14:paraId="61B83275" w14:textId="1218F47E" w:rsidR="001A610A" w:rsidRDefault="001A610A" w:rsidP="001A610A">
      <w:pPr>
        <w:rPr>
          <w:b/>
          <w:bCs/>
        </w:rPr>
      </w:pPr>
      <w:r>
        <w:rPr>
          <w:b/>
          <w:bCs/>
        </w:rPr>
        <w:t>…</w:t>
      </w:r>
    </w:p>
    <w:p w14:paraId="7373F135" w14:textId="77777777" w:rsidR="00A003AF" w:rsidRPr="00D92AF4" w:rsidRDefault="00A003AF" w:rsidP="00A003AF">
      <w:pPr>
        <w:tabs>
          <w:tab w:val="left" w:pos="360"/>
        </w:tabs>
        <w:ind w:left="360"/>
        <w:rPr>
          <w:rFonts w:eastAsia="Times New Roman"/>
          <w:b/>
          <w:iCs/>
          <w:color w:val="000000"/>
          <w:szCs w:val="20"/>
          <w:u w:val="single"/>
        </w:rPr>
      </w:pPr>
      <w:r w:rsidRPr="00D92AF4">
        <w:rPr>
          <w:rFonts w:cs="Arial"/>
          <w:b/>
          <w:bCs/>
          <w:szCs w:val="20"/>
          <w:u w:val="single"/>
        </w:rPr>
        <w:t>2.21</w:t>
      </w:r>
      <w:r w:rsidRPr="00D92AF4">
        <w:rPr>
          <w:rFonts w:cs="Arial"/>
          <w:szCs w:val="20"/>
        </w:rPr>
        <w:t xml:space="preserve">. </w:t>
      </w:r>
      <w:r w:rsidRPr="00D92AF4">
        <w:rPr>
          <w:rFonts w:eastAsia="Times New Roman"/>
          <w:b/>
          <w:iCs/>
          <w:color w:val="000000"/>
          <w:szCs w:val="20"/>
          <w:u w:val="single"/>
        </w:rPr>
        <w:t>Unit Price</w:t>
      </w:r>
      <w:r w:rsidRPr="00D92AF4">
        <w:rPr>
          <w:rFonts w:eastAsia="Times New Roman"/>
          <w:b/>
          <w:i/>
          <w:color w:val="000000"/>
          <w:szCs w:val="20"/>
          <w:u w:val="single"/>
        </w:rPr>
        <w:t xml:space="preserve"> – </w:t>
      </w:r>
      <w:r w:rsidRPr="00D92AF4">
        <w:rPr>
          <w:rFonts w:eastAsia="Times New Roman"/>
          <w:b/>
          <w:iCs/>
          <w:color w:val="000000"/>
          <w:szCs w:val="20"/>
          <w:u w:val="single"/>
        </w:rPr>
        <w:t>A</w:t>
      </w:r>
      <w:r w:rsidRPr="00D92AF4">
        <w:rPr>
          <w:rFonts w:eastAsia="Times New Roman"/>
          <w:b/>
          <w:i/>
          <w:color w:val="000000"/>
          <w:szCs w:val="20"/>
          <w:u w:val="single"/>
        </w:rPr>
        <w:t xml:space="preserve"> </w:t>
      </w:r>
      <w:r w:rsidRPr="00D92AF4">
        <w:rPr>
          <w:rFonts w:eastAsia="Times New Roman"/>
          <w:b/>
          <w:iCs/>
          <w:color w:val="000000"/>
          <w:szCs w:val="20"/>
          <w:u w:val="single"/>
        </w:rPr>
        <w:t>Unit price is the cost per unit of measure of products, such as the cost per milliliter or per ounce.</w:t>
      </w:r>
    </w:p>
    <w:p w14:paraId="41F97158" w14:textId="77777777" w:rsidR="00A003AF" w:rsidRPr="00D92AF4" w:rsidRDefault="00A003AF" w:rsidP="00A003AF">
      <w:pPr>
        <w:tabs>
          <w:tab w:val="left" w:pos="360"/>
          <w:tab w:val="left" w:pos="540"/>
        </w:tabs>
        <w:ind w:left="360"/>
        <w:rPr>
          <w:iCs/>
          <w:color w:val="000000"/>
          <w:szCs w:val="20"/>
        </w:rPr>
      </w:pPr>
      <w:r w:rsidRPr="00D92AF4">
        <w:rPr>
          <w:b/>
          <w:bCs/>
          <w:iCs/>
          <w:color w:val="000000"/>
          <w:szCs w:val="20"/>
        </w:rPr>
        <w:t>(Amended 202X)</w:t>
      </w:r>
    </w:p>
    <w:p w14:paraId="718D06FC" w14:textId="1A752D86" w:rsidR="001A610A" w:rsidRPr="00DF32ED" w:rsidRDefault="00947308" w:rsidP="00947308">
      <w:pPr>
        <w:rPr>
          <w:b/>
          <w:bCs/>
        </w:rPr>
      </w:pPr>
      <w:r>
        <w:rPr>
          <w:b/>
          <w:bCs/>
        </w:rPr>
        <w:t>…</w:t>
      </w:r>
    </w:p>
    <w:p w14:paraId="2782D8E4" w14:textId="77777777" w:rsidR="0040195D" w:rsidRPr="00DF32ED" w:rsidRDefault="0040195D" w:rsidP="00DF32ED">
      <w:pPr>
        <w:ind w:left="360"/>
        <w:rPr>
          <w:b/>
          <w:bCs/>
        </w:rPr>
      </w:pPr>
      <w:bookmarkStart w:id="155" w:name="_Toc178174932"/>
      <w:bookmarkStart w:id="156" w:name="_Toc178174933"/>
      <w:r w:rsidRPr="00DF32ED">
        <w:rPr>
          <w:b/>
          <w:bCs/>
        </w:rPr>
        <w:t>Section 3.  Required Declarations for E-commerce Sites Offering Products for Sale</w:t>
      </w:r>
      <w:bookmarkEnd w:id="155"/>
      <w:r w:rsidRPr="00DF32ED">
        <w:rPr>
          <w:b/>
          <w:bCs/>
        </w:rPr>
        <w:t xml:space="preserve"> </w:t>
      </w:r>
    </w:p>
    <w:p w14:paraId="58867879" w14:textId="57C4F22E" w:rsidR="00A55583" w:rsidRPr="00D519B2" w:rsidRDefault="00A55583" w:rsidP="00A55583">
      <w:pPr>
        <w:tabs>
          <w:tab w:val="left" w:pos="360"/>
          <w:tab w:val="left" w:pos="446"/>
          <w:tab w:val="left" w:pos="540"/>
        </w:tabs>
        <w:ind w:left="360"/>
        <w:outlineLvl w:val="1"/>
        <w:rPr>
          <w:b/>
          <w:bCs/>
          <w:iCs/>
          <w:vanish/>
          <w:color w:val="000000"/>
        </w:rPr>
      </w:pPr>
      <w:r w:rsidRPr="00D519B2">
        <w:rPr>
          <w:b/>
          <w:bCs/>
          <w:color w:val="000000"/>
        </w:rPr>
        <w:t>3.1. E-commerce Site Requirements for Standard Packages.</w:t>
      </w:r>
      <w:bookmarkEnd w:id="156"/>
    </w:p>
    <w:p w14:paraId="39C8A93A" w14:textId="77777777" w:rsidR="00A55583" w:rsidRPr="00D519B2" w:rsidRDefault="00A55583" w:rsidP="00A55583">
      <w:pPr>
        <w:tabs>
          <w:tab w:val="left" w:pos="360"/>
          <w:tab w:val="left" w:pos="540"/>
        </w:tabs>
        <w:ind w:left="360"/>
        <w:rPr>
          <w:iCs/>
          <w:color w:val="000000"/>
        </w:rPr>
      </w:pPr>
      <w:r w:rsidRPr="00D519B2">
        <w:rPr>
          <w:i/>
          <w:iCs/>
          <w:color w:val="000000"/>
        </w:rPr>
        <w:t xml:space="preserve"> – </w:t>
      </w:r>
      <w:r w:rsidRPr="00D519B2">
        <w:rPr>
          <w:iCs/>
          <w:color w:val="000000"/>
        </w:rPr>
        <w:t>The following shall apply to e-commerce sites on which standard packages are offered for sale:</w:t>
      </w:r>
    </w:p>
    <w:p w14:paraId="6210E5CB" w14:textId="77777777" w:rsidR="00A55583" w:rsidRPr="00D519B2" w:rsidRDefault="00A55583" w:rsidP="0076491B">
      <w:pPr>
        <w:numPr>
          <w:ilvl w:val="0"/>
          <w:numId w:val="48"/>
        </w:numPr>
        <w:tabs>
          <w:tab w:val="left" w:pos="360"/>
        </w:tabs>
        <w:ind w:left="1080"/>
        <w:jc w:val="left"/>
        <w:rPr>
          <w:iCs/>
          <w:color w:val="000000"/>
        </w:rPr>
      </w:pPr>
      <w:r w:rsidRPr="00D519B2">
        <w:rPr>
          <w:b/>
          <w:bCs/>
          <w:iCs/>
          <w:color w:val="000000"/>
        </w:rPr>
        <w:t>Declaration of Identity.</w:t>
      </w:r>
      <w:r w:rsidRPr="00D519B2">
        <w:rPr>
          <w:iCs/>
          <w:color w:val="000000"/>
        </w:rPr>
        <w:t xml:space="preserve"> – The product declaration of identity shall appear on the e-commerce site in a conspicuous and prominent location.  Wherever applicable, the product brand name or manufacturer/distributor name shall be combined with the declaration of identity.  This information </w:t>
      </w:r>
      <w:r w:rsidRPr="00D519B2">
        <w:rPr>
          <w:iCs/>
          <w:color w:val="000000"/>
        </w:rPr>
        <w:lastRenderedPageBreak/>
        <w:t>shall be provided separately from and in addition to any picture or image of the product (See Section 7 Declaration of Identity: E-commerce Products for additional information.)</w:t>
      </w:r>
    </w:p>
    <w:p w14:paraId="3D4C80C7" w14:textId="17EF3B0B" w:rsidR="00A55583" w:rsidRPr="00D519B2" w:rsidRDefault="00A55583" w:rsidP="0076491B">
      <w:pPr>
        <w:numPr>
          <w:ilvl w:val="0"/>
          <w:numId w:val="48"/>
        </w:numPr>
        <w:tabs>
          <w:tab w:val="left" w:pos="360"/>
        </w:tabs>
        <w:ind w:left="1080"/>
        <w:jc w:val="left"/>
        <w:rPr>
          <w:b/>
          <w:bCs/>
          <w:iCs/>
          <w:color w:val="000000"/>
          <w:u w:val="single"/>
        </w:rPr>
      </w:pPr>
      <w:r w:rsidRPr="00D519B2">
        <w:rPr>
          <w:b/>
          <w:bCs/>
          <w:iCs/>
          <w:color w:val="000000"/>
          <w:u w:val="single"/>
        </w:rPr>
        <w:t xml:space="preserve">Declaration of Unit Price - The unit price of the product shall appear on the e-commerce site in a conspicuous and prominent location.  This information shall be provided separately from and in addition to any picture or image of the product (See Section 5.  Unit Pricing Requirements on E-Commerce Sites for Products Offered for Sale for additional information).  </w:t>
      </w:r>
    </w:p>
    <w:p w14:paraId="3AF51894" w14:textId="77777777" w:rsidR="00A55583" w:rsidRPr="00D519B2" w:rsidRDefault="00A55583" w:rsidP="00712C69">
      <w:pPr>
        <w:keepNext/>
        <w:keepLines/>
        <w:numPr>
          <w:ilvl w:val="0"/>
          <w:numId w:val="48"/>
        </w:numPr>
        <w:tabs>
          <w:tab w:val="left" w:pos="360"/>
        </w:tabs>
        <w:ind w:left="1080"/>
        <w:jc w:val="left"/>
        <w:rPr>
          <w:iCs/>
          <w:color w:val="000000"/>
        </w:rPr>
      </w:pPr>
      <w:r w:rsidRPr="00D519B2">
        <w:rPr>
          <w:b/>
          <w:bCs/>
          <w:iCs/>
          <w:color w:val="000000"/>
        </w:rPr>
        <w:t>Declaration of Net Quantity.</w:t>
      </w:r>
      <w:r w:rsidRPr="00D519B2">
        <w:rPr>
          <w:iCs/>
          <w:color w:val="000000"/>
        </w:rPr>
        <w:t xml:space="preserve"> – The declaration of net quantity shall appear on the e-commerce site in a prominent location and in a conspicuous manner which clearly communicates the package net quantity.  This information shall be provided separately from and in addition to any picture or image of the product.  This information shall be provided in both U.S. customary and SI units for products subject to the Fair Packaging and Labeling Act or as mandated for products under other Federal regulations  (See Section 6. Declaration of Quantity – E-commerce Products for additional information.)  </w:t>
      </w:r>
    </w:p>
    <w:p w14:paraId="67BCA7C6" w14:textId="77777777" w:rsidR="00A55583" w:rsidRPr="00D519B2" w:rsidRDefault="00A55583" w:rsidP="0076491B">
      <w:pPr>
        <w:numPr>
          <w:ilvl w:val="0"/>
          <w:numId w:val="48"/>
        </w:numPr>
        <w:tabs>
          <w:tab w:val="left" w:pos="360"/>
        </w:tabs>
        <w:ind w:left="1080"/>
        <w:jc w:val="left"/>
        <w:rPr>
          <w:iCs/>
          <w:color w:val="000000"/>
        </w:rPr>
      </w:pPr>
      <w:r w:rsidRPr="00D519B2">
        <w:rPr>
          <w:b/>
          <w:bCs/>
          <w:iCs/>
          <w:color w:val="000000"/>
        </w:rPr>
        <w:t>Product Price.</w:t>
      </w:r>
      <w:r w:rsidRPr="00D519B2">
        <w:rPr>
          <w:iCs/>
          <w:color w:val="000000"/>
        </w:rPr>
        <w:t xml:space="preserve"> – The price of the product shall appear on the e-commerce site in a conspicuous and prominent location. Added cost information (if any) for shipping, delivery, taxes, and other services shall be provided to the customer prior to the completion of check-out and payment.  </w:t>
      </w:r>
    </w:p>
    <w:p w14:paraId="4B7D581B" w14:textId="77777777" w:rsidR="00A55583" w:rsidRPr="00D519B2" w:rsidRDefault="00A55583" w:rsidP="0076491B">
      <w:pPr>
        <w:numPr>
          <w:ilvl w:val="0"/>
          <w:numId w:val="48"/>
        </w:numPr>
        <w:tabs>
          <w:tab w:val="left" w:pos="360"/>
        </w:tabs>
        <w:ind w:left="1080"/>
        <w:jc w:val="left"/>
        <w:rPr>
          <w:iCs/>
          <w:color w:val="000000"/>
        </w:rPr>
      </w:pPr>
      <w:r w:rsidRPr="00D519B2">
        <w:rPr>
          <w:b/>
          <w:bCs/>
          <w:iCs/>
          <w:color w:val="000000"/>
        </w:rPr>
        <w:t>Product Photo or Visual Product Representation/Image.</w:t>
      </w:r>
      <w:r w:rsidRPr="00D519B2">
        <w:rPr>
          <w:iCs/>
          <w:color w:val="000000"/>
        </w:rPr>
        <w:t xml:space="preserve"> – The e-commerce site shall provide a photo or visual representation (image) of the product to help consumers confirm the identity of the item they intend to purchase.  While a product photo or image may show certain required information, required information shall appear separately from the picture/representation. Any information provided in the picture/image shall not conflict with information required by this regulation  (See Section 9. Product Photograph or Accurate Product Depiction/Representation: E-commerce Site Requirements for additional information).</w:t>
      </w:r>
    </w:p>
    <w:p w14:paraId="22A9E358" w14:textId="77777777" w:rsidR="00A55583" w:rsidRPr="00D519B2" w:rsidRDefault="00A55583" w:rsidP="0076491B">
      <w:pPr>
        <w:numPr>
          <w:ilvl w:val="0"/>
          <w:numId w:val="48"/>
        </w:numPr>
        <w:tabs>
          <w:tab w:val="left" w:pos="360"/>
        </w:tabs>
        <w:ind w:left="1080"/>
        <w:jc w:val="left"/>
        <w:rPr>
          <w:iCs/>
          <w:color w:val="000000"/>
        </w:rPr>
      </w:pPr>
      <w:r w:rsidRPr="00D519B2">
        <w:rPr>
          <w:b/>
          <w:bCs/>
          <w:iCs/>
          <w:color w:val="000000"/>
        </w:rPr>
        <w:t>Brand Name or Product Manufacturer.</w:t>
      </w:r>
      <w:r w:rsidRPr="00D519B2">
        <w:rPr>
          <w:iCs/>
          <w:color w:val="000000"/>
        </w:rPr>
        <w:t xml:space="preserve"> – The e-commerce site shall provide the name of the manufacturer, distributor or the brand of any product offered for sale, where applicable (See Section 8. Declaration of Responsible Person: E-commerce Products for additional information.) </w:t>
      </w:r>
    </w:p>
    <w:p w14:paraId="10B047EC" w14:textId="78B7D2A0" w:rsidR="007A3298" w:rsidRPr="0068281F" w:rsidRDefault="00A55583" w:rsidP="0068281F">
      <w:pPr>
        <w:ind w:left="360"/>
        <w:rPr>
          <w:u w:val="single"/>
        </w:rPr>
      </w:pPr>
      <w:r w:rsidRPr="0068281F">
        <w:rPr>
          <w:iCs/>
          <w:color w:val="000000"/>
          <w:u w:val="single"/>
        </w:rPr>
        <w:t xml:space="preserve"> </w:t>
      </w:r>
      <w:r w:rsidRPr="0068281F">
        <w:rPr>
          <w:b/>
          <w:bCs/>
          <w:iCs/>
          <w:color w:val="000000"/>
          <w:u w:val="single"/>
        </w:rPr>
        <w:t>(Amended 20</w:t>
      </w:r>
      <w:r w:rsidR="0068281F" w:rsidRPr="0068281F">
        <w:rPr>
          <w:b/>
          <w:bCs/>
          <w:iCs/>
          <w:color w:val="000000"/>
          <w:u w:val="single"/>
        </w:rPr>
        <w:t>XX</w:t>
      </w:r>
      <w:r w:rsidRPr="0068281F">
        <w:rPr>
          <w:b/>
          <w:bCs/>
          <w:iCs/>
          <w:color w:val="000000"/>
          <w:u w:val="single"/>
        </w:rPr>
        <w:t>)</w:t>
      </w:r>
    </w:p>
    <w:p w14:paraId="74EA0AC3" w14:textId="27205EE4" w:rsidR="008A3119" w:rsidRPr="008A3119" w:rsidRDefault="00B851F5" w:rsidP="008A3119">
      <w:pPr>
        <w:keepNext/>
        <w:rPr>
          <w:b/>
        </w:rPr>
      </w:pPr>
      <w:r>
        <w:rPr>
          <w:b/>
        </w:rPr>
        <w:t>…</w:t>
      </w:r>
    </w:p>
    <w:p w14:paraId="69E31661" w14:textId="77777777" w:rsidR="008561B3" w:rsidRPr="00F310A4" w:rsidRDefault="008561B3" w:rsidP="008561B3">
      <w:pPr>
        <w:keepNext/>
        <w:keepLines/>
        <w:spacing w:before="400" w:after="180"/>
        <w:ind w:left="360"/>
        <w:outlineLvl w:val="0"/>
        <w:rPr>
          <w:rFonts w:eastAsia="MS Gothic"/>
          <w:b/>
        </w:rPr>
      </w:pPr>
      <w:bookmarkStart w:id="157" w:name="_Toc178174942"/>
      <w:r w:rsidRPr="00F310A4">
        <w:rPr>
          <w:rFonts w:eastAsia="MS Gothic"/>
          <w:b/>
        </w:rPr>
        <w:t>Section 5.  Unit Pricing Requirements on E-Commerce Sites for Products Offered for Sale</w:t>
      </w:r>
      <w:bookmarkEnd w:id="157"/>
    </w:p>
    <w:p w14:paraId="47DE7AA1" w14:textId="77777777" w:rsidR="008561B3" w:rsidRPr="00F310A4" w:rsidRDefault="008561B3" w:rsidP="008561B3">
      <w:pPr>
        <w:tabs>
          <w:tab w:val="left" w:pos="360"/>
          <w:tab w:val="left" w:pos="446"/>
          <w:tab w:val="left" w:pos="540"/>
        </w:tabs>
        <w:ind w:left="360"/>
        <w:outlineLvl w:val="1"/>
        <w:rPr>
          <w:b/>
          <w:bCs/>
          <w:color w:val="000000"/>
        </w:rPr>
      </w:pPr>
      <w:bookmarkStart w:id="158" w:name="_Toc178174943"/>
      <w:r w:rsidRPr="00F310A4">
        <w:rPr>
          <w:b/>
          <w:bCs/>
          <w:color w:val="000000"/>
        </w:rPr>
        <w:t>5.1. Products Subject to Unit Pricing on E-commerce Sites.</w:t>
      </w:r>
      <w:bookmarkEnd w:id="158"/>
      <w:r w:rsidRPr="00F310A4">
        <w:rPr>
          <w:b/>
          <w:bCs/>
          <w:color w:val="000000"/>
        </w:rPr>
        <w:t xml:space="preserve"> </w:t>
      </w:r>
    </w:p>
    <w:p w14:paraId="3D1341D6" w14:textId="77777777" w:rsidR="008561B3" w:rsidRPr="00F432D0" w:rsidRDefault="008561B3" w:rsidP="0076491B">
      <w:pPr>
        <w:numPr>
          <w:ilvl w:val="0"/>
          <w:numId w:val="49"/>
        </w:numPr>
        <w:tabs>
          <w:tab w:val="left" w:pos="360"/>
          <w:tab w:val="left" w:pos="540"/>
        </w:tabs>
        <w:spacing w:after="0"/>
        <w:ind w:left="1080"/>
        <w:jc w:val="left"/>
        <w:rPr>
          <w:iCs/>
          <w:color w:val="000000"/>
        </w:rPr>
      </w:pPr>
      <w:r w:rsidRPr="00F432D0">
        <w:rPr>
          <w:iCs/>
          <w:color w:val="000000"/>
        </w:rPr>
        <w:t xml:space="preserve">Unit price information is required for bulk products </w:t>
      </w:r>
      <w:r w:rsidRPr="00F432D0">
        <w:rPr>
          <w:iCs/>
          <w:strike/>
          <w:color w:val="000000"/>
        </w:rPr>
        <w:t>and</w:t>
      </w:r>
      <w:r w:rsidRPr="00F432D0">
        <w:rPr>
          <w:b/>
          <w:bCs/>
          <w:iCs/>
          <w:color w:val="000000"/>
          <w:u w:val="single"/>
        </w:rPr>
        <w:t xml:space="preserve">along </w:t>
      </w:r>
      <w:r w:rsidRPr="00F432D0">
        <w:rPr>
          <w:iCs/>
          <w:color w:val="000000"/>
        </w:rPr>
        <w:t xml:space="preserve">with </w:t>
      </w:r>
      <w:r w:rsidRPr="00F432D0">
        <w:rPr>
          <w:b/>
          <w:bCs/>
          <w:iCs/>
          <w:color w:val="000000"/>
          <w:u w:val="single"/>
        </w:rPr>
        <w:t>standard and</w:t>
      </w:r>
      <w:r w:rsidRPr="00F432D0">
        <w:rPr>
          <w:iCs/>
          <w:color w:val="000000"/>
        </w:rPr>
        <w:t xml:space="preserve"> random packages offered for sale on an e-commerce site.  </w:t>
      </w:r>
    </w:p>
    <w:p w14:paraId="26D1964C" w14:textId="71BE399A" w:rsidR="008561B3" w:rsidRPr="00351A64" w:rsidRDefault="008561B3" w:rsidP="00351A64">
      <w:pPr>
        <w:tabs>
          <w:tab w:val="left" w:pos="360"/>
          <w:tab w:val="left" w:pos="540"/>
        </w:tabs>
        <w:ind w:left="720"/>
        <w:rPr>
          <w:b/>
          <w:bCs/>
          <w:iCs/>
          <w:color w:val="000000"/>
          <w:u w:val="single"/>
        </w:rPr>
      </w:pPr>
      <w:r w:rsidRPr="00351A64">
        <w:rPr>
          <w:b/>
          <w:bCs/>
          <w:iCs/>
          <w:color w:val="000000"/>
          <w:u w:val="single"/>
        </w:rPr>
        <w:t>(Amended 2</w:t>
      </w:r>
      <w:r w:rsidR="00351A64" w:rsidRPr="00351A64">
        <w:rPr>
          <w:b/>
          <w:bCs/>
          <w:iCs/>
          <w:color w:val="000000"/>
          <w:u w:val="single"/>
        </w:rPr>
        <w:t>0XX</w:t>
      </w:r>
      <w:r w:rsidRPr="00351A64">
        <w:rPr>
          <w:b/>
          <w:bCs/>
          <w:iCs/>
          <w:color w:val="000000"/>
          <w:u w:val="single"/>
        </w:rPr>
        <w:t>)</w:t>
      </w:r>
    </w:p>
    <w:p w14:paraId="517F9622" w14:textId="77777777" w:rsidR="008561B3" w:rsidRPr="005C7F3B" w:rsidRDefault="008561B3" w:rsidP="0076491B">
      <w:pPr>
        <w:numPr>
          <w:ilvl w:val="0"/>
          <w:numId w:val="49"/>
        </w:numPr>
        <w:tabs>
          <w:tab w:val="left" w:pos="360"/>
          <w:tab w:val="left" w:pos="540"/>
        </w:tabs>
        <w:ind w:left="1080"/>
        <w:jc w:val="left"/>
        <w:rPr>
          <w:b/>
          <w:bCs/>
          <w:iCs/>
          <w:strike/>
          <w:color w:val="000000"/>
        </w:rPr>
      </w:pPr>
      <w:r w:rsidRPr="005C7F3B">
        <w:rPr>
          <w:b/>
          <w:bCs/>
          <w:iCs/>
          <w:strike/>
          <w:color w:val="000000"/>
        </w:rPr>
        <w:t xml:space="preserve">Unit price information is optional for standard packages offered for sale on e-commerce sites. </w:t>
      </w:r>
    </w:p>
    <w:p w14:paraId="26AF7CDB" w14:textId="77777777" w:rsidR="008561B3" w:rsidRPr="00F432D0" w:rsidRDefault="008561B3" w:rsidP="005C7F3B">
      <w:pPr>
        <w:tabs>
          <w:tab w:val="left" w:pos="360"/>
          <w:tab w:val="left" w:pos="446"/>
          <w:tab w:val="left" w:pos="540"/>
        </w:tabs>
        <w:ind w:left="360"/>
        <w:outlineLvl w:val="1"/>
        <w:rPr>
          <w:b/>
          <w:bCs/>
          <w:vanish/>
          <w:color w:val="000000"/>
        </w:rPr>
      </w:pPr>
      <w:bookmarkStart w:id="159" w:name="_Toc178174944"/>
      <w:r w:rsidRPr="00F432D0">
        <w:rPr>
          <w:b/>
          <w:bCs/>
          <w:color w:val="000000"/>
        </w:rPr>
        <w:t>5.2. Required Unit Price Information.</w:t>
      </w:r>
      <w:bookmarkEnd w:id="159"/>
    </w:p>
    <w:p w14:paraId="3555A39E" w14:textId="77777777" w:rsidR="008561B3" w:rsidRPr="00F432D0" w:rsidRDefault="008561B3" w:rsidP="008561B3">
      <w:pPr>
        <w:tabs>
          <w:tab w:val="left" w:pos="360"/>
          <w:tab w:val="left" w:pos="540"/>
        </w:tabs>
        <w:rPr>
          <w:rFonts w:cs="Arial"/>
          <w:szCs w:val="20"/>
        </w:rPr>
      </w:pPr>
      <w:r w:rsidRPr="00F432D0">
        <w:rPr>
          <w:rFonts w:cs="Arial"/>
          <w:szCs w:val="20"/>
        </w:rPr>
        <w:t xml:space="preserve"> – The unit price shall be consistent with the required method of sale for the product.  An e-commerce site shall determine the most effective units for ensuring value comparison of similar products with varying product sizes.  Unit prices shall employ consistent units of measure for similar or competing products posted on the same e-commerce site (e.g., price per ounce, price per inch, etc.) </w:t>
      </w:r>
      <w:r w:rsidRPr="00F432D0">
        <w:rPr>
          <w:rFonts w:cs="Arial"/>
          <w:b/>
          <w:bCs/>
          <w:szCs w:val="20"/>
          <w:u w:val="single"/>
        </w:rPr>
        <w:t>(See Notes 1 &amp; 2)</w:t>
      </w:r>
    </w:p>
    <w:p w14:paraId="3172B7DF" w14:textId="77777777" w:rsidR="008561B3" w:rsidRPr="00F432D0" w:rsidRDefault="008561B3" w:rsidP="0076491B">
      <w:pPr>
        <w:numPr>
          <w:ilvl w:val="0"/>
          <w:numId w:val="50"/>
        </w:numPr>
        <w:tabs>
          <w:tab w:val="left" w:pos="360"/>
        </w:tabs>
        <w:ind w:left="1080"/>
        <w:jc w:val="left"/>
        <w:rPr>
          <w:iCs/>
          <w:color w:val="000000"/>
        </w:rPr>
      </w:pPr>
      <w:r w:rsidRPr="00F432D0">
        <w:rPr>
          <w:iCs/>
          <w:color w:val="000000"/>
        </w:rPr>
        <w:t>The declaration of the unit price of a particular commodity in all package sizes offered for sale on  an e-commerce site shall be uniformly and consistently expressed in terms of:</w:t>
      </w:r>
    </w:p>
    <w:p w14:paraId="1904A6D4" w14:textId="77777777" w:rsidR="008561B3" w:rsidRPr="00F432D0" w:rsidRDefault="008561B3" w:rsidP="0076491B">
      <w:pPr>
        <w:numPr>
          <w:ilvl w:val="0"/>
          <w:numId w:val="51"/>
        </w:numPr>
        <w:tabs>
          <w:tab w:val="left" w:pos="360"/>
        </w:tabs>
        <w:jc w:val="left"/>
        <w:rPr>
          <w:iCs/>
          <w:color w:val="000000"/>
        </w:rPr>
      </w:pPr>
      <w:r w:rsidRPr="00F432D0">
        <w:rPr>
          <w:iCs/>
          <w:color w:val="000000"/>
        </w:rPr>
        <w:lastRenderedPageBreak/>
        <w:t>Price per kilogram or 100 g, or price per pound or ounce, if the net quantity of contents of the product is in terms of weight.</w:t>
      </w:r>
    </w:p>
    <w:p w14:paraId="6280CB0F" w14:textId="77777777" w:rsidR="008561B3" w:rsidRPr="00F432D0" w:rsidRDefault="008561B3" w:rsidP="0076491B">
      <w:pPr>
        <w:numPr>
          <w:ilvl w:val="0"/>
          <w:numId w:val="51"/>
        </w:numPr>
        <w:tabs>
          <w:tab w:val="left" w:pos="360"/>
        </w:tabs>
        <w:jc w:val="left"/>
        <w:rPr>
          <w:iCs/>
          <w:color w:val="000000"/>
        </w:rPr>
      </w:pPr>
      <w:r w:rsidRPr="00F432D0">
        <w:rPr>
          <w:iCs/>
          <w:color w:val="000000"/>
        </w:rPr>
        <w:t xml:space="preserve">Price per liter, or 100 mL, </w:t>
      </w:r>
      <w:r w:rsidRPr="00F432D0">
        <w:rPr>
          <w:b/>
          <w:bCs/>
          <w:iCs/>
          <w:color w:val="000000"/>
          <w:u w:val="single"/>
        </w:rPr>
        <w:t>cubic meter, cubic decimeter, or cubic centimeter,</w:t>
      </w:r>
      <w:r w:rsidRPr="00F432D0">
        <w:rPr>
          <w:iCs/>
          <w:color w:val="000000"/>
        </w:rPr>
        <w:t xml:space="preserve"> or price per dry quart, or dry pint</w:t>
      </w:r>
      <w:r w:rsidRPr="00F432D0">
        <w:rPr>
          <w:b/>
          <w:bCs/>
          <w:iCs/>
          <w:color w:val="000000"/>
          <w:u w:val="single"/>
        </w:rPr>
        <w:t>, cubic yard, cubic foot, or cubic inch</w:t>
      </w:r>
      <w:r w:rsidRPr="00F432D0">
        <w:rPr>
          <w:iCs/>
          <w:color w:val="000000"/>
        </w:rPr>
        <w:t xml:space="preserve"> if the net quantity of contents of the product is in terms of dry measure or volume.</w:t>
      </w:r>
    </w:p>
    <w:p w14:paraId="01FAF98F" w14:textId="77777777" w:rsidR="008561B3" w:rsidRPr="00F432D0" w:rsidRDefault="008561B3" w:rsidP="0076491B">
      <w:pPr>
        <w:numPr>
          <w:ilvl w:val="0"/>
          <w:numId w:val="51"/>
        </w:numPr>
        <w:tabs>
          <w:tab w:val="left" w:pos="360"/>
        </w:tabs>
        <w:jc w:val="left"/>
        <w:rPr>
          <w:iCs/>
          <w:color w:val="000000"/>
        </w:rPr>
      </w:pPr>
      <w:r w:rsidRPr="00F432D0">
        <w:rPr>
          <w:iCs/>
          <w:color w:val="000000"/>
        </w:rPr>
        <w:t>Price per liter or 100 mL, or price per gallon, quart, pint, or fluid ounce, if the net quantity of contents of the product is in terms of liquid volume.</w:t>
      </w:r>
    </w:p>
    <w:p w14:paraId="1444A723" w14:textId="77777777" w:rsidR="008561B3" w:rsidRPr="00F432D0" w:rsidRDefault="008561B3" w:rsidP="0076491B">
      <w:pPr>
        <w:numPr>
          <w:ilvl w:val="0"/>
          <w:numId w:val="51"/>
        </w:numPr>
        <w:tabs>
          <w:tab w:val="left" w:pos="360"/>
        </w:tabs>
        <w:jc w:val="left"/>
        <w:rPr>
          <w:iCs/>
          <w:color w:val="000000"/>
        </w:rPr>
      </w:pPr>
      <w:r w:rsidRPr="00F432D0">
        <w:rPr>
          <w:iCs/>
          <w:color w:val="000000"/>
        </w:rPr>
        <w:t>Price per individual unit or multiple units if the net quantity of contents of the product is in terms of count.</w:t>
      </w:r>
    </w:p>
    <w:p w14:paraId="13BAA4CD" w14:textId="77777777" w:rsidR="00251B29" w:rsidRDefault="008561B3" w:rsidP="00251B29">
      <w:pPr>
        <w:numPr>
          <w:ilvl w:val="0"/>
          <w:numId w:val="51"/>
        </w:numPr>
        <w:tabs>
          <w:tab w:val="left" w:pos="360"/>
        </w:tabs>
        <w:jc w:val="left"/>
        <w:rPr>
          <w:iCs/>
          <w:color w:val="000000"/>
        </w:rPr>
      </w:pPr>
      <w:r w:rsidRPr="00F432D0">
        <w:rPr>
          <w:iCs/>
          <w:color w:val="000000"/>
        </w:rPr>
        <w:t xml:space="preserve">Price per square meter, square decimeter, or square centimeter, or price per </w:t>
      </w:r>
      <w:r w:rsidRPr="00F432D0">
        <w:rPr>
          <w:b/>
          <w:bCs/>
          <w:iCs/>
          <w:color w:val="000000"/>
          <w:u w:val="single"/>
        </w:rPr>
        <w:t>100 square feet,</w:t>
      </w:r>
      <w:r w:rsidRPr="00F432D0">
        <w:rPr>
          <w:iCs/>
          <w:color w:val="000000"/>
        </w:rPr>
        <w:t xml:space="preserve"> square yard, square foot, or square inch, if the net quantity of contents of the product is in terms of area.</w:t>
      </w:r>
    </w:p>
    <w:p w14:paraId="4C65DC9F" w14:textId="1FE79E8F" w:rsidR="00251B29" w:rsidRPr="00251B29" w:rsidRDefault="008561B3" w:rsidP="00251B29">
      <w:pPr>
        <w:numPr>
          <w:ilvl w:val="0"/>
          <w:numId w:val="51"/>
        </w:numPr>
        <w:tabs>
          <w:tab w:val="left" w:pos="360"/>
        </w:tabs>
        <w:jc w:val="left"/>
        <w:rPr>
          <w:iCs/>
          <w:color w:val="000000"/>
        </w:rPr>
      </w:pPr>
      <w:r w:rsidRPr="00251B29">
        <w:rPr>
          <w:iCs/>
          <w:color w:val="000000"/>
        </w:rPr>
        <w:t>Price per meter, decimeter, centimeter, or price per yard, foot, 100-feet, or inch if the net quantity of contents of the product is in terms of length.</w:t>
      </w:r>
      <w:r w:rsidR="00251B29" w:rsidRPr="00251B29">
        <w:rPr>
          <w:b/>
          <w:bCs/>
          <w:iCs/>
          <w:color w:val="000000"/>
          <w:szCs w:val="24"/>
          <w:u w:val="single"/>
        </w:rPr>
        <w:t xml:space="preserve"> </w:t>
      </w:r>
    </w:p>
    <w:p w14:paraId="00488F67" w14:textId="77777777" w:rsidR="00251B29" w:rsidRPr="00251B29" w:rsidRDefault="00251B29" w:rsidP="00251B29">
      <w:pPr>
        <w:pStyle w:val="ListParagraph"/>
        <w:numPr>
          <w:ilvl w:val="0"/>
          <w:numId w:val="51"/>
        </w:numPr>
        <w:tabs>
          <w:tab w:val="left" w:pos="360"/>
        </w:tabs>
        <w:spacing w:after="60"/>
        <w:jc w:val="left"/>
        <w:rPr>
          <w:b/>
          <w:bCs/>
          <w:iCs/>
          <w:color w:val="000000"/>
          <w:szCs w:val="24"/>
          <w:u w:val="single"/>
        </w:rPr>
      </w:pPr>
      <w:r w:rsidRPr="00251B29">
        <w:rPr>
          <w:b/>
          <w:bCs/>
          <w:iCs/>
          <w:color w:val="000000"/>
          <w:szCs w:val="24"/>
          <w:u w:val="single"/>
        </w:rPr>
        <w:t>Products such as wine and spirits must be unit priced in metric only in accordance with federal law.</w:t>
      </w:r>
    </w:p>
    <w:p w14:paraId="4E667613" w14:textId="4F986166" w:rsidR="008561B3" w:rsidRPr="00251B29" w:rsidRDefault="00251B29" w:rsidP="00251B29">
      <w:pPr>
        <w:numPr>
          <w:ilvl w:val="0"/>
          <w:numId w:val="51"/>
        </w:numPr>
        <w:tabs>
          <w:tab w:val="left" w:pos="360"/>
        </w:tabs>
        <w:jc w:val="left"/>
        <w:rPr>
          <w:iCs/>
          <w:color w:val="000000"/>
        </w:rPr>
      </w:pPr>
      <w:r>
        <w:rPr>
          <w:b/>
          <w:bCs/>
          <w:iCs/>
          <w:color w:val="000000"/>
          <w:szCs w:val="20"/>
          <w:u w:val="single"/>
        </w:rPr>
        <w:t>Unit pricing based on non-standard or ambiguous measures (e.g., “uses”, “servings”) is prohibited.</w:t>
      </w:r>
    </w:p>
    <w:p w14:paraId="4BCCA93E" w14:textId="77777777" w:rsidR="008561B3" w:rsidRPr="00F432D0" w:rsidRDefault="008561B3" w:rsidP="0076491B">
      <w:pPr>
        <w:numPr>
          <w:ilvl w:val="0"/>
          <w:numId w:val="50"/>
        </w:numPr>
        <w:tabs>
          <w:tab w:val="left" w:pos="360"/>
        </w:tabs>
        <w:ind w:left="1080"/>
        <w:jc w:val="left"/>
        <w:rPr>
          <w:iCs/>
          <w:color w:val="000000"/>
        </w:rPr>
      </w:pPr>
      <w:r w:rsidRPr="00F432D0">
        <w:rPr>
          <w:iCs/>
          <w:color w:val="000000"/>
        </w:rPr>
        <w:t>The following exemptions from unit pricing requirements above are permitted:</w:t>
      </w:r>
    </w:p>
    <w:p w14:paraId="05859069" w14:textId="77777777" w:rsidR="008561B3" w:rsidRPr="00F432D0" w:rsidRDefault="008561B3" w:rsidP="0076491B">
      <w:pPr>
        <w:numPr>
          <w:ilvl w:val="0"/>
          <w:numId w:val="52"/>
        </w:numPr>
        <w:tabs>
          <w:tab w:val="left" w:pos="360"/>
        </w:tabs>
        <w:ind w:left="1440"/>
        <w:jc w:val="left"/>
        <w:rPr>
          <w:iCs/>
          <w:strike/>
          <w:color w:val="000000"/>
        </w:rPr>
      </w:pPr>
      <w:r w:rsidRPr="00F432D0">
        <w:rPr>
          <w:b/>
          <w:bCs/>
          <w:iCs/>
          <w:strike/>
          <w:color w:val="000000"/>
        </w:rPr>
        <w:t>Small Packages.</w:t>
      </w:r>
      <w:r w:rsidRPr="00F432D0">
        <w:rPr>
          <w:iCs/>
          <w:strike/>
          <w:color w:val="000000"/>
        </w:rPr>
        <w:t xml:space="preserve"> – Products shall be exempt from these provisions when packaged in quantities of less than 28 g (1 oz) or 29 mL (1 fl oz) or when the total retail price is 50 cents ($0.50) or less.</w:t>
      </w:r>
    </w:p>
    <w:p w14:paraId="7001BA4C" w14:textId="77777777" w:rsidR="008561B3" w:rsidRPr="00F432D0" w:rsidRDefault="008561B3" w:rsidP="0076491B">
      <w:pPr>
        <w:numPr>
          <w:ilvl w:val="0"/>
          <w:numId w:val="52"/>
        </w:numPr>
        <w:tabs>
          <w:tab w:val="left" w:pos="360"/>
        </w:tabs>
        <w:ind w:left="1440"/>
        <w:jc w:val="left"/>
        <w:rPr>
          <w:iCs/>
          <w:strike/>
          <w:color w:val="000000"/>
        </w:rPr>
      </w:pPr>
      <w:r w:rsidRPr="00F432D0">
        <w:rPr>
          <w:b/>
          <w:bCs/>
          <w:iCs/>
          <w:strike/>
          <w:color w:val="000000"/>
        </w:rPr>
        <w:t>Single Items.</w:t>
      </w:r>
      <w:r w:rsidRPr="00F432D0">
        <w:rPr>
          <w:iCs/>
          <w:strike/>
          <w:color w:val="000000"/>
        </w:rPr>
        <w:t xml:space="preserve"> – Products shall be exempt from these provisions when only one brand in only one size is offered for sale in a particular retail establishment.</w:t>
      </w:r>
    </w:p>
    <w:p w14:paraId="0D54F19E" w14:textId="77777777" w:rsidR="008561B3" w:rsidRPr="00F432D0" w:rsidRDefault="008561B3" w:rsidP="0076491B">
      <w:pPr>
        <w:numPr>
          <w:ilvl w:val="0"/>
          <w:numId w:val="52"/>
        </w:numPr>
        <w:tabs>
          <w:tab w:val="left" w:pos="360"/>
        </w:tabs>
        <w:ind w:left="1440"/>
        <w:jc w:val="left"/>
        <w:rPr>
          <w:iCs/>
          <w:color w:val="000000"/>
        </w:rPr>
      </w:pPr>
      <w:r w:rsidRPr="00F432D0">
        <w:rPr>
          <w:b/>
          <w:bCs/>
          <w:iCs/>
          <w:color w:val="000000"/>
        </w:rPr>
        <w:t>Infant Formula.</w:t>
      </w:r>
      <w:r w:rsidRPr="00F432D0">
        <w:rPr>
          <w:iCs/>
          <w:color w:val="000000"/>
        </w:rPr>
        <w:t xml:space="preserve"> – For “infant formula,” 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0EC6058E" w14:textId="77777777" w:rsidR="008561B3" w:rsidRPr="00F432D0" w:rsidRDefault="008561B3" w:rsidP="0076491B">
      <w:pPr>
        <w:numPr>
          <w:ilvl w:val="0"/>
          <w:numId w:val="52"/>
        </w:numPr>
        <w:tabs>
          <w:tab w:val="left" w:pos="360"/>
        </w:tabs>
        <w:ind w:left="1440"/>
        <w:jc w:val="left"/>
        <w:rPr>
          <w:iCs/>
          <w:color w:val="000000"/>
        </w:rPr>
      </w:pPr>
      <w:r w:rsidRPr="00F432D0">
        <w:rPr>
          <w:b/>
          <w:bCs/>
          <w:iCs/>
          <w:color w:val="000000"/>
        </w:rPr>
        <w:t>Variety and Combination Packages.</w:t>
      </w:r>
      <w:r w:rsidRPr="00F432D0">
        <w:rPr>
          <w:iCs/>
          <w:color w:val="000000"/>
        </w:rPr>
        <w:t xml:space="preserve"> – Variety and Combination Packages as defined in Section 2.9. Combination Package and Section 2.10. Variety Package in the UPLR </w:t>
      </w:r>
      <w:r w:rsidRPr="00F432D0">
        <w:rPr>
          <w:iCs/>
          <w:color w:val="000000"/>
          <w:vertAlign w:val="superscript"/>
        </w:rPr>
        <w:t xml:space="preserve">[see </w:t>
      </w:r>
      <w:r w:rsidRPr="00F432D0">
        <w:rPr>
          <w:b/>
          <w:bCs/>
          <w:iCs/>
          <w:color w:val="000000"/>
          <w:vertAlign w:val="superscript"/>
        </w:rPr>
        <w:t xml:space="preserve">Section 5. </w:t>
      </w:r>
      <w:r w:rsidRPr="00F432D0">
        <w:rPr>
          <w:b/>
          <w:bCs/>
          <w:i/>
          <w:iCs/>
          <w:color w:val="000000"/>
          <w:vertAlign w:val="superscript"/>
        </w:rPr>
        <w:t>NOTE</w:t>
      </w:r>
      <w:r w:rsidRPr="00F432D0">
        <w:rPr>
          <w:iCs/>
          <w:color w:val="000000"/>
          <w:vertAlign w:val="superscript"/>
        </w:rPr>
        <w:t>]</w:t>
      </w:r>
      <w:r w:rsidRPr="00F432D0">
        <w:rPr>
          <w:iCs/>
          <w:color w:val="000000"/>
        </w:rPr>
        <w:t xml:space="preserve"> shall be exempt from these provisions.</w:t>
      </w:r>
    </w:p>
    <w:p w14:paraId="5DCFD32E" w14:textId="77777777" w:rsidR="008561B3" w:rsidRPr="00F432D0" w:rsidRDefault="008561B3" w:rsidP="0076491B">
      <w:pPr>
        <w:numPr>
          <w:ilvl w:val="0"/>
          <w:numId w:val="50"/>
        </w:numPr>
        <w:tabs>
          <w:tab w:val="left" w:pos="360"/>
        </w:tabs>
        <w:ind w:left="1080"/>
        <w:jc w:val="left"/>
        <w:rPr>
          <w:iCs/>
          <w:color w:val="000000"/>
        </w:rPr>
      </w:pPr>
      <w:r w:rsidRPr="00F432D0">
        <w:rPr>
          <w:iCs/>
          <w:color w:val="000000"/>
        </w:rPr>
        <w:t>Unit pricing expressions shall be listed to the nearest cent when it is a dollar or more.  If the unit price is under a dollar, it shall be listed to the tenth of a cent or the whole cent, but both methods cannot be used simultaneously.  The e-commerce site shall be accurate and consistently use the same method of rounding to compute the unit price to the whole cent.</w:t>
      </w:r>
    </w:p>
    <w:p w14:paraId="08E56734" w14:textId="77777777" w:rsidR="008561B3" w:rsidRPr="00F432D0" w:rsidRDefault="008561B3" w:rsidP="0076491B">
      <w:pPr>
        <w:numPr>
          <w:ilvl w:val="0"/>
          <w:numId w:val="50"/>
        </w:numPr>
        <w:tabs>
          <w:tab w:val="left" w:pos="360"/>
        </w:tabs>
        <w:ind w:left="1080"/>
        <w:jc w:val="left"/>
        <w:rPr>
          <w:iCs/>
          <w:color w:val="000000"/>
        </w:rPr>
      </w:pPr>
      <w:r w:rsidRPr="00F432D0">
        <w:rPr>
          <w:iCs/>
          <w:color w:val="000000"/>
        </w:rPr>
        <w:t xml:space="preserve">The unit price information shall be displayed adjacent to the product pricing information. </w:t>
      </w:r>
    </w:p>
    <w:p w14:paraId="63B4E10C" w14:textId="77777777" w:rsidR="008561B3" w:rsidRPr="00F432D0" w:rsidRDefault="008561B3" w:rsidP="005C7F3B">
      <w:pPr>
        <w:tabs>
          <w:tab w:val="left" w:pos="360"/>
        </w:tabs>
        <w:ind w:left="360"/>
        <w:rPr>
          <w:iCs/>
          <w:color w:val="000000"/>
        </w:rPr>
      </w:pPr>
      <w:r w:rsidRPr="00F432D0">
        <w:rPr>
          <w:b/>
          <w:bCs/>
          <w:i/>
          <w:color w:val="000000"/>
        </w:rPr>
        <w:t>Section 5. NOTE</w:t>
      </w:r>
      <w:r w:rsidRPr="00F432D0">
        <w:rPr>
          <w:b/>
          <w:bCs/>
          <w:i/>
          <w:color w:val="000000"/>
          <w:u w:val="single"/>
        </w:rPr>
        <w:t xml:space="preserve"> 1</w:t>
      </w:r>
      <w:r w:rsidRPr="00F432D0">
        <w:rPr>
          <w:b/>
          <w:bCs/>
          <w:i/>
          <w:color w:val="000000"/>
        </w:rPr>
        <w:t>:</w:t>
      </w:r>
      <w:r w:rsidRPr="00F432D0">
        <w:rPr>
          <w:iCs/>
          <w:color w:val="000000"/>
        </w:rPr>
        <w:t xml:space="preserve">  See NIST Handbook 130, Uniform Packaging and Labeling Regulation.</w:t>
      </w:r>
    </w:p>
    <w:p w14:paraId="2D2A7B2D" w14:textId="77777777" w:rsidR="008561B3" w:rsidRPr="00F432D0" w:rsidRDefault="008561B3" w:rsidP="005C7F3B">
      <w:pPr>
        <w:tabs>
          <w:tab w:val="left" w:pos="360"/>
        </w:tabs>
        <w:ind w:left="360"/>
        <w:rPr>
          <w:b/>
          <w:bCs/>
          <w:iCs/>
          <w:color w:val="000000"/>
          <w:u w:val="single"/>
        </w:rPr>
      </w:pPr>
      <w:r w:rsidRPr="00F432D0">
        <w:rPr>
          <w:b/>
          <w:bCs/>
          <w:i/>
          <w:color w:val="000000"/>
          <w:u w:val="single"/>
        </w:rPr>
        <w:t>Section 5</w:t>
      </w:r>
      <w:r w:rsidRPr="00F432D0">
        <w:rPr>
          <w:b/>
          <w:bCs/>
          <w:iCs/>
          <w:color w:val="000000"/>
          <w:u w:val="single"/>
        </w:rPr>
        <w:t xml:space="preserve">. </w:t>
      </w:r>
      <w:r w:rsidRPr="00F432D0">
        <w:rPr>
          <w:b/>
          <w:bCs/>
          <w:i/>
          <w:color w:val="000000"/>
          <w:u w:val="single"/>
        </w:rPr>
        <w:t>NOTE 2</w:t>
      </w:r>
      <w:r w:rsidRPr="00F432D0">
        <w:rPr>
          <w:b/>
          <w:bCs/>
          <w:iCs/>
          <w:color w:val="000000"/>
          <w:u w:val="single"/>
        </w:rPr>
        <w:t>: See NIST Handbook 130 Uniform Unit Price Regulations.</w:t>
      </w:r>
    </w:p>
    <w:p w14:paraId="33103F43" w14:textId="51C443D0" w:rsidR="00840983" w:rsidRDefault="008561B3" w:rsidP="005C7F3B">
      <w:pPr>
        <w:keepNext/>
        <w:ind w:left="360"/>
        <w:rPr>
          <w:b/>
          <w:bCs/>
          <w:iCs/>
          <w:color w:val="000000"/>
          <w:u w:val="single"/>
        </w:rPr>
      </w:pPr>
      <w:r w:rsidRPr="00F432D0">
        <w:rPr>
          <w:b/>
          <w:bCs/>
          <w:iCs/>
          <w:color w:val="000000"/>
          <w:u w:val="single"/>
        </w:rPr>
        <w:lastRenderedPageBreak/>
        <w:t>(Amended 202X)</w:t>
      </w:r>
    </w:p>
    <w:p w14:paraId="5E3CBFD4" w14:textId="6F614067" w:rsidR="005C7F3B" w:rsidRDefault="00825042" w:rsidP="00825042">
      <w:pPr>
        <w:keepNext/>
        <w:rPr>
          <w:iCs/>
          <w:color w:val="000000"/>
          <w:u w:val="single"/>
        </w:rPr>
      </w:pPr>
      <w:r>
        <w:rPr>
          <w:iCs/>
          <w:color w:val="000000"/>
          <w:u w:val="single"/>
        </w:rPr>
        <w:t>…</w:t>
      </w:r>
    </w:p>
    <w:p w14:paraId="0341F581" w14:textId="77777777" w:rsidR="008A3119" w:rsidRPr="000B7F42" w:rsidRDefault="008A3119" w:rsidP="000B7F42">
      <w:pPr>
        <w:ind w:left="360"/>
        <w:rPr>
          <w:b/>
          <w:bCs/>
        </w:rPr>
      </w:pPr>
      <w:bookmarkStart w:id="160" w:name="_Toc178174968"/>
      <w:r w:rsidRPr="000B7F42">
        <w:rPr>
          <w:b/>
          <w:bCs/>
        </w:rPr>
        <w:t>Section 10.  Prominence and Placement of Required Information on E-commerce Sites:  Offering E-commerce Products for Sale</w:t>
      </w:r>
      <w:bookmarkEnd w:id="160"/>
    </w:p>
    <w:p w14:paraId="14741734" w14:textId="77777777" w:rsidR="008A3119" w:rsidRPr="00CF32AE" w:rsidRDefault="008A3119" w:rsidP="000B7F42">
      <w:pPr>
        <w:pStyle w:val="Heading2"/>
        <w:keepNext w:val="0"/>
        <w:keepLines w:val="0"/>
        <w:ind w:left="360" w:firstLine="0"/>
        <w:rPr>
          <w:rFonts w:ascii="Times New Roman" w:hAnsi="Times New Roman"/>
          <w:b/>
          <w:bCs/>
          <w:vanish/>
          <w:sz w:val="20"/>
          <w:szCs w:val="20"/>
          <w:specVanish/>
        </w:rPr>
      </w:pPr>
      <w:bookmarkStart w:id="161" w:name="_Toc178174969"/>
      <w:r w:rsidRPr="00CF32AE">
        <w:rPr>
          <w:rFonts w:ascii="Times New Roman" w:hAnsi="Times New Roman"/>
          <w:b/>
          <w:bCs/>
          <w:sz w:val="20"/>
          <w:szCs w:val="20"/>
        </w:rPr>
        <w:t>10.1. General Requirements.</w:t>
      </w:r>
      <w:bookmarkEnd w:id="161"/>
    </w:p>
    <w:p w14:paraId="44AAE85B" w14:textId="77777777" w:rsidR="008A3119" w:rsidRPr="009C75DF" w:rsidRDefault="008A3119" w:rsidP="000B7F42">
      <w:pPr>
        <w:pStyle w:val="BodyText"/>
        <w:tabs>
          <w:tab w:val="left" w:pos="360"/>
          <w:tab w:val="left" w:pos="540"/>
        </w:tabs>
      </w:pPr>
      <w:r w:rsidRPr="00CF32AE">
        <w:rPr>
          <w:b/>
          <w:bCs/>
          <w:szCs w:val="20"/>
        </w:rPr>
        <w:t xml:space="preserve"> –</w:t>
      </w:r>
      <w:r w:rsidRPr="00CF32AE">
        <w:t xml:space="preserve"> </w:t>
      </w:r>
      <w:r w:rsidRPr="009C75DF">
        <w:t>All information required to appear on the e-commerce site which offers products for sale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p>
    <w:p w14:paraId="6BA0B9F5" w14:textId="77777777" w:rsidR="008A3119" w:rsidRPr="000A2A1F" w:rsidRDefault="008A3119" w:rsidP="008A3119">
      <w:pPr>
        <w:pStyle w:val="BodyText"/>
        <w:tabs>
          <w:tab w:val="left" w:pos="360"/>
          <w:tab w:val="left" w:pos="540"/>
        </w:tabs>
        <w:ind w:left="360"/>
        <w:rPr>
          <w:rStyle w:val="BodyTextChar"/>
          <w:szCs w:val="20"/>
        </w:rPr>
      </w:pPr>
      <w:r w:rsidRPr="000A2A1F">
        <w:rPr>
          <w:rStyle w:val="BodyTextChar"/>
          <w:b/>
          <w:bCs/>
          <w:szCs w:val="20"/>
        </w:rPr>
        <w:t>Location.</w:t>
      </w:r>
      <w:r w:rsidRPr="000A2A1F">
        <w:rPr>
          <w:rStyle w:val="BodyTextChar"/>
          <w:szCs w:val="20"/>
        </w:rPr>
        <w:t xml:space="preserve"> – The </w:t>
      </w:r>
      <w:r w:rsidRPr="00DC133F">
        <w:t>required</w:t>
      </w:r>
      <w:r w:rsidRPr="000A2A1F">
        <w:rPr>
          <w:rStyle w:val="BodyTextChar"/>
          <w:szCs w:val="20"/>
        </w:rPr>
        <w:t xml:space="preserve"> e-commerce site declarations below shall be present in the top 50 % the screen in which the product is offered for sale:</w:t>
      </w:r>
    </w:p>
    <w:p w14:paraId="100AD01D" w14:textId="77777777" w:rsidR="008A3119" w:rsidRPr="009C75DF" w:rsidRDefault="008A3119" w:rsidP="0076491B">
      <w:pPr>
        <w:pStyle w:val="BodyText"/>
        <w:numPr>
          <w:ilvl w:val="0"/>
          <w:numId w:val="53"/>
        </w:numPr>
        <w:tabs>
          <w:tab w:val="left" w:pos="360"/>
        </w:tabs>
        <w:ind w:left="1440"/>
        <w:jc w:val="left"/>
      </w:pPr>
      <w:r w:rsidRPr="009C75DF">
        <w:t>identity;</w:t>
      </w:r>
    </w:p>
    <w:p w14:paraId="09DE8F6D" w14:textId="77777777" w:rsidR="008A3119" w:rsidRPr="009C75DF" w:rsidRDefault="008A3119" w:rsidP="0076491B">
      <w:pPr>
        <w:pStyle w:val="BodyText"/>
        <w:numPr>
          <w:ilvl w:val="0"/>
          <w:numId w:val="53"/>
        </w:numPr>
        <w:tabs>
          <w:tab w:val="left" w:pos="360"/>
        </w:tabs>
        <w:ind w:left="1440"/>
        <w:jc w:val="left"/>
      </w:pPr>
      <w:r w:rsidRPr="009C75DF">
        <w:t xml:space="preserve">net quantity;  </w:t>
      </w:r>
    </w:p>
    <w:p w14:paraId="3A31067D" w14:textId="77777777" w:rsidR="008A3119" w:rsidRPr="009C75DF" w:rsidRDefault="008A3119" w:rsidP="0076491B">
      <w:pPr>
        <w:pStyle w:val="BodyText"/>
        <w:numPr>
          <w:ilvl w:val="0"/>
          <w:numId w:val="53"/>
        </w:numPr>
        <w:tabs>
          <w:tab w:val="left" w:pos="360"/>
        </w:tabs>
        <w:ind w:left="1440"/>
        <w:jc w:val="left"/>
      </w:pPr>
      <w:r w:rsidRPr="009C75DF">
        <w:t xml:space="preserve">product price; </w:t>
      </w:r>
    </w:p>
    <w:p w14:paraId="05D2C49A" w14:textId="77777777" w:rsidR="008A3119" w:rsidRPr="009C75DF" w:rsidRDefault="008A3119" w:rsidP="0076491B">
      <w:pPr>
        <w:pStyle w:val="BodyText"/>
        <w:numPr>
          <w:ilvl w:val="0"/>
          <w:numId w:val="53"/>
        </w:numPr>
        <w:tabs>
          <w:tab w:val="left" w:pos="360"/>
        </w:tabs>
        <w:ind w:left="1440"/>
        <w:jc w:val="left"/>
      </w:pPr>
      <w:r w:rsidRPr="009C75DF">
        <w:t xml:space="preserve">brand or manufacturer name; and </w:t>
      </w:r>
    </w:p>
    <w:p w14:paraId="01CCFD99" w14:textId="77777777" w:rsidR="008A3119" w:rsidRDefault="008A3119" w:rsidP="0076491B">
      <w:pPr>
        <w:pStyle w:val="BodyText"/>
        <w:numPr>
          <w:ilvl w:val="0"/>
          <w:numId w:val="53"/>
        </w:numPr>
        <w:tabs>
          <w:tab w:val="left" w:pos="360"/>
        </w:tabs>
        <w:ind w:left="1440"/>
        <w:jc w:val="left"/>
      </w:pPr>
      <w:r w:rsidRPr="009C75DF">
        <w:t xml:space="preserve">package picture or photographic representation/depiction. </w:t>
      </w:r>
    </w:p>
    <w:p w14:paraId="30298C28" w14:textId="77777777" w:rsidR="008A3119" w:rsidRPr="006D018D" w:rsidRDefault="008A3119" w:rsidP="0076491B">
      <w:pPr>
        <w:pStyle w:val="BodyText"/>
        <w:numPr>
          <w:ilvl w:val="0"/>
          <w:numId w:val="53"/>
        </w:numPr>
        <w:tabs>
          <w:tab w:val="left" w:pos="360"/>
        </w:tabs>
        <w:ind w:left="1440"/>
        <w:jc w:val="left"/>
        <w:rPr>
          <w:b/>
          <w:bCs/>
          <w:u w:val="single"/>
        </w:rPr>
      </w:pPr>
      <w:r w:rsidRPr="006D018D">
        <w:rPr>
          <w:b/>
          <w:bCs/>
          <w:u w:val="single"/>
        </w:rPr>
        <w:t xml:space="preserve">Unit Price </w:t>
      </w:r>
    </w:p>
    <w:p w14:paraId="44F2AF81" w14:textId="77777777" w:rsidR="008A3119" w:rsidRPr="009C75DF" w:rsidRDefault="008A3119" w:rsidP="0076491B">
      <w:pPr>
        <w:pStyle w:val="BodyText"/>
        <w:numPr>
          <w:ilvl w:val="0"/>
          <w:numId w:val="54"/>
        </w:numPr>
        <w:tabs>
          <w:tab w:val="left" w:pos="360"/>
        </w:tabs>
        <w:ind w:left="1080"/>
        <w:jc w:val="left"/>
      </w:pPr>
      <w:r w:rsidRPr="000A2A1F">
        <w:rPr>
          <w:b/>
          <w:bCs/>
        </w:rPr>
        <w:t>Style of Type or Lettering</w:t>
      </w:r>
      <w:r>
        <w:rPr>
          <w:b/>
          <w:bCs/>
        </w:rPr>
        <w:t>.</w:t>
      </w:r>
      <w:r w:rsidRPr="009C75DF">
        <w:t xml:space="preserve"> – The required e-commerce site declarations shall be in such a style of type or lettering as to be boldly, clearly, and conspicuously presented with respect to other type, lettering, or graphic material on the screen.  </w:t>
      </w:r>
    </w:p>
    <w:p w14:paraId="72504BD1" w14:textId="77777777" w:rsidR="008A3119" w:rsidRDefault="008A3119" w:rsidP="0076491B">
      <w:pPr>
        <w:pStyle w:val="BodyText"/>
        <w:keepNext/>
        <w:numPr>
          <w:ilvl w:val="0"/>
          <w:numId w:val="54"/>
        </w:numPr>
        <w:tabs>
          <w:tab w:val="left" w:pos="360"/>
        </w:tabs>
        <w:ind w:left="1080"/>
        <w:jc w:val="left"/>
      </w:pPr>
      <w:r w:rsidRPr="008A3119">
        <w:rPr>
          <w:b/>
          <w:bCs/>
        </w:rPr>
        <w:t>Color Contrast.</w:t>
      </w:r>
      <w:r w:rsidRPr="009C75DF">
        <w:t xml:space="preserve"> – The required e-commerce site declarations shall be in a color that contrasts conspicuously with its background. </w:t>
      </w:r>
    </w:p>
    <w:p w14:paraId="697F885D" w14:textId="0ABCAB0D" w:rsidR="00825042" w:rsidRDefault="008A3119" w:rsidP="0076491B">
      <w:pPr>
        <w:pStyle w:val="BodyText"/>
        <w:keepNext/>
        <w:numPr>
          <w:ilvl w:val="0"/>
          <w:numId w:val="54"/>
        </w:numPr>
        <w:tabs>
          <w:tab w:val="left" w:pos="360"/>
        </w:tabs>
        <w:ind w:left="1080"/>
        <w:jc w:val="left"/>
      </w:pPr>
      <w:r w:rsidRPr="008A3119">
        <w:rPr>
          <w:b/>
          <w:bCs/>
        </w:rPr>
        <w:t>Package Picture or Photographic Representation.</w:t>
      </w:r>
      <w:r w:rsidRPr="009C75DF">
        <w:t xml:space="preserve"> – The product picture or photographic depiction shall be in the actual colors of the package or product.  Slight variations in color shading are acceptable</w:t>
      </w:r>
      <w:r w:rsidR="00DB1DA9">
        <w:t>.</w:t>
      </w:r>
    </w:p>
    <w:p w14:paraId="363261D1" w14:textId="5B035A82" w:rsidR="008A3119" w:rsidRPr="00825042" w:rsidRDefault="00805B21" w:rsidP="008A3119">
      <w:pPr>
        <w:pStyle w:val="BodyText"/>
        <w:keepNext/>
        <w:tabs>
          <w:tab w:val="left" w:pos="360"/>
        </w:tabs>
        <w:ind w:left="360"/>
        <w:jc w:val="left"/>
      </w:pPr>
      <w:r>
        <w:rPr>
          <w:b/>
          <w:bCs/>
        </w:rPr>
        <w:t>(Amended 20XX)</w:t>
      </w:r>
    </w:p>
    <w:p w14:paraId="71A76F49" w14:textId="18465C5B" w:rsidR="00DB197E" w:rsidRDefault="00DB197E" w:rsidP="00DB197E">
      <w:pPr>
        <w:keepNext/>
        <w:spacing w:after="0"/>
      </w:pPr>
      <w:r w:rsidRPr="00E025F9">
        <w:rPr>
          <w:b/>
        </w:rPr>
        <w:t xml:space="preserve">Previous </w:t>
      </w:r>
      <w:r>
        <w:rPr>
          <w:b/>
        </w:rPr>
        <w:t>Status</w:t>
      </w:r>
      <w:r w:rsidRPr="00E025F9">
        <w:rPr>
          <w:b/>
        </w:rPr>
        <w:t>:</w:t>
      </w:r>
    </w:p>
    <w:p w14:paraId="71E816B3" w14:textId="417F4919" w:rsidR="00DB197E" w:rsidRDefault="00C0358E" w:rsidP="00C0358E">
      <w:r>
        <w:t>New Proposal</w:t>
      </w:r>
    </w:p>
    <w:p w14:paraId="6FBBCC5B" w14:textId="77777777" w:rsidR="00DB197E" w:rsidRPr="00AB010B" w:rsidRDefault="00DB197E" w:rsidP="00DB197E">
      <w:pPr>
        <w:keepNext/>
        <w:spacing w:after="0"/>
        <w:rPr>
          <w:b/>
        </w:rPr>
      </w:pPr>
      <w:r w:rsidRPr="00AB010B">
        <w:rPr>
          <w:b/>
        </w:rPr>
        <w:t>Original Justification:</w:t>
      </w:r>
    </w:p>
    <w:p w14:paraId="129BBEAA" w14:textId="0E119C54" w:rsidR="00DB197E" w:rsidRPr="000978F5" w:rsidRDefault="00DB1DA9" w:rsidP="000978F5">
      <w:r w:rsidRPr="000978F5">
        <w:t>Including unit pricing on e-commerce websites is justified because it</w:t>
      </w:r>
      <w:r w:rsidR="000F7957" w:rsidRPr="000978F5">
        <w:t xml:space="preserve"> </w:t>
      </w:r>
      <w:r w:rsidRPr="000978F5">
        <w:t>directly addresses the common challenge consumers face in comparing product value across varying package sizes and brands. Without a standardized cost per unit, shoppers may unintentionally overpay or overlook better-value options. Unit pricing eliminates ambiguity, enabling data-driven purchasing decisions that can lead to increased customer satisfaction and stronger brand loyalty. Additionally, many consumer advocacy groups and regulatory bodies promote or mandate unit pricing as a best practice, meaning its adoption can help ensure legal compliance while signaling a retailer’s commitment to transparency and fairness in pricing.</w:t>
      </w:r>
    </w:p>
    <w:p w14:paraId="1DABE616" w14:textId="3219EDFC" w:rsidR="00531B2B" w:rsidRPr="000978F5" w:rsidRDefault="00531B2B" w:rsidP="000978F5">
      <w:r w:rsidRPr="000978F5">
        <w:lastRenderedPageBreak/>
        <w:t xml:space="preserve">The submitter acknowledged that </w:t>
      </w:r>
      <w:r w:rsidR="00195193" w:rsidRPr="000978F5">
        <w:t>integrating</w:t>
      </w:r>
      <w:r w:rsidR="00CD48DE" w:rsidRPr="000978F5">
        <w:t xml:space="preserve"> accurate unit pricing can be complex, especially across thousands of products with varying packaging sizes and units. Ensuring consistency and correctness may require significant technical investment, increasing retailers' operational costs.</w:t>
      </w:r>
    </w:p>
    <w:p w14:paraId="6D15B4FC" w14:textId="05FC2E5F" w:rsidR="000F7957" w:rsidRPr="003B4520" w:rsidRDefault="000F7957" w:rsidP="000978F5">
      <w:r w:rsidRPr="000978F5">
        <w:t>The submitter requested Voting status in 2026</w:t>
      </w:r>
      <w:r w:rsidR="001F4B9D" w:rsidRPr="000978F5">
        <w:t>.</w:t>
      </w:r>
    </w:p>
    <w:p w14:paraId="7BEE401E" w14:textId="77777777" w:rsidR="00DB197E" w:rsidRPr="002A7C3B" w:rsidRDefault="00DB197E" w:rsidP="00DB197E">
      <w:pPr>
        <w:keepNext/>
        <w:rPr>
          <w:b/>
        </w:rPr>
      </w:pPr>
      <w:r>
        <w:rPr>
          <w:b/>
        </w:rPr>
        <w:t>Comments</w:t>
      </w:r>
      <w:r w:rsidRPr="002A7C3B">
        <w:rPr>
          <w:b/>
        </w:rPr>
        <w:t xml:space="preserve"> in Favor:</w:t>
      </w:r>
    </w:p>
    <w:p w14:paraId="7E1EC039" w14:textId="4FB8CE51" w:rsidR="00DB197E" w:rsidRPr="002A7C3B" w:rsidRDefault="0042639E" w:rsidP="00DB197E">
      <w:pPr>
        <w:keepNext/>
        <w:spacing w:after="0"/>
        <w:ind w:left="720"/>
        <w:rPr>
          <w:b/>
        </w:rPr>
      </w:pPr>
      <w:r>
        <w:rPr>
          <w:b/>
        </w:rPr>
        <w:t>Weights and Measures Officials</w:t>
      </w:r>
      <w:r w:rsidR="00DB197E" w:rsidRPr="002A7C3B">
        <w:rPr>
          <w:b/>
        </w:rPr>
        <w:t>:</w:t>
      </w:r>
    </w:p>
    <w:p w14:paraId="7CC13853" w14:textId="7D25F671" w:rsidR="00DB197E" w:rsidRPr="002A7C3B" w:rsidRDefault="00624DB9" w:rsidP="00DB197E">
      <w:pPr>
        <w:pStyle w:val="ListParagraph"/>
        <w:numPr>
          <w:ilvl w:val="0"/>
          <w:numId w:val="26"/>
        </w:numPr>
        <w:spacing w:after="0" w:line="259" w:lineRule="auto"/>
        <w:contextualSpacing/>
        <w:jc w:val="left"/>
      </w:pPr>
      <w:r>
        <w:t xml:space="preserve">Two </w:t>
      </w:r>
      <w:r w:rsidR="001B29F9" w:rsidRPr="00FD3A16">
        <w:t>w</w:t>
      </w:r>
      <w:r w:rsidRPr="001B29F9">
        <w:t xml:space="preserve">eights and </w:t>
      </w:r>
      <w:r w:rsidR="001B29F9" w:rsidRPr="00FD3A16">
        <w:t>m</w:t>
      </w:r>
      <w:r w:rsidRPr="001B29F9">
        <w:t xml:space="preserve">easures </w:t>
      </w:r>
      <w:r w:rsidR="00717B6E" w:rsidRPr="001B29F9">
        <w:t>officials</w:t>
      </w:r>
      <w:r>
        <w:t xml:space="preserve"> </w:t>
      </w:r>
      <w:r w:rsidR="00E64565">
        <w:t>recommended</w:t>
      </w:r>
      <w:r w:rsidR="00C15922">
        <w:t xml:space="preserve"> putting it forward as Voting</w:t>
      </w:r>
      <w:r w:rsidR="00E64565">
        <w:t>.</w:t>
      </w:r>
    </w:p>
    <w:p w14:paraId="1B9ABE77" w14:textId="77777777" w:rsidR="00DB197E" w:rsidRPr="002A7C3B" w:rsidRDefault="00DB197E" w:rsidP="00DB197E">
      <w:pPr>
        <w:spacing w:before="240" w:after="0"/>
        <w:ind w:left="720"/>
        <w:rPr>
          <w:b/>
        </w:rPr>
      </w:pPr>
      <w:r w:rsidRPr="002A7C3B">
        <w:rPr>
          <w:b/>
        </w:rPr>
        <w:t>Industry:</w:t>
      </w:r>
    </w:p>
    <w:p w14:paraId="1A89ADE1" w14:textId="064F0DD4" w:rsidR="00DB197E" w:rsidRPr="002A7C3B" w:rsidRDefault="00E64565" w:rsidP="00DB197E">
      <w:pPr>
        <w:pStyle w:val="ListParagraph"/>
        <w:numPr>
          <w:ilvl w:val="0"/>
          <w:numId w:val="26"/>
        </w:numPr>
        <w:spacing w:after="0" w:line="259" w:lineRule="auto"/>
        <w:contextualSpacing/>
        <w:jc w:val="left"/>
      </w:pPr>
      <w:r>
        <w:t>None</w:t>
      </w:r>
    </w:p>
    <w:p w14:paraId="2EE051A1" w14:textId="77777777" w:rsidR="00DB197E" w:rsidRPr="002A7C3B" w:rsidRDefault="00DB197E" w:rsidP="00DB197E">
      <w:pPr>
        <w:spacing w:before="240" w:after="0"/>
        <w:ind w:left="720"/>
        <w:rPr>
          <w:b/>
        </w:rPr>
      </w:pPr>
      <w:r w:rsidRPr="002A7C3B">
        <w:rPr>
          <w:b/>
        </w:rPr>
        <w:t>Advisory:</w:t>
      </w:r>
    </w:p>
    <w:p w14:paraId="6EA84C80" w14:textId="2DD363C7" w:rsidR="00DB197E" w:rsidRPr="002A7C3B" w:rsidRDefault="00E64565" w:rsidP="00DB197E">
      <w:pPr>
        <w:pStyle w:val="ListParagraph"/>
        <w:numPr>
          <w:ilvl w:val="0"/>
          <w:numId w:val="26"/>
        </w:numPr>
        <w:spacing w:after="0" w:line="259" w:lineRule="auto"/>
        <w:contextualSpacing/>
        <w:jc w:val="left"/>
      </w:pPr>
      <w:r>
        <w:t xml:space="preserve">The </w:t>
      </w:r>
      <w:r w:rsidR="00E643F0">
        <w:t>r</w:t>
      </w:r>
      <w:r>
        <w:t xml:space="preserve">epresentative of  NIST OWM recommended </w:t>
      </w:r>
      <w:r w:rsidR="00C15922">
        <w:t>putting it forward as Voting</w:t>
      </w:r>
      <w:r>
        <w:t>.</w:t>
      </w:r>
    </w:p>
    <w:p w14:paraId="498BC17C" w14:textId="77777777" w:rsidR="00DB197E" w:rsidRPr="002A7C3B" w:rsidRDefault="00DB197E" w:rsidP="00DB197E">
      <w:pPr>
        <w:spacing w:before="240"/>
        <w:rPr>
          <w:b/>
        </w:rPr>
      </w:pPr>
      <w:r>
        <w:rPr>
          <w:b/>
        </w:rPr>
        <w:t>Comments</w:t>
      </w:r>
      <w:r w:rsidRPr="002A7C3B">
        <w:rPr>
          <w:b/>
        </w:rPr>
        <w:t xml:space="preserve"> Against:</w:t>
      </w:r>
    </w:p>
    <w:p w14:paraId="118A9CF9" w14:textId="62A68C59" w:rsidR="00DB197E" w:rsidRPr="002A7C3B" w:rsidRDefault="0042639E" w:rsidP="00DB197E">
      <w:pPr>
        <w:spacing w:after="0"/>
        <w:ind w:left="720"/>
        <w:rPr>
          <w:b/>
        </w:rPr>
      </w:pPr>
      <w:r>
        <w:rPr>
          <w:b/>
        </w:rPr>
        <w:t>Weights and Measures Officials</w:t>
      </w:r>
      <w:r w:rsidR="00DB197E" w:rsidRPr="002A7C3B">
        <w:rPr>
          <w:b/>
        </w:rPr>
        <w:t>:</w:t>
      </w:r>
    </w:p>
    <w:p w14:paraId="0DB4B7A7" w14:textId="635A64F6" w:rsidR="00DB197E" w:rsidRPr="002A7C3B" w:rsidRDefault="00654FB0" w:rsidP="00DB197E">
      <w:pPr>
        <w:pStyle w:val="ListParagraph"/>
        <w:numPr>
          <w:ilvl w:val="0"/>
          <w:numId w:val="27"/>
        </w:numPr>
        <w:spacing w:after="0" w:line="259" w:lineRule="auto"/>
        <w:contextualSpacing/>
        <w:jc w:val="left"/>
      </w:pPr>
      <w:r>
        <w:t>None</w:t>
      </w:r>
    </w:p>
    <w:p w14:paraId="68F6482C" w14:textId="77777777" w:rsidR="00DB197E" w:rsidRPr="002A7C3B" w:rsidRDefault="00DB197E" w:rsidP="00DB197E">
      <w:pPr>
        <w:spacing w:before="240" w:after="0"/>
        <w:ind w:left="720"/>
        <w:rPr>
          <w:b/>
        </w:rPr>
      </w:pPr>
      <w:r w:rsidRPr="002A7C3B">
        <w:rPr>
          <w:b/>
        </w:rPr>
        <w:t>Industry:</w:t>
      </w:r>
    </w:p>
    <w:p w14:paraId="4B3BBD44" w14:textId="64AA760F" w:rsidR="00DB197E" w:rsidRPr="002A7C3B" w:rsidRDefault="00654FB0" w:rsidP="00DB197E">
      <w:pPr>
        <w:pStyle w:val="ListParagraph"/>
        <w:numPr>
          <w:ilvl w:val="0"/>
          <w:numId w:val="27"/>
        </w:numPr>
        <w:spacing w:after="0" w:line="259" w:lineRule="auto"/>
        <w:contextualSpacing/>
        <w:jc w:val="left"/>
      </w:pPr>
      <w:r>
        <w:t>None</w:t>
      </w:r>
    </w:p>
    <w:p w14:paraId="4DD8A827" w14:textId="77777777" w:rsidR="00DB197E" w:rsidRPr="00AC5B86" w:rsidRDefault="00DB197E" w:rsidP="00DB197E">
      <w:pPr>
        <w:spacing w:before="240" w:after="0"/>
        <w:ind w:left="720"/>
        <w:rPr>
          <w:b/>
        </w:rPr>
      </w:pPr>
      <w:r w:rsidRPr="002A7C3B">
        <w:rPr>
          <w:b/>
        </w:rPr>
        <w:t>Advisory:</w:t>
      </w:r>
    </w:p>
    <w:p w14:paraId="0BB7C0D4" w14:textId="613CB3EC" w:rsidR="00DB197E" w:rsidRDefault="00654FB0" w:rsidP="00DB197E">
      <w:pPr>
        <w:pStyle w:val="ListParagraph"/>
        <w:numPr>
          <w:ilvl w:val="0"/>
          <w:numId w:val="27"/>
        </w:numPr>
        <w:spacing w:after="0" w:line="259" w:lineRule="auto"/>
        <w:contextualSpacing/>
        <w:jc w:val="left"/>
      </w:pPr>
      <w:r>
        <w:t>None</w:t>
      </w:r>
    </w:p>
    <w:p w14:paraId="236D44A2" w14:textId="77777777" w:rsidR="00DB197E" w:rsidRPr="002A7C3B" w:rsidRDefault="00DB197E" w:rsidP="00DB197E">
      <w:pPr>
        <w:spacing w:before="240"/>
        <w:rPr>
          <w:b/>
        </w:rPr>
      </w:pPr>
      <w:r>
        <w:rPr>
          <w:b/>
        </w:rPr>
        <w:t>Neutral Comments</w:t>
      </w:r>
      <w:r w:rsidRPr="002A7C3B">
        <w:rPr>
          <w:b/>
        </w:rPr>
        <w:t>:</w:t>
      </w:r>
    </w:p>
    <w:p w14:paraId="31EEB67F" w14:textId="2A631DDB" w:rsidR="00DB197E" w:rsidRPr="002A7C3B" w:rsidRDefault="0042639E" w:rsidP="00DB197E">
      <w:pPr>
        <w:spacing w:after="0"/>
        <w:ind w:left="720"/>
        <w:rPr>
          <w:b/>
        </w:rPr>
      </w:pPr>
      <w:r>
        <w:rPr>
          <w:b/>
        </w:rPr>
        <w:t>Weights and Measures Officials</w:t>
      </w:r>
      <w:r w:rsidR="00DB197E" w:rsidRPr="002A7C3B">
        <w:rPr>
          <w:b/>
        </w:rPr>
        <w:t>:</w:t>
      </w:r>
    </w:p>
    <w:p w14:paraId="2DDBF018" w14:textId="5D66C2FE" w:rsidR="00DB197E" w:rsidRPr="002A7C3B" w:rsidRDefault="00654FB0" w:rsidP="00DB197E">
      <w:pPr>
        <w:pStyle w:val="ListParagraph"/>
        <w:numPr>
          <w:ilvl w:val="0"/>
          <w:numId w:val="27"/>
        </w:numPr>
        <w:spacing w:after="0" w:line="259" w:lineRule="auto"/>
        <w:contextualSpacing/>
        <w:jc w:val="left"/>
      </w:pPr>
      <w:r>
        <w:t>None</w:t>
      </w:r>
    </w:p>
    <w:p w14:paraId="699686E8" w14:textId="77777777" w:rsidR="00DB197E" w:rsidRPr="002A7C3B" w:rsidRDefault="00DB197E" w:rsidP="00F10657">
      <w:pPr>
        <w:keepNext/>
        <w:keepLines/>
        <w:spacing w:before="240" w:after="0"/>
        <w:ind w:left="720"/>
        <w:rPr>
          <w:b/>
        </w:rPr>
      </w:pPr>
      <w:r w:rsidRPr="002A7C3B">
        <w:rPr>
          <w:b/>
        </w:rPr>
        <w:t>Industry:</w:t>
      </w:r>
    </w:p>
    <w:p w14:paraId="4EC26957" w14:textId="124D7F30" w:rsidR="00DB197E" w:rsidRPr="002A7C3B" w:rsidRDefault="00654FB0" w:rsidP="00F10657">
      <w:pPr>
        <w:pStyle w:val="ListParagraph"/>
        <w:keepNext/>
        <w:keepLines/>
        <w:numPr>
          <w:ilvl w:val="0"/>
          <w:numId w:val="27"/>
        </w:numPr>
        <w:spacing w:after="0" w:line="259" w:lineRule="auto"/>
        <w:contextualSpacing/>
        <w:jc w:val="left"/>
      </w:pPr>
      <w:r>
        <w:t>None</w:t>
      </w:r>
    </w:p>
    <w:p w14:paraId="13502080" w14:textId="77777777" w:rsidR="00DB197E" w:rsidRPr="002A7C3B" w:rsidRDefault="00DB197E" w:rsidP="00DB197E">
      <w:pPr>
        <w:spacing w:before="240" w:after="0"/>
        <w:ind w:left="720"/>
        <w:rPr>
          <w:b/>
        </w:rPr>
      </w:pPr>
      <w:r w:rsidRPr="002A7C3B">
        <w:rPr>
          <w:b/>
        </w:rPr>
        <w:t>Advisory:</w:t>
      </w:r>
    </w:p>
    <w:p w14:paraId="03FB8594" w14:textId="22EE20ED" w:rsidR="00DB197E" w:rsidRDefault="00654FB0" w:rsidP="00DB197E">
      <w:pPr>
        <w:pStyle w:val="ListParagraph"/>
        <w:numPr>
          <w:ilvl w:val="0"/>
          <w:numId w:val="27"/>
        </w:numPr>
        <w:spacing w:after="0" w:line="259" w:lineRule="auto"/>
        <w:contextualSpacing/>
        <w:jc w:val="left"/>
      </w:pPr>
      <w:r>
        <w:t>None</w:t>
      </w:r>
    </w:p>
    <w:p w14:paraId="63401F48" w14:textId="77777777" w:rsidR="00DB197E" w:rsidRPr="00E025F9" w:rsidRDefault="00DB197E" w:rsidP="00DB197E">
      <w:pPr>
        <w:spacing w:before="240" w:after="0"/>
        <w:rPr>
          <w:b/>
        </w:rPr>
      </w:pPr>
      <w:r w:rsidRPr="002A7C3B">
        <w:rPr>
          <w:b/>
        </w:rPr>
        <w:t>Item Develop</w:t>
      </w:r>
      <w:r w:rsidRPr="00E025F9">
        <w:rPr>
          <w:b/>
        </w:rPr>
        <w:t>ment:</w:t>
      </w:r>
    </w:p>
    <w:p w14:paraId="2DFD06EB" w14:textId="0A3496F2" w:rsidR="00DB197E" w:rsidRDefault="001F4B9D" w:rsidP="00DB197E">
      <w:r>
        <w:t>New Proposal</w:t>
      </w:r>
      <w:r w:rsidR="005F2F22">
        <w:t xml:space="preserve"> 2026</w:t>
      </w:r>
    </w:p>
    <w:p w14:paraId="1793797E" w14:textId="7DA4CB93" w:rsidR="00251B29" w:rsidRDefault="005F2F22" w:rsidP="006158B6">
      <w:pPr>
        <w:tabs>
          <w:tab w:val="left" w:pos="360"/>
        </w:tabs>
        <w:spacing w:after="60"/>
        <w:jc w:val="left"/>
        <w:rPr>
          <w:szCs w:val="20"/>
        </w:rPr>
      </w:pPr>
      <w:r w:rsidRPr="006158B6">
        <w:rPr>
          <w:szCs w:val="20"/>
          <w:u w:val="single"/>
        </w:rPr>
        <w:t>NCWM 2026 Interim:</w:t>
      </w:r>
      <w:r w:rsidR="001F33AC" w:rsidRPr="006158B6">
        <w:rPr>
          <w:szCs w:val="20"/>
          <w:u w:val="single"/>
        </w:rPr>
        <w:t xml:space="preserve"> </w:t>
      </w:r>
      <w:r w:rsidR="001F33AC" w:rsidRPr="006158B6">
        <w:rPr>
          <w:szCs w:val="20"/>
        </w:rPr>
        <w:t>The Committee assigned Voting status to this item as it is fully developed and ready for a vote.</w:t>
      </w:r>
      <w:r w:rsidR="00251B29" w:rsidRPr="006158B6">
        <w:rPr>
          <w:szCs w:val="20"/>
        </w:rPr>
        <w:t xml:space="preserve">  The Committee amended the item to align with the language in the</w:t>
      </w:r>
      <w:r w:rsidR="007E1BB2">
        <w:rPr>
          <w:szCs w:val="20"/>
        </w:rPr>
        <w:t xml:space="preserve"> Uniform Pricing Regulation</w:t>
      </w:r>
      <w:r w:rsidR="001965C5">
        <w:rPr>
          <w:szCs w:val="20"/>
        </w:rPr>
        <w:t>s</w:t>
      </w:r>
      <w:r w:rsidR="00251B29" w:rsidRPr="006158B6">
        <w:rPr>
          <w:szCs w:val="20"/>
        </w:rPr>
        <w:t xml:space="preserve"> by adding </w:t>
      </w:r>
      <w:r w:rsidR="00B4544D">
        <w:rPr>
          <w:szCs w:val="20"/>
        </w:rPr>
        <w:t xml:space="preserve">numerals </w:t>
      </w:r>
      <w:r w:rsidR="00C7655E">
        <w:rPr>
          <w:szCs w:val="20"/>
        </w:rPr>
        <w:t xml:space="preserve">(7) and (8) </w:t>
      </w:r>
      <w:r w:rsidR="007E5497">
        <w:rPr>
          <w:szCs w:val="20"/>
        </w:rPr>
        <w:t xml:space="preserve">to section 5.2.(a) with </w:t>
      </w:r>
      <w:r w:rsidR="00251B29" w:rsidRPr="006158B6">
        <w:rPr>
          <w:szCs w:val="20"/>
        </w:rPr>
        <w:t xml:space="preserve">the following language:  </w:t>
      </w:r>
    </w:p>
    <w:p w14:paraId="1C1200E4" w14:textId="77777777" w:rsidR="00FD3D3C" w:rsidRPr="006158B6" w:rsidRDefault="00FD3D3C" w:rsidP="00346B96">
      <w:pPr>
        <w:suppressLineNumbers/>
        <w:tabs>
          <w:tab w:val="left" w:pos="360"/>
        </w:tabs>
        <w:spacing w:after="60"/>
        <w:jc w:val="left"/>
        <w:rPr>
          <w:szCs w:val="20"/>
        </w:rPr>
      </w:pPr>
    </w:p>
    <w:p w14:paraId="388A3465" w14:textId="1634F2B2" w:rsidR="00251B29" w:rsidRPr="006158B6" w:rsidRDefault="00A32AF8" w:rsidP="006158B6">
      <w:pPr>
        <w:tabs>
          <w:tab w:val="left" w:pos="360"/>
        </w:tabs>
        <w:spacing w:after="60"/>
        <w:jc w:val="left"/>
        <w:rPr>
          <w:iCs/>
          <w:color w:val="000000"/>
          <w:szCs w:val="24"/>
        </w:rPr>
      </w:pPr>
      <w:r>
        <w:rPr>
          <w:iCs/>
          <w:color w:val="000000"/>
          <w:szCs w:val="24"/>
        </w:rPr>
        <w:t>(7)</w:t>
      </w:r>
      <w:r w:rsidR="00FD3D3C">
        <w:rPr>
          <w:iCs/>
          <w:color w:val="000000"/>
          <w:szCs w:val="24"/>
        </w:rPr>
        <w:tab/>
      </w:r>
      <w:r w:rsidR="00251B29" w:rsidRPr="006158B6">
        <w:rPr>
          <w:iCs/>
          <w:color w:val="000000"/>
          <w:szCs w:val="24"/>
        </w:rPr>
        <w:t xml:space="preserve">“Products such as wine and spirits must be unit priced in metric only in accordance with federal law.” </w:t>
      </w:r>
    </w:p>
    <w:p w14:paraId="2464E86F" w14:textId="03C54676" w:rsidR="005F2F22" w:rsidRPr="00251B29" w:rsidRDefault="00A32AF8" w:rsidP="006158B6">
      <w:pPr>
        <w:tabs>
          <w:tab w:val="left" w:pos="360"/>
        </w:tabs>
        <w:jc w:val="left"/>
        <w:rPr>
          <w:iCs/>
          <w:color w:val="000000"/>
        </w:rPr>
      </w:pPr>
      <w:r>
        <w:rPr>
          <w:iCs/>
          <w:color w:val="000000"/>
          <w:szCs w:val="20"/>
        </w:rPr>
        <w:t>(8)</w:t>
      </w:r>
      <w:r w:rsidR="00FD3D3C">
        <w:rPr>
          <w:iCs/>
          <w:color w:val="000000"/>
          <w:szCs w:val="20"/>
        </w:rPr>
        <w:tab/>
      </w:r>
      <w:r w:rsidR="00251B29">
        <w:rPr>
          <w:iCs/>
          <w:color w:val="000000"/>
          <w:szCs w:val="20"/>
        </w:rPr>
        <w:t>“</w:t>
      </w:r>
      <w:r w:rsidR="00251B29" w:rsidRPr="00251B29">
        <w:rPr>
          <w:iCs/>
          <w:color w:val="000000"/>
          <w:szCs w:val="20"/>
        </w:rPr>
        <w:t>Unit pricing based on non-standard or ambiguous measures (e.g., “uses”, “servings”) is prohibited.</w:t>
      </w:r>
      <w:r w:rsidR="00251B29">
        <w:rPr>
          <w:iCs/>
          <w:color w:val="000000"/>
          <w:szCs w:val="20"/>
        </w:rPr>
        <w:t>”</w:t>
      </w:r>
    </w:p>
    <w:p w14:paraId="2D9C1835" w14:textId="30E7E75F" w:rsidR="008277B9" w:rsidRPr="0058574D" w:rsidRDefault="00DB197E" w:rsidP="0058574D">
      <w:pPr>
        <w:spacing w:after="0"/>
        <w:rPr>
          <w:b/>
        </w:rPr>
      </w:pPr>
      <w:r w:rsidRPr="00E025F9">
        <w:rPr>
          <w:b/>
        </w:rPr>
        <w:t>Regional Associations’ Comments:</w:t>
      </w:r>
      <w:bookmarkEnd w:id="153"/>
    </w:p>
    <w:p w14:paraId="4E91AFD8" w14:textId="1D53A98C" w:rsidR="00B55C17" w:rsidRDefault="00A43044" w:rsidP="007B2872">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6155584" w14:textId="39309D3B" w:rsidR="009720F2" w:rsidRPr="00A43BF4" w:rsidRDefault="009720F2" w:rsidP="007B2872">
      <w:pPr>
        <w:rPr>
          <w:rFonts w:eastAsia="Times New Roman"/>
          <w:szCs w:val="24"/>
        </w:rPr>
      </w:pPr>
      <w:r>
        <w:rPr>
          <w:rFonts w:eastAsia="Times New Roman"/>
          <w:szCs w:val="24"/>
        </w:rPr>
        <w:lastRenderedPageBreak/>
        <w:t xml:space="preserve">Mr. Kurt Floren (County of Los Angeles, California) made a statement recognizing that this item for unit pricing in e-commerce is being considered for adoption while unit pricing for physical retail locations is not uniformly adopted; however, there is a difference in the ease of making sufficient and adequate cost comparisons in-person as opposed to online. For that reason, he supports the item. </w:t>
      </w:r>
    </w:p>
    <w:p w14:paraId="7F38B9BE" w14:textId="4A16BC3B" w:rsidR="009720F2" w:rsidRDefault="009720F2" w:rsidP="007B2872">
      <w:pPr>
        <w:rPr>
          <w:rFonts w:eastAsia="Times New Roman"/>
          <w:szCs w:val="24"/>
        </w:rPr>
      </w:pPr>
      <w:r>
        <w:rPr>
          <w:rFonts w:eastAsia="Times New Roman"/>
          <w:szCs w:val="24"/>
        </w:rPr>
        <w:t xml:space="preserve">Mr. Jose Arriaga (County of Orange, California), </w:t>
      </w:r>
      <w:r w:rsidRPr="00E20652">
        <w:rPr>
          <w:rFonts w:eastAsia="Times New Roman"/>
          <w:szCs w:val="24"/>
        </w:rPr>
        <w:t>Mr. Aaron Yanker (Colorado Department of Agriculture, Weights and Measures)</w:t>
      </w:r>
      <w:r>
        <w:rPr>
          <w:rFonts w:eastAsia="Times New Roman"/>
          <w:szCs w:val="24"/>
        </w:rPr>
        <w:t>, and Mr. Matt Douglas (California Division of Measurement Standards) all joined in supporting the item for voting status.</w:t>
      </w:r>
    </w:p>
    <w:p w14:paraId="4C6307C4" w14:textId="470E9C3B" w:rsidR="00A43044" w:rsidRPr="00A43BF4" w:rsidRDefault="009720F2" w:rsidP="007B2872">
      <w:pPr>
        <w:rPr>
          <w:rFonts w:eastAsia="Times New Roman"/>
          <w:szCs w:val="24"/>
        </w:rPr>
      </w:pPr>
      <w:r>
        <w:rPr>
          <w:rFonts w:eastAsia="Times New Roman"/>
          <w:szCs w:val="24"/>
        </w:rPr>
        <w:t>The W</w:t>
      </w:r>
      <w:r w:rsidR="007B2872">
        <w:rPr>
          <w:rFonts w:eastAsia="Times New Roman"/>
          <w:szCs w:val="24"/>
        </w:rPr>
        <w:t>W</w:t>
      </w:r>
      <w:r>
        <w:rPr>
          <w:rFonts w:eastAsia="Times New Roman"/>
          <w:szCs w:val="24"/>
        </w:rPr>
        <w:t>MA L&amp;R Committee recommends a voting status.</w:t>
      </w:r>
    </w:p>
    <w:p w14:paraId="0E2DD474" w14:textId="2BBAA972" w:rsidR="00A43044" w:rsidRDefault="00A43044" w:rsidP="00A43044">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F15BC">
        <w:rPr>
          <w:rFonts w:eastAsia="Times New Roman"/>
          <w:szCs w:val="24"/>
          <w:u w:val="single"/>
        </w:rPr>
        <w:t>Interim</w:t>
      </w:r>
      <w:r w:rsidRPr="0051426D">
        <w:rPr>
          <w:rFonts w:eastAsia="Times New Roman"/>
          <w:szCs w:val="24"/>
          <w:u w:val="single"/>
        </w:rPr>
        <w:t xml:space="preserve"> Meeting:</w:t>
      </w:r>
    </w:p>
    <w:p w14:paraId="348961B8" w14:textId="183E6E04" w:rsidR="005E0EA4" w:rsidRPr="0080149A" w:rsidRDefault="005E0EA4" w:rsidP="007B2872">
      <w:pPr>
        <w:rPr>
          <w:rFonts w:eastAsia="Times New Roman"/>
          <w:szCs w:val="24"/>
        </w:rPr>
      </w:pPr>
      <w:r>
        <w:rPr>
          <w:rFonts w:eastAsia="Times New Roman"/>
          <w:szCs w:val="24"/>
        </w:rPr>
        <w:t xml:space="preserve">Ivan Hankins, IA, and Shelly Miller, WI-Retired, both supported this </w:t>
      </w:r>
      <w:r w:rsidR="00C15922">
        <w:rPr>
          <w:rFonts w:eastAsia="Times New Roman"/>
          <w:szCs w:val="24"/>
        </w:rPr>
        <w:t>item.</w:t>
      </w:r>
      <w:r w:rsidR="00C15922" w:rsidRPr="0080149A">
        <w:rPr>
          <w:rFonts w:eastAsia="Times New Roman"/>
          <w:szCs w:val="24"/>
        </w:rPr>
        <w:t xml:space="preserve"> The</w:t>
      </w:r>
      <w:r w:rsidR="0080149A" w:rsidRPr="0080149A">
        <w:rPr>
          <w:rFonts w:eastAsia="Times New Roman"/>
          <w:szCs w:val="24"/>
        </w:rPr>
        <w:t xml:space="preserve"> CWMA L&amp;R Committee recommends a voting status for this item.</w:t>
      </w:r>
    </w:p>
    <w:p w14:paraId="5BF5243F" w14:textId="77777777" w:rsidR="00D7756D" w:rsidRDefault="00A43044" w:rsidP="00712C69">
      <w:pPr>
        <w:keepNext/>
        <w:keepLines/>
        <w:tabs>
          <w:tab w:val="left" w:pos="3270"/>
        </w:tabs>
        <w:jc w:val="left"/>
        <w:rPr>
          <w:u w:val="single"/>
        </w:rPr>
      </w:pPr>
      <w:r w:rsidRPr="006C7BFB">
        <w:rPr>
          <w:u w:val="single"/>
        </w:rPr>
        <w:t>NEWMA 202</w:t>
      </w:r>
      <w:r>
        <w:rPr>
          <w:u w:val="single"/>
        </w:rPr>
        <w:t>5</w:t>
      </w:r>
      <w:r w:rsidRPr="006C7BFB">
        <w:rPr>
          <w:u w:val="single"/>
        </w:rPr>
        <w:t xml:space="preserve"> Interim Meeting:</w:t>
      </w:r>
    </w:p>
    <w:p w14:paraId="4EC1A06B" w14:textId="0164F2B1" w:rsidR="00D7756D" w:rsidRDefault="00D7756D" w:rsidP="00712C69">
      <w:pPr>
        <w:keepNext/>
        <w:keepLines/>
        <w:rPr>
          <w:rFonts w:eastAsia="Times New Roman"/>
          <w:szCs w:val="24"/>
        </w:rPr>
      </w:pPr>
      <w:r>
        <w:rPr>
          <w:rFonts w:eastAsia="Times New Roman"/>
          <w:szCs w:val="24"/>
        </w:rPr>
        <w:t>Regulators from Vermont and New York commented that they support the item.  A regulator from New Jersey commented that the item has merit and keeping the online spaced consistent with the brick-and-mortar space is always a good idea.  However, the only issue envisioned is continuity of enforcement with states that have separate unit pricing regulations that may not be in line with this model regulation.  New Jersey recommended a Developing status.</w:t>
      </w:r>
    </w:p>
    <w:p w14:paraId="165A25A9" w14:textId="77777777" w:rsidR="007B2872" w:rsidRDefault="00D7756D" w:rsidP="007B2872">
      <w:pPr>
        <w:rPr>
          <w:rFonts w:eastAsia="Times New Roman"/>
          <w:szCs w:val="24"/>
        </w:rPr>
      </w:pPr>
      <w:r>
        <w:rPr>
          <w:rFonts w:eastAsia="Times New Roman"/>
          <w:szCs w:val="24"/>
        </w:rPr>
        <w:t>After hearing comments from the floor, the committee recommended a Developing status, and the body concurred.</w:t>
      </w:r>
    </w:p>
    <w:p w14:paraId="1D804519" w14:textId="42A6DC31" w:rsidR="00806BFF" w:rsidRDefault="00A43044" w:rsidP="007B2872">
      <w:pPr>
        <w:rPr>
          <w:u w:val="single"/>
        </w:rPr>
      </w:pPr>
      <w:r>
        <w:rPr>
          <w:u w:val="single"/>
        </w:rPr>
        <w:t>S</w:t>
      </w:r>
      <w:r w:rsidRPr="00EF1ACC">
        <w:rPr>
          <w:u w:val="single"/>
        </w:rPr>
        <w:t>WMA 202</w:t>
      </w:r>
      <w:r>
        <w:rPr>
          <w:u w:val="single"/>
        </w:rPr>
        <w:t>5</w:t>
      </w:r>
      <w:r w:rsidRPr="00EF1ACC">
        <w:rPr>
          <w:u w:val="single"/>
        </w:rPr>
        <w:t xml:space="preserve"> </w:t>
      </w:r>
      <w:r w:rsidR="00CF15BC">
        <w:rPr>
          <w:u w:val="single"/>
        </w:rPr>
        <w:t>Annual</w:t>
      </w:r>
      <w:r w:rsidRPr="00EF1ACC">
        <w:rPr>
          <w:u w:val="single"/>
        </w:rPr>
        <w:t xml:space="preserve"> Meeting</w:t>
      </w:r>
      <w:r>
        <w:rPr>
          <w:u w:val="single"/>
        </w:rPr>
        <w:t>:</w:t>
      </w:r>
    </w:p>
    <w:p w14:paraId="4B41799E" w14:textId="580E5C01" w:rsidR="00806BFF" w:rsidRDefault="00806BFF" w:rsidP="007B2872">
      <w:pPr>
        <w:rPr>
          <w:rFonts w:eastAsia="Times New Roman"/>
          <w:szCs w:val="24"/>
        </w:rPr>
      </w:pPr>
      <w:r>
        <w:rPr>
          <w:rFonts w:eastAsia="Times New Roman"/>
          <w:szCs w:val="24"/>
        </w:rPr>
        <w:t>The Committee received no comments made during open hearing.</w:t>
      </w:r>
    </w:p>
    <w:p w14:paraId="12FB72E8" w14:textId="67F9B9F5" w:rsidR="00D7756D" w:rsidRPr="00D7756D" w:rsidRDefault="00806BFF" w:rsidP="007B2872">
      <w:pPr>
        <w:rPr>
          <w:rFonts w:eastAsia="Times New Roman"/>
          <w:szCs w:val="24"/>
        </w:rPr>
      </w:pPr>
      <w:r>
        <w:rPr>
          <w:rFonts w:eastAsia="Times New Roman"/>
          <w:szCs w:val="24"/>
        </w:rPr>
        <w:t xml:space="preserve">The Committee heard no opposing nor supporting comments during open hearings. The submitter was not present. The Committee believes this item needs to be further vetted by the NCWM membership and recommends a Developing status. </w:t>
      </w:r>
    </w:p>
    <w:p w14:paraId="25BF6CF6" w14:textId="77777777" w:rsidR="00DB197E" w:rsidRDefault="00DB197E" w:rsidP="00DB197E">
      <w:r>
        <w:t xml:space="preserve">Additional letters, presentation and data may have been submitted for consideration with this item.  Please refer to </w:t>
      </w:r>
      <w:hyperlink r:id="rId36" w:history="1">
        <w:r w:rsidRPr="002A1164">
          <w:rPr>
            <w:rStyle w:val="Hyperlink"/>
          </w:rPr>
          <w:t>https://www.ncwm.com/publication-15</w:t>
        </w:r>
      </w:hyperlink>
      <w:r>
        <w:t xml:space="preserve"> to review these documents.</w:t>
      </w:r>
      <w:bookmarkEnd w:id="154"/>
    </w:p>
    <w:p w14:paraId="597ED629" w14:textId="6A33110E" w:rsidR="00C039A0" w:rsidRDefault="00C039A0" w:rsidP="00CC6B4E">
      <w:pPr>
        <w:pStyle w:val="Heading1"/>
      </w:pPr>
      <w:bookmarkStart w:id="162" w:name="_Toc464054896"/>
      <w:bookmarkStart w:id="163" w:name="_Toc464055294"/>
      <w:bookmarkStart w:id="164" w:name="_Toc464055905"/>
      <w:bookmarkStart w:id="165" w:name="_Toc464056153"/>
      <w:bookmarkStart w:id="166" w:name="_Toc464056398"/>
      <w:bookmarkStart w:id="167" w:name="_Toc464056648"/>
      <w:bookmarkStart w:id="168" w:name="_Toc464108963"/>
      <w:bookmarkStart w:id="169" w:name="_Toc464109311"/>
      <w:bookmarkStart w:id="170" w:name="_Toc464109788"/>
      <w:bookmarkStart w:id="171" w:name="_Toc464123864"/>
      <w:bookmarkStart w:id="172" w:name="_Toc464124106"/>
      <w:bookmarkStart w:id="173" w:name="_Toc464124590"/>
      <w:bookmarkStart w:id="174" w:name="_Toc487504885"/>
      <w:bookmarkStart w:id="175" w:name="_Toc487504888"/>
      <w:bookmarkStart w:id="176" w:name="_Toc464482691"/>
      <w:bookmarkStart w:id="177" w:name="_Toc464482957"/>
      <w:bookmarkStart w:id="178" w:name="_Toc464483217"/>
      <w:bookmarkStart w:id="179" w:name="_Toc464483483"/>
      <w:bookmarkStart w:id="180" w:name="_Toc464483755"/>
      <w:bookmarkStart w:id="181" w:name="_Toc464484021"/>
      <w:bookmarkStart w:id="182" w:name="_Toc464484460"/>
      <w:bookmarkStart w:id="183" w:name="_Toc464484741"/>
      <w:bookmarkStart w:id="184" w:name="_Toc464488193"/>
      <w:bookmarkStart w:id="185" w:name="_Toc464743065"/>
      <w:bookmarkStart w:id="186" w:name="_Toc464743697"/>
      <w:bookmarkStart w:id="187" w:name="_Toc464744927"/>
      <w:bookmarkStart w:id="188" w:name="_Toc464745476"/>
      <w:bookmarkStart w:id="189" w:name="_Toc464745985"/>
      <w:bookmarkStart w:id="190" w:name="_Toc464747011"/>
      <w:bookmarkStart w:id="191" w:name="_Toc464747289"/>
      <w:bookmarkStart w:id="192" w:name="_Toc464747573"/>
      <w:bookmarkStart w:id="193" w:name="_Toc464747845"/>
      <w:bookmarkStart w:id="194" w:name="_Toc464748596"/>
      <w:bookmarkStart w:id="195" w:name="_Toc464749328"/>
      <w:bookmarkStart w:id="196" w:name="_Toc465148910"/>
      <w:bookmarkStart w:id="197" w:name="_Toc465167911"/>
      <w:bookmarkStart w:id="198" w:name="_Toc489943192"/>
      <w:bookmarkStart w:id="199" w:name="_Toc489943482"/>
      <w:bookmarkStart w:id="200" w:name="_Toc489943772"/>
      <w:bookmarkStart w:id="201" w:name="_Toc491156257"/>
      <w:bookmarkStart w:id="202" w:name="_Toc491157107"/>
      <w:bookmarkStart w:id="203" w:name="_Toc491157402"/>
      <w:bookmarkStart w:id="204" w:name="_Toc491157696"/>
      <w:bookmarkStart w:id="205" w:name="_Toc491157988"/>
      <w:bookmarkStart w:id="206" w:name="_Toc491178429"/>
      <w:bookmarkStart w:id="207" w:name="_Toc491180101"/>
      <w:bookmarkStart w:id="208" w:name="_Toc491180395"/>
      <w:bookmarkStart w:id="209" w:name="_Toc491180771"/>
      <w:bookmarkStart w:id="210" w:name="_Toc491181491"/>
      <w:bookmarkStart w:id="211" w:name="_Toc491183100"/>
      <w:bookmarkStart w:id="212" w:name="_Toc491183384"/>
      <w:bookmarkStart w:id="213" w:name="_Toc491184622"/>
      <w:bookmarkStart w:id="214" w:name="_Toc491184907"/>
      <w:bookmarkStart w:id="215" w:name="_Toc491185187"/>
      <w:bookmarkStart w:id="216" w:name="_Toc491185463"/>
      <w:bookmarkStart w:id="217" w:name="_Toc491250077"/>
      <w:bookmarkStart w:id="218" w:name="_Toc491261934"/>
      <w:bookmarkStart w:id="219" w:name="_Toc491263439"/>
      <w:bookmarkStart w:id="220" w:name="_Toc491265474"/>
      <w:bookmarkStart w:id="221" w:name="_Toc491265768"/>
      <w:bookmarkStart w:id="222" w:name="_Toc491266062"/>
      <w:bookmarkStart w:id="223" w:name="_Toc491267221"/>
      <w:bookmarkStart w:id="224" w:name="_Toc491268006"/>
      <w:bookmarkStart w:id="225" w:name="_Toc491268515"/>
      <w:bookmarkStart w:id="226" w:name="_Toc491324843"/>
      <w:bookmarkStart w:id="227" w:name="_Toc491325261"/>
      <w:bookmarkStart w:id="228" w:name="_Toc491325532"/>
      <w:bookmarkStart w:id="229" w:name="_Toc491325804"/>
      <w:bookmarkStart w:id="230" w:name="_Toc491326227"/>
      <w:bookmarkStart w:id="231" w:name="_Toc491326640"/>
      <w:bookmarkStart w:id="232" w:name="_Toc491326910"/>
      <w:bookmarkStart w:id="233" w:name="_Toc491327182"/>
      <w:bookmarkStart w:id="234" w:name="_Toc491775752"/>
      <w:bookmarkStart w:id="235" w:name="_Toc491776420"/>
      <w:bookmarkStart w:id="236" w:name="_Toc491776878"/>
      <w:bookmarkStart w:id="237" w:name="_Toc491777680"/>
      <w:bookmarkStart w:id="238" w:name="_Toc491777972"/>
      <w:bookmarkStart w:id="239" w:name="_Toc491778263"/>
      <w:bookmarkStart w:id="240" w:name="_Toc491843075"/>
      <w:bookmarkStart w:id="241" w:name="_Toc492389563"/>
      <w:bookmarkStart w:id="242" w:name="_Toc492568412"/>
      <w:bookmarkStart w:id="243" w:name="_Toc492982164"/>
      <w:bookmarkStart w:id="244" w:name="_Toc492982462"/>
      <w:bookmarkStart w:id="245" w:name="_Toc492983024"/>
      <w:bookmarkStart w:id="246" w:name="_Toc492983542"/>
      <w:bookmarkStart w:id="247" w:name="_Toc492984211"/>
      <w:bookmarkStart w:id="248" w:name="_Toc492984510"/>
      <w:bookmarkStart w:id="249" w:name="_Toc492984809"/>
      <w:bookmarkStart w:id="250" w:name="_Toc493079154"/>
      <w:bookmarkStart w:id="251" w:name="_Toc493079452"/>
      <w:bookmarkStart w:id="252" w:name="_Toc493079751"/>
      <w:bookmarkStart w:id="253" w:name="_Toc493162476"/>
      <w:bookmarkStart w:id="254" w:name="_Toc493162779"/>
      <w:bookmarkStart w:id="255" w:name="_Toc494097139"/>
      <w:bookmarkStart w:id="256" w:name="_Toc494103102"/>
      <w:bookmarkStart w:id="257" w:name="_Toc494109344"/>
      <w:bookmarkStart w:id="258" w:name="_Toc494109642"/>
      <w:bookmarkStart w:id="259" w:name="_Toc494110619"/>
      <w:bookmarkStart w:id="260" w:name="_Toc494113407"/>
      <w:bookmarkStart w:id="261" w:name="_Toc494113705"/>
      <w:bookmarkStart w:id="262" w:name="_Toc494114300"/>
      <w:bookmarkStart w:id="263" w:name="_Toc494114598"/>
      <w:bookmarkStart w:id="264" w:name="_Toc494114896"/>
      <w:bookmarkStart w:id="265" w:name="_Toc494352337"/>
      <w:bookmarkStart w:id="266" w:name="_Toc495584478"/>
      <w:bookmarkStart w:id="267" w:name="_Toc496090006"/>
      <w:bookmarkStart w:id="268" w:name="_Toc496090355"/>
      <w:bookmarkStart w:id="269" w:name="_Toc496091119"/>
      <w:bookmarkStart w:id="270" w:name="_Toc496091415"/>
      <w:bookmarkStart w:id="271" w:name="_Toc496108538"/>
      <w:bookmarkStart w:id="272" w:name="_Toc487504903"/>
      <w:bookmarkStart w:id="273" w:name="_Toc464054902"/>
      <w:bookmarkStart w:id="274" w:name="_Toc464055300"/>
      <w:bookmarkStart w:id="275" w:name="_Toc464055911"/>
      <w:bookmarkStart w:id="276" w:name="_Toc464056159"/>
      <w:bookmarkStart w:id="277" w:name="_Toc464056404"/>
      <w:bookmarkStart w:id="278" w:name="_Toc464056654"/>
      <w:bookmarkStart w:id="279" w:name="_Toc464108969"/>
      <w:bookmarkStart w:id="280" w:name="_Toc464109317"/>
      <w:bookmarkStart w:id="281" w:name="_Toc464109794"/>
      <w:bookmarkStart w:id="282" w:name="_Toc464123870"/>
      <w:bookmarkStart w:id="283" w:name="_Toc464124112"/>
      <w:bookmarkStart w:id="284" w:name="_Toc464124596"/>
      <w:bookmarkStart w:id="285" w:name="_Toc487504912"/>
      <w:bookmarkStart w:id="286" w:name="_Toc224019624"/>
      <w:bookmarkStart w:id="287" w:name="_Toc459620581"/>
      <w:bookmarkEnd w:id="10"/>
      <w:bookmarkEnd w:id="1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281428">
        <w:t>OTH – OTHER ITEMS</w:t>
      </w:r>
      <w:bookmarkEnd w:id="286"/>
      <w:r w:rsidRPr="00281428">
        <w:t xml:space="preserve"> </w:t>
      </w:r>
    </w:p>
    <w:p w14:paraId="334C3C5A" w14:textId="2E28745D" w:rsidR="00BA2D06" w:rsidRPr="003C355F" w:rsidRDefault="00BA2D06" w:rsidP="00BA2D06">
      <w:pPr>
        <w:pStyle w:val="ItemHeading"/>
      </w:pPr>
      <w:bookmarkStart w:id="288" w:name="_Toc224019625"/>
      <w:r>
        <w:t>OTH-24.1</w:t>
      </w:r>
      <w:r w:rsidRPr="003C355F">
        <w:tab/>
      </w:r>
      <w:r w:rsidR="0094470B">
        <w:t>A</w:t>
      </w:r>
      <w:r w:rsidRPr="003C355F">
        <w:tab/>
      </w:r>
      <w:r w:rsidRPr="00BA2D06">
        <w:rPr>
          <w:u w:val="single"/>
        </w:rPr>
        <w:t>X. Uniform Ship</w:t>
      </w:r>
      <w:r w:rsidR="00166C3F">
        <w:rPr>
          <w:u w:val="single"/>
        </w:rPr>
        <w:t>ment</w:t>
      </w:r>
      <w:r w:rsidRPr="00BA2D06">
        <w:rPr>
          <w:u w:val="single"/>
        </w:rPr>
        <w:t xml:space="preserve"> Law</w:t>
      </w:r>
      <w:bookmarkEnd w:id="288"/>
    </w:p>
    <w:p w14:paraId="6A9FCAFC" w14:textId="6CAFB12F" w:rsidR="00603B91" w:rsidRDefault="00707772" w:rsidP="00B50CBD">
      <w:pPr>
        <w:spacing w:after="0"/>
        <w:rPr>
          <w:bCs/>
        </w:rPr>
      </w:pPr>
      <w:r>
        <w:rPr>
          <w:b/>
        </w:rPr>
        <w:t xml:space="preserve">Source: </w:t>
      </w:r>
      <w:r w:rsidRPr="00707772">
        <w:rPr>
          <w:bCs/>
        </w:rPr>
        <w:t>New Hampshire Weights and Measures</w:t>
      </w:r>
    </w:p>
    <w:p w14:paraId="5A3987B0" w14:textId="77777777" w:rsidR="00B05346" w:rsidRDefault="00B05346" w:rsidP="00B50CBD">
      <w:pPr>
        <w:spacing w:after="0"/>
        <w:rPr>
          <w:bCs/>
        </w:rPr>
      </w:pPr>
    </w:p>
    <w:p w14:paraId="78E04080" w14:textId="77777777" w:rsidR="00D10AA9" w:rsidRPr="00E025F9" w:rsidRDefault="00D10AA9" w:rsidP="00D10AA9">
      <w:pPr>
        <w:spacing w:after="0"/>
        <w:rPr>
          <w:b/>
        </w:rPr>
      </w:pPr>
      <w:r w:rsidRPr="00E025F9">
        <w:rPr>
          <w:b/>
        </w:rPr>
        <w:t>Purpose:</w:t>
      </w:r>
    </w:p>
    <w:p w14:paraId="3269E1F8" w14:textId="7774E0C3" w:rsidR="00D10AA9" w:rsidRDefault="00D10AA9" w:rsidP="00D10AA9">
      <w:pPr>
        <w:spacing w:after="0"/>
        <w:rPr>
          <w:szCs w:val="20"/>
        </w:rPr>
      </w:pPr>
      <w:r>
        <w:rPr>
          <w:szCs w:val="20"/>
        </w:rPr>
        <w:t>Provide model law language to address the shipment of goods.</w:t>
      </w:r>
    </w:p>
    <w:p w14:paraId="2F71378A" w14:textId="77777777" w:rsidR="00D10AA9" w:rsidRPr="00D10AA9" w:rsidRDefault="00D10AA9" w:rsidP="00D10AA9">
      <w:pPr>
        <w:spacing w:after="0"/>
        <w:rPr>
          <w:szCs w:val="20"/>
        </w:rPr>
      </w:pPr>
    </w:p>
    <w:p w14:paraId="41C7B252" w14:textId="35239DCF" w:rsidR="002646B2" w:rsidRPr="002646B2" w:rsidRDefault="002646B2" w:rsidP="00D10AA9">
      <w:pPr>
        <w:spacing w:after="0"/>
        <w:jc w:val="left"/>
        <w:rPr>
          <w:b/>
          <w:iCs/>
          <w:szCs w:val="20"/>
        </w:rPr>
      </w:pPr>
      <w:r w:rsidRPr="002646B2">
        <w:rPr>
          <w:b/>
          <w:iCs/>
          <w:szCs w:val="20"/>
        </w:rPr>
        <w:t xml:space="preserve">Item under Consideration:    </w:t>
      </w:r>
    </w:p>
    <w:p w14:paraId="2510C191" w14:textId="77777777" w:rsidR="002646B2" w:rsidRPr="002646B2" w:rsidRDefault="002646B2" w:rsidP="002646B2">
      <w:pPr>
        <w:jc w:val="left"/>
        <w:rPr>
          <w:iCs/>
          <w:szCs w:val="20"/>
        </w:rPr>
      </w:pPr>
      <w:r w:rsidRPr="002646B2">
        <w:rPr>
          <w:iCs/>
          <w:szCs w:val="20"/>
        </w:rPr>
        <w:t>Adopt a new Handbook 130 Uniform Shipment Law as follows:</w:t>
      </w:r>
    </w:p>
    <w:p w14:paraId="0EDE9FFC" w14:textId="77777777" w:rsidR="002646B2" w:rsidRPr="002646B2" w:rsidRDefault="002646B2" w:rsidP="002646B2">
      <w:pPr>
        <w:spacing w:before="100" w:beforeAutospacing="1" w:after="100" w:afterAutospacing="1"/>
        <w:jc w:val="center"/>
        <w:rPr>
          <w:rFonts w:eastAsia="Times New Roman"/>
          <w:b/>
          <w:bCs/>
          <w:szCs w:val="20"/>
          <w:u w:val="single"/>
        </w:rPr>
      </w:pPr>
      <w:r w:rsidRPr="002646B2">
        <w:rPr>
          <w:rFonts w:eastAsia="Times New Roman"/>
          <w:b/>
          <w:bCs/>
          <w:szCs w:val="20"/>
          <w:u w:val="single"/>
        </w:rPr>
        <w:t>X. Uniform Shipment Law</w:t>
      </w:r>
    </w:p>
    <w:p w14:paraId="0DAC44E4"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 Purpose</w:t>
      </w:r>
    </w:p>
    <w:p w14:paraId="24DB971A" w14:textId="77777777" w:rsidR="002646B2" w:rsidRPr="002646B2" w:rsidRDefault="002646B2" w:rsidP="002646B2">
      <w:pPr>
        <w:spacing w:before="100" w:beforeAutospacing="1" w:after="100" w:afterAutospacing="1"/>
        <w:jc w:val="left"/>
        <w:rPr>
          <w:rFonts w:eastAsia="Times New Roman"/>
          <w:szCs w:val="20"/>
        </w:rPr>
      </w:pPr>
      <w:r w:rsidRPr="002646B2">
        <w:rPr>
          <w:rFonts w:eastAsia="Times New Roman"/>
          <w:b/>
          <w:bCs/>
          <w:szCs w:val="20"/>
          <w:u w:val="single"/>
        </w:rPr>
        <w:lastRenderedPageBreak/>
        <w:t xml:space="preserve">To ensure transparent, equitable, and accountable shipment practices concerning the weight, measure, and freight classification of shipped goods. </w:t>
      </w:r>
      <w:r w:rsidRPr="002646B2">
        <w:rPr>
          <w:rFonts w:eastAsia="Times New Roman"/>
          <w:i/>
          <w:iCs/>
          <w:szCs w:val="20"/>
        </w:rPr>
        <w:t xml:space="preserve">  </w:t>
      </w:r>
    </w:p>
    <w:p w14:paraId="174083BC"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2. Scope</w:t>
      </w:r>
    </w:p>
    <w:p w14:paraId="210A7B1F"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This Act:</w:t>
      </w:r>
    </w:p>
    <w:p w14:paraId="2A22141A" w14:textId="77777777" w:rsidR="002646B2" w:rsidRPr="002646B2" w:rsidRDefault="002646B2" w:rsidP="0076491B">
      <w:pPr>
        <w:numPr>
          <w:ilvl w:val="0"/>
          <w:numId w:val="35"/>
        </w:numPr>
        <w:spacing w:after="0"/>
        <w:jc w:val="left"/>
        <w:rPr>
          <w:rFonts w:eastAsia="Times New Roman"/>
          <w:b/>
          <w:bCs/>
          <w:szCs w:val="20"/>
          <w:u w:val="single"/>
        </w:rPr>
      </w:pPr>
      <w:r w:rsidRPr="002646B2">
        <w:rPr>
          <w:rFonts w:eastAsia="Times New Roman"/>
          <w:b/>
          <w:bCs/>
          <w:szCs w:val="20"/>
          <w:u w:val="single"/>
        </w:rPr>
        <w:t xml:space="preserve">establishes an enforcement program; </w:t>
      </w:r>
    </w:p>
    <w:p w14:paraId="7869F9FD" w14:textId="77777777" w:rsidR="002646B2" w:rsidRPr="002646B2" w:rsidRDefault="002646B2" w:rsidP="0076491B">
      <w:pPr>
        <w:numPr>
          <w:ilvl w:val="0"/>
          <w:numId w:val="35"/>
        </w:numPr>
        <w:spacing w:after="0"/>
        <w:jc w:val="left"/>
        <w:rPr>
          <w:rFonts w:eastAsia="Times New Roman"/>
          <w:b/>
          <w:bCs/>
          <w:szCs w:val="20"/>
          <w:u w:val="single"/>
        </w:rPr>
      </w:pPr>
      <w:r w:rsidRPr="002646B2">
        <w:rPr>
          <w:rFonts w:eastAsia="Times New Roman"/>
          <w:b/>
          <w:bCs/>
          <w:szCs w:val="20"/>
          <w:u w:val="single"/>
        </w:rPr>
        <w:t>empowers the state to promulgate regulations as needed to carry out the provisions of the Act;</w:t>
      </w:r>
    </w:p>
    <w:p w14:paraId="14A8693B" w14:textId="77777777" w:rsidR="002646B2" w:rsidRPr="002646B2" w:rsidRDefault="002646B2" w:rsidP="0076491B">
      <w:pPr>
        <w:numPr>
          <w:ilvl w:val="0"/>
          <w:numId w:val="35"/>
        </w:numPr>
        <w:spacing w:after="0"/>
        <w:jc w:val="left"/>
        <w:rPr>
          <w:rFonts w:eastAsia="Times New Roman"/>
          <w:b/>
          <w:bCs/>
          <w:szCs w:val="20"/>
          <w:u w:val="single"/>
        </w:rPr>
      </w:pPr>
      <w:r w:rsidRPr="002646B2">
        <w:rPr>
          <w:rFonts w:eastAsia="Times New Roman"/>
          <w:b/>
          <w:bCs/>
          <w:szCs w:val="20"/>
          <w:u w:val="single"/>
        </w:rPr>
        <w:t xml:space="preserve">provides for civil and criminal penalties. </w:t>
      </w:r>
    </w:p>
    <w:p w14:paraId="1BD9BBE7" w14:textId="77777777" w:rsidR="002646B2" w:rsidRPr="002646B2" w:rsidRDefault="002646B2" w:rsidP="002646B2">
      <w:pPr>
        <w:jc w:val="left"/>
        <w:rPr>
          <w:rFonts w:eastAsia="Times New Roman"/>
          <w:b/>
          <w:bCs/>
          <w:szCs w:val="20"/>
          <w:u w:val="single"/>
        </w:rPr>
      </w:pPr>
      <w:r w:rsidRPr="002646B2">
        <w:rPr>
          <w:rFonts w:eastAsia="Times New Roman"/>
          <w:b/>
          <w:bCs/>
          <w:szCs w:val="20"/>
          <w:u w:val="single"/>
        </w:rPr>
        <w:t>Section 3. Definitions</w:t>
      </w:r>
    </w:p>
    <w:p w14:paraId="0B0A3AA1"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As used in this Act:</w:t>
      </w:r>
    </w:p>
    <w:p w14:paraId="2277DE53"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 xml:space="preserve">3.X. </w:t>
      </w:r>
      <w:r w:rsidRPr="002646B2">
        <w:rPr>
          <w:rFonts w:eastAsia="Times New Roman"/>
          <w:b/>
          <w:bCs/>
          <w:szCs w:val="20"/>
          <w:u w:val="single"/>
        </w:rPr>
        <w:tab/>
        <w:t xml:space="preserve">Bill of Lading (BOL) / Waybill. – A legal instrument used in the transportation and shipment industries which lists the goods being shipped and the terms under which they will be delivered. </w:t>
      </w:r>
    </w:p>
    <w:p w14:paraId="6B98D397"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w:t>
      </w:r>
      <w:r w:rsidRPr="002646B2">
        <w:rPr>
          <w:rFonts w:eastAsia="Times New Roman"/>
          <w:b/>
          <w:bCs/>
          <w:szCs w:val="20"/>
          <w:u w:val="single"/>
        </w:rPr>
        <w:tab/>
        <w:t>Carrier. – The business that transports an amount of goods.</w:t>
      </w:r>
    </w:p>
    <w:p w14:paraId="60FA45F5"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 xml:space="preserve">3.X. </w:t>
      </w:r>
      <w:r w:rsidRPr="002646B2">
        <w:rPr>
          <w:rFonts w:eastAsia="Times New Roman"/>
          <w:b/>
          <w:bCs/>
          <w:szCs w:val="20"/>
          <w:u w:val="single"/>
        </w:rPr>
        <w:tab/>
        <w:t>Carrier Inspection Certificate. – A document used to signify that shipped goods have been inspected pertaining to, but not limited to, classification, density, weight, or measure.</w:t>
      </w:r>
    </w:p>
    <w:p w14:paraId="7C5ABCD0"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   Freight Class</w:t>
      </w:r>
      <w:r w:rsidRPr="002646B2">
        <w:rPr>
          <w:rFonts w:eastAsiaTheme="minorHAnsi"/>
          <w:b/>
          <w:bCs/>
          <w:szCs w:val="20"/>
          <w:u w:val="single"/>
        </w:rPr>
        <w:t xml:space="preserve">. – A </w:t>
      </w:r>
      <w:r w:rsidRPr="002646B2">
        <w:rPr>
          <w:rFonts w:eastAsia="Times New Roman"/>
          <w:b/>
          <w:bCs/>
          <w:szCs w:val="20"/>
          <w:u w:val="single"/>
        </w:rPr>
        <w:t>system that groups freight into categories based on four factors: density, handling, stowability, and liability.</w:t>
      </w:r>
    </w:p>
    <w:p w14:paraId="400A7E95"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w:t>
      </w:r>
      <w:r w:rsidRPr="002646B2">
        <w:rPr>
          <w:rFonts w:eastAsia="Times New Roman"/>
          <w:b/>
          <w:bCs/>
          <w:szCs w:val="20"/>
          <w:u w:val="single"/>
        </w:rPr>
        <w:tab/>
        <w:t xml:space="preserve">Goods. – All things which are movable and can be transported. </w:t>
      </w:r>
    </w:p>
    <w:p w14:paraId="6DA70041" w14:textId="77777777" w:rsidR="002646B2" w:rsidRPr="002646B2" w:rsidRDefault="002646B2" w:rsidP="0026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b/>
          <w:bCs/>
          <w:szCs w:val="20"/>
          <w:u w:val="single"/>
        </w:rPr>
      </w:pPr>
      <w:r w:rsidRPr="002646B2">
        <w:rPr>
          <w:rFonts w:eastAsia="Times New Roman"/>
          <w:b/>
          <w:bCs/>
          <w:szCs w:val="20"/>
          <w:u w:val="single"/>
        </w:rPr>
        <w:t xml:space="preserve">3.X.   Handling Unit. – A single item or group of items that are packaged together and handled as a single unit throughout the shipping process.  Handling units refer to packages or containers. These units are designed to facilitate the efficient and safe transportation, storage, and management of goods. They can vary in size and form. </w:t>
      </w:r>
    </w:p>
    <w:p w14:paraId="3AC1AD8F" w14:textId="77777777" w:rsidR="002646B2" w:rsidRPr="002646B2" w:rsidRDefault="002646B2" w:rsidP="0026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b/>
          <w:bCs/>
          <w:szCs w:val="20"/>
          <w:u w:val="single"/>
        </w:rPr>
      </w:pPr>
    </w:p>
    <w:p w14:paraId="332C08D0" w14:textId="77777777" w:rsidR="002646B2" w:rsidRPr="002646B2" w:rsidRDefault="002646B2" w:rsidP="0026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b/>
          <w:bCs/>
          <w:szCs w:val="20"/>
          <w:u w:val="single"/>
        </w:rPr>
      </w:pPr>
      <w:r w:rsidRPr="002646B2">
        <w:rPr>
          <w:rFonts w:eastAsia="Times New Roman"/>
          <w:b/>
          <w:bCs/>
          <w:szCs w:val="20"/>
          <w:u w:val="single"/>
        </w:rPr>
        <w:t xml:space="preserve">3.X.   Measuring System. – A set of devices and affiliated software used to measure and record the quantity, weight, volume, or size of goods. This includes all parts of the system, as well as where recorded representations are determined, and shall be approved for use by the state enforcement official in accordance with accepted standards. </w:t>
      </w:r>
    </w:p>
    <w:p w14:paraId="3B5AE071" w14:textId="77777777" w:rsidR="002646B2" w:rsidRPr="002646B2" w:rsidRDefault="002646B2" w:rsidP="00264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b/>
          <w:bCs/>
          <w:szCs w:val="20"/>
          <w:u w:val="single"/>
        </w:rPr>
      </w:pPr>
      <w:r w:rsidRPr="002646B2">
        <w:rPr>
          <w:rFonts w:eastAsia="Times New Roman"/>
          <w:b/>
          <w:bCs/>
          <w:szCs w:val="20"/>
          <w:u w:val="single"/>
        </w:rPr>
        <w:t>3.X.   National Motor Freight Classification (NMFC) Code. – A numeric code used in the U.S. freight industry to classify goods for shipping.</w:t>
      </w:r>
    </w:p>
    <w:p w14:paraId="28611077"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 xml:space="preserve">3.X. </w:t>
      </w:r>
      <w:r w:rsidRPr="002646B2">
        <w:rPr>
          <w:rFonts w:eastAsia="Times New Roman"/>
          <w:b/>
          <w:bCs/>
          <w:szCs w:val="20"/>
          <w:u w:val="single"/>
        </w:rPr>
        <w:tab/>
        <w:t xml:space="preserve">Progressive Number (Pro / Tracking Number). – A unique numeric identifier issued by a carrier for identification and tracking of a shipper’s specific order. </w:t>
      </w:r>
    </w:p>
    <w:p w14:paraId="2EC16EA9"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 xml:space="preserve">3.X. </w:t>
      </w:r>
      <w:r w:rsidRPr="002646B2">
        <w:rPr>
          <w:rFonts w:eastAsia="Times New Roman"/>
          <w:b/>
          <w:bCs/>
          <w:szCs w:val="20"/>
          <w:u w:val="single"/>
        </w:rPr>
        <w:tab/>
        <w:t>Quote. – A competitively solicited offer to furnish supplies or services by a method of procurement that is less formalized than a bid or a proposal.</w:t>
      </w:r>
    </w:p>
    <w:p w14:paraId="4DBF2388"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   Shipment. – A quantity of goods shipped with a carrier.</w:t>
      </w:r>
    </w:p>
    <w:p w14:paraId="38C305F4"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w:t>
      </w:r>
      <w:r w:rsidRPr="002646B2">
        <w:rPr>
          <w:rFonts w:eastAsia="Times New Roman"/>
          <w:b/>
          <w:bCs/>
          <w:szCs w:val="20"/>
          <w:u w:val="single"/>
        </w:rPr>
        <w:tab/>
        <w:t>Shipper. – Individuals or businesses that send or request goods using a carrier.</w:t>
      </w:r>
    </w:p>
    <w:p w14:paraId="2CC82A8C"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w:t>
      </w:r>
      <w:r w:rsidRPr="002646B2">
        <w:rPr>
          <w:rFonts w:eastAsia="Times New Roman"/>
          <w:b/>
          <w:bCs/>
          <w:szCs w:val="20"/>
          <w:u w:val="single"/>
        </w:rPr>
        <w:tab/>
        <w:t>Terminal or Service Center. – A facility designated for managing and coordinating the movement of trucks and goods, and may facilitate the assessment of goods for weight, measure, and freight classification.</w:t>
      </w:r>
    </w:p>
    <w:p w14:paraId="16150C96" w14:textId="77777777" w:rsidR="002646B2" w:rsidRPr="002646B2" w:rsidRDefault="002646B2" w:rsidP="002646B2">
      <w:pPr>
        <w:spacing w:before="282" w:after="120"/>
        <w:jc w:val="left"/>
        <w:rPr>
          <w:rFonts w:eastAsia="Times New Roman"/>
          <w:b/>
          <w:bCs/>
          <w:iCs/>
          <w:szCs w:val="20"/>
          <w:u w:val="single"/>
        </w:rPr>
      </w:pPr>
      <w:r w:rsidRPr="002646B2">
        <w:rPr>
          <w:rFonts w:eastAsia="Times New Roman"/>
          <w:b/>
          <w:bCs/>
          <w:iCs/>
          <w:szCs w:val="20"/>
          <w:u w:val="single"/>
        </w:rPr>
        <w:lastRenderedPageBreak/>
        <w:t xml:space="preserve">3.X.   Third-Party Logistics (3PL) Provider / Shipping Broker / Freight Forwarder. – An intermediary between the shipper and the carrier who coordinates and facilitates the transportation of goods and may include the arrangement of the import and export of cargo. </w:t>
      </w:r>
    </w:p>
    <w:p w14:paraId="40909429" w14:textId="77777777" w:rsidR="002646B2" w:rsidRPr="002646B2" w:rsidRDefault="002646B2" w:rsidP="002646B2">
      <w:pPr>
        <w:spacing w:before="282" w:after="120"/>
        <w:jc w:val="left"/>
        <w:rPr>
          <w:rFonts w:eastAsia="Times New Roman"/>
          <w:b/>
          <w:bCs/>
          <w:iCs/>
          <w:szCs w:val="20"/>
          <w:u w:val="single"/>
        </w:rPr>
      </w:pPr>
      <w:r w:rsidRPr="002646B2">
        <w:rPr>
          <w:rFonts w:eastAsia="Times New Roman"/>
          <w:b/>
          <w:bCs/>
          <w:iCs/>
          <w:szCs w:val="20"/>
          <w:u w:val="single"/>
        </w:rPr>
        <w:t xml:space="preserve">3.X.   Unique Identifier. – A distinct code or number assigned to an individual, entity, document, or item that differentiates it from all others in a system.  </w:t>
      </w:r>
    </w:p>
    <w:p w14:paraId="0590AF2E"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3.X.</w:t>
      </w:r>
      <w:r w:rsidRPr="002646B2">
        <w:rPr>
          <w:rFonts w:eastAsia="Times New Roman"/>
          <w:b/>
          <w:bCs/>
          <w:szCs w:val="20"/>
          <w:u w:val="single"/>
        </w:rPr>
        <w:tab/>
        <w:t>Director. – The __________ of the Department of __________.</w:t>
      </w:r>
    </w:p>
    <w:p w14:paraId="1A9D39BA"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4. Enforcing Official: Rules and Regulations</w:t>
      </w:r>
    </w:p>
    <w:p w14:paraId="1CBC4906"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The Director is authorized to:</w:t>
      </w:r>
    </w:p>
    <w:p w14:paraId="7E4A2459" w14:textId="77777777" w:rsidR="002646B2" w:rsidRPr="002646B2" w:rsidRDefault="002646B2" w:rsidP="0076491B">
      <w:pPr>
        <w:numPr>
          <w:ilvl w:val="0"/>
          <w:numId w:val="36"/>
        </w:numPr>
        <w:spacing w:after="0"/>
        <w:ind w:left="720"/>
        <w:jc w:val="left"/>
        <w:rPr>
          <w:rFonts w:eastAsia="Times New Roman"/>
          <w:b/>
          <w:bCs/>
          <w:szCs w:val="20"/>
          <w:u w:val="single"/>
        </w:rPr>
      </w:pPr>
      <w:r w:rsidRPr="002646B2">
        <w:rPr>
          <w:rFonts w:eastAsia="Times New Roman"/>
          <w:b/>
          <w:bCs/>
          <w:szCs w:val="20"/>
          <w:u w:val="single"/>
        </w:rPr>
        <w:t>enforce the provisions of this Act;</w:t>
      </w:r>
    </w:p>
    <w:p w14:paraId="7D615ADF" w14:textId="77777777" w:rsidR="002646B2" w:rsidRPr="002646B2" w:rsidRDefault="002646B2" w:rsidP="0076491B">
      <w:pPr>
        <w:numPr>
          <w:ilvl w:val="0"/>
          <w:numId w:val="36"/>
        </w:numPr>
        <w:tabs>
          <w:tab w:val="left" w:pos="2070"/>
        </w:tabs>
        <w:spacing w:after="0"/>
        <w:ind w:left="720"/>
        <w:jc w:val="left"/>
        <w:rPr>
          <w:rFonts w:eastAsia="Times New Roman"/>
          <w:b/>
          <w:bCs/>
          <w:szCs w:val="20"/>
          <w:u w:val="single"/>
        </w:rPr>
      </w:pPr>
      <w:r w:rsidRPr="002646B2">
        <w:rPr>
          <w:rFonts w:eastAsia="Times New Roman"/>
          <w:b/>
          <w:bCs/>
          <w:szCs w:val="20"/>
          <w:u w:val="single"/>
        </w:rPr>
        <w:t>issue reasonable regulations for the enforcement of this Act that shall have the force and effect of law; and</w:t>
      </w:r>
    </w:p>
    <w:p w14:paraId="1AE8169F" w14:textId="77777777" w:rsidR="002646B2" w:rsidRPr="002646B2" w:rsidRDefault="002646B2" w:rsidP="0076491B">
      <w:pPr>
        <w:numPr>
          <w:ilvl w:val="0"/>
          <w:numId w:val="36"/>
        </w:numPr>
        <w:tabs>
          <w:tab w:val="left" w:pos="2070"/>
        </w:tabs>
        <w:spacing w:after="0"/>
        <w:ind w:left="720"/>
        <w:jc w:val="left"/>
        <w:rPr>
          <w:rFonts w:eastAsia="Times New Roman"/>
          <w:b/>
          <w:bCs/>
          <w:szCs w:val="20"/>
          <w:u w:val="single"/>
        </w:rPr>
      </w:pPr>
      <w:r w:rsidRPr="002646B2">
        <w:rPr>
          <w:rFonts w:eastAsia="Times New Roman"/>
          <w:b/>
          <w:bCs/>
          <w:szCs w:val="20"/>
          <w:u w:val="single"/>
        </w:rPr>
        <w:t>adopt rules that include, but are not limited to;</w:t>
      </w:r>
    </w:p>
    <w:p w14:paraId="54B8A41B" w14:textId="77777777" w:rsidR="002646B2" w:rsidRPr="002646B2" w:rsidRDefault="002646B2" w:rsidP="0076491B">
      <w:pPr>
        <w:numPr>
          <w:ilvl w:val="0"/>
          <w:numId w:val="37"/>
        </w:numPr>
        <w:spacing w:after="0"/>
        <w:ind w:left="1080"/>
        <w:jc w:val="left"/>
        <w:rPr>
          <w:rFonts w:eastAsiaTheme="minorHAnsi"/>
          <w:b/>
          <w:bCs/>
          <w:szCs w:val="20"/>
        </w:rPr>
      </w:pPr>
      <w:r w:rsidRPr="002646B2">
        <w:rPr>
          <w:rFonts w:eastAsia="Times New Roman"/>
          <w:b/>
          <w:bCs/>
          <w:szCs w:val="20"/>
          <w:u w:val="single"/>
        </w:rPr>
        <w:t xml:space="preserve">adherence to the provided written quote from either the carrier or 3PL is required, contingent upon the shipper supplying accurate and complete documentation pertaining to the shipment; </w:t>
      </w:r>
    </w:p>
    <w:p w14:paraId="4A7C918D" w14:textId="77777777" w:rsidR="002646B2" w:rsidRPr="002646B2" w:rsidRDefault="002646B2" w:rsidP="0076491B">
      <w:pPr>
        <w:numPr>
          <w:ilvl w:val="0"/>
          <w:numId w:val="37"/>
        </w:numPr>
        <w:spacing w:after="0"/>
        <w:ind w:left="1080"/>
        <w:jc w:val="left"/>
        <w:rPr>
          <w:rFonts w:eastAsia="Times New Roman"/>
          <w:b/>
          <w:bCs/>
          <w:szCs w:val="20"/>
          <w:u w:val="single"/>
        </w:rPr>
      </w:pPr>
      <w:r w:rsidRPr="002646B2">
        <w:rPr>
          <w:rFonts w:eastAsia="Times New Roman"/>
          <w:b/>
          <w:bCs/>
          <w:szCs w:val="20"/>
          <w:u w:val="single"/>
        </w:rPr>
        <w:t>the weighing, measuring, and freight class accuracies that must be followed;</w:t>
      </w:r>
    </w:p>
    <w:p w14:paraId="27E89DB9" w14:textId="77777777" w:rsidR="002646B2" w:rsidRPr="002646B2" w:rsidRDefault="002646B2" w:rsidP="0076491B">
      <w:pPr>
        <w:numPr>
          <w:ilvl w:val="0"/>
          <w:numId w:val="37"/>
        </w:numPr>
        <w:spacing w:after="0"/>
        <w:ind w:left="1080"/>
        <w:jc w:val="left"/>
        <w:rPr>
          <w:rFonts w:eastAsia="Times New Roman"/>
          <w:b/>
          <w:bCs/>
          <w:szCs w:val="20"/>
          <w:u w:val="single"/>
        </w:rPr>
      </w:pPr>
      <w:r w:rsidRPr="002646B2">
        <w:rPr>
          <w:rFonts w:eastAsia="Times New Roman"/>
          <w:b/>
          <w:bCs/>
          <w:szCs w:val="20"/>
          <w:u w:val="single"/>
        </w:rPr>
        <w:t>the required information that shall be submitted by both the carrier and 3PL to the shipper, if a correction is applied; and</w:t>
      </w:r>
    </w:p>
    <w:p w14:paraId="21F79155" w14:textId="77777777" w:rsidR="002646B2" w:rsidRPr="002646B2" w:rsidRDefault="002646B2" w:rsidP="0076491B">
      <w:pPr>
        <w:numPr>
          <w:ilvl w:val="0"/>
          <w:numId w:val="37"/>
        </w:numPr>
        <w:spacing w:after="0"/>
        <w:ind w:left="1080"/>
        <w:jc w:val="left"/>
        <w:rPr>
          <w:rFonts w:eastAsia="Times New Roman"/>
          <w:b/>
          <w:bCs/>
          <w:szCs w:val="20"/>
          <w:u w:val="single"/>
        </w:rPr>
      </w:pPr>
      <w:r w:rsidRPr="002646B2">
        <w:rPr>
          <w:rFonts w:eastAsia="Times New Roman"/>
          <w:b/>
          <w:bCs/>
          <w:szCs w:val="20"/>
          <w:u w:val="single"/>
        </w:rPr>
        <w:t xml:space="preserve">the period of recordkeeping in accordance with Title 49 Subtitle B Chapter III Subchapter B Part 379 Appendix A; </w:t>
      </w:r>
    </w:p>
    <w:p w14:paraId="318F3C87" w14:textId="77777777" w:rsidR="002646B2" w:rsidRPr="002646B2" w:rsidRDefault="002646B2" w:rsidP="002646B2">
      <w:pPr>
        <w:ind w:left="1080"/>
        <w:jc w:val="left"/>
        <w:rPr>
          <w:rFonts w:eastAsia="Times New Roman"/>
          <w:b/>
          <w:bCs/>
          <w:szCs w:val="20"/>
          <w:u w:val="single"/>
        </w:rPr>
      </w:pPr>
    </w:p>
    <w:p w14:paraId="5F11C7EE"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5. Weighing and Measuring Practices and Equipment Used</w:t>
      </w:r>
    </w:p>
    <w:p w14:paraId="482FDAD7"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All entities, including but not limited to, shippers, 3PL’s, or carriers, shall use weighing and measuring practices and equipment:</w:t>
      </w:r>
    </w:p>
    <w:p w14:paraId="6EEB3ABA" w14:textId="77777777" w:rsidR="002646B2" w:rsidRPr="002646B2" w:rsidRDefault="002646B2" w:rsidP="0076491B">
      <w:pPr>
        <w:numPr>
          <w:ilvl w:val="0"/>
          <w:numId w:val="38"/>
        </w:numPr>
        <w:spacing w:after="0"/>
        <w:ind w:left="720"/>
        <w:jc w:val="left"/>
        <w:rPr>
          <w:rFonts w:eastAsia="Times New Roman"/>
          <w:b/>
          <w:bCs/>
          <w:szCs w:val="20"/>
          <w:u w:val="single"/>
        </w:rPr>
      </w:pPr>
      <w:r w:rsidRPr="002646B2">
        <w:rPr>
          <w:rFonts w:eastAsia="Times New Roman"/>
          <w:b/>
          <w:bCs/>
          <w:szCs w:val="20"/>
          <w:u w:val="single"/>
        </w:rPr>
        <w:t>in accordance with the requirements of the latest edition of NIST Handbook 44, “Specifications, Tolerances, and Other Technical Requirements for Weighing and Measuring Devices”; and</w:t>
      </w:r>
    </w:p>
    <w:p w14:paraId="5138DC7E" w14:textId="77777777" w:rsidR="002646B2" w:rsidRPr="002646B2" w:rsidRDefault="002646B2" w:rsidP="0076491B">
      <w:pPr>
        <w:numPr>
          <w:ilvl w:val="0"/>
          <w:numId w:val="38"/>
        </w:numPr>
        <w:spacing w:after="0"/>
        <w:ind w:left="720"/>
        <w:jc w:val="left"/>
        <w:rPr>
          <w:rFonts w:eastAsia="Times New Roman"/>
          <w:b/>
          <w:bCs/>
          <w:szCs w:val="20"/>
          <w:u w:val="single"/>
        </w:rPr>
      </w:pPr>
      <w:r w:rsidRPr="002646B2">
        <w:rPr>
          <w:rFonts w:eastAsia="Times New Roman"/>
          <w:b/>
          <w:bCs/>
          <w:szCs w:val="20"/>
          <w:u w:val="single"/>
        </w:rPr>
        <w:t>that have been examined, tested, and approved for use by either a weights and measures official or authorized service provider. In the absence of an applicable NTEP program for said device, it shall be used in accordance with the manufacturer’s approved application.</w:t>
      </w:r>
    </w:p>
    <w:p w14:paraId="0D6FAF69"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6. Weighing Device Used</w:t>
      </w:r>
    </w:p>
    <w:p w14:paraId="10A8F643"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All entities, including but not limited to shippers, 3PLs, or carriers, shall use an NTEP-approved weighing device. In the absence of an applicable NTEP program for said device, it shall be used in accordance with the manufacturer’s approved application.</w:t>
      </w:r>
    </w:p>
    <w:p w14:paraId="3CFC14C6"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7. Measuring Device Used</w:t>
      </w:r>
    </w:p>
    <w:p w14:paraId="2DB5BEC1"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All entities, including but not limited to shippers, 3PLs, or carriers, shall use an NTEP-approved measuring device. In the absence of an applicable NTEP program for said device, it shall be used in accordance with the manufacturer’s approved application.</w:t>
      </w:r>
    </w:p>
    <w:p w14:paraId="3063CF40"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8. Carrier Inspection Certificate - Required Entries</w:t>
      </w:r>
    </w:p>
    <w:p w14:paraId="00129BA0" w14:textId="77777777" w:rsidR="002646B2" w:rsidRPr="002646B2" w:rsidRDefault="002646B2" w:rsidP="0076491B">
      <w:pPr>
        <w:numPr>
          <w:ilvl w:val="0"/>
          <w:numId w:val="39"/>
        </w:numPr>
        <w:spacing w:after="0"/>
        <w:ind w:left="720"/>
        <w:jc w:val="left"/>
        <w:rPr>
          <w:rFonts w:eastAsia="Times New Roman"/>
          <w:b/>
          <w:bCs/>
          <w:szCs w:val="20"/>
          <w:u w:val="single"/>
        </w:rPr>
      </w:pPr>
      <w:r w:rsidRPr="002646B2">
        <w:rPr>
          <w:rFonts w:eastAsia="Times New Roman"/>
          <w:b/>
          <w:bCs/>
          <w:szCs w:val="20"/>
          <w:u w:val="single"/>
        </w:rPr>
        <w:lastRenderedPageBreak/>
        <w:t>The documentation, when properly completed and signed, including digital signatures, shall be prima facie evidence of the accuracy of the recorded results and procedures followed.</w:t>
      </w:r>
    </w:p>
    <w:p w14:paraId="64E906A4" w14:textId="77777777" w:rsidR="002646B2" w:rsidRPr="002646B2" w:rsidRDefault="002646B2" w:rsidP="0076491B">
      <w:pPr>
        <w:numPr>
          <w:ilvl w:val="0"/>
          <w:numId w:val="39"/>
        </w:numPr>
        <w:spacing w:after="0"/>
        <w:ind w:left="720"/>
        <w:jc w:val="left"/>
        <w:rPr>
          <w:rFonts w:eastAsia="Times New Roman"/>
          <w:b/>
          <w:bCs/>
          <w:szCs w:val="20"/>
          <w:u w:val="single"/>
        </w:rPr>
      </w:pPr>
      <w:r w:rsidRPr="002646B2">
        <w:rPr>
          <w:rFonts w:eastAsia="Times New Roman"/>
          <w:b/>
          <w:bCs/>
          <w:szCs w:val="20"/>
          <w:u w:val="single"/>
        </w:rPr>
        <w:t>The recorded information to be provided on the documentation shall be prescribed by the Director and will include, but not be limited to, the following:</w:t>
      </w:r>
    </w:p>
    <w:p w14:paraId="5AB0A04A"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employee identifier of the individual(s) who conduct(s) the inspection;</w:t>
      </w:r>
    </w:p>
    <w:p w14:paraId="45020EC6"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date and time of the inspection;</w:t>
      </w:r>
    </w:p>
    <w:p w14:paraId="7AFD9E3D"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identifying information for the issuing terminal to include physical address and contact information;</w:t>
      </w:r>
    </w:p>
    <w:p w14:paraId="6EAC81F8"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 xml:space="preserve">unique identifier of the weighing or measuring device used to conduct the inspection;  </w:t>
      </w:r>
    </w:p>
    <w:p w14:paraId="6B02F204"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 xml:space="preserve">indicated reweigh or remeasure value from the weighing device or measuring device for each handling unit; </w:t>
      </w:r>
    </w:p>
    <w:p w14:paraId="6B0B6515"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 xml:space="preserve">indicated NMFC code and commodity description related to freight class for each handling unit or shipment correlating to a change in weight, measure, or density; </w:t>
      </w:r>
    </w:p>
    <w:p w14:paraId="2F31CA8B"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identifying information for both the Pro Number and BOL, if applicable; and</w:t>
      </w:r>
    </w:p>
    <w:p w14:paraId="24341056" w14:textId="77777777" w:rsidR="002646B2" w:rsidRPr="002646B2" w:rsidRDefault="002646B2" w:rsidP="0076491B">
      <w:pPr>
        <w:numPr>
          <w:ilvl w:val="0"/>
          <w:numId w:val="40"/>
        </w:numPr>
        <w:spacing w:after="0"/>
        <w:ind w:left="1080"/>
        <w:jc w:val="left"/>
        <w:rPr>
          <w:rFonts w:eastAsia="Times New Roman"/>
          <w:b/>
          <w:bCs/>
          <w:szCs w:val="20"/>
          <w:u w:val="single"/>
        </w:rPr>
      </w:pPr>
      <w:r w:rsidRPr="002646B2">
        <w:rPr>
          <w:rFonts w:eastAsia="Times New Roman"/>
          <w:b/>
          <w:bCs/>
          <w:szCs w:val="20"/>
          <w:u w:val="single"/>
        </w:rPr>
        <w:t>name and address of the shipper from the point of origin.</w:t>
      </w:r>
    </w:p>
    <w:p w14:paraId="7C6384E9"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9. Copies of Carrier Inspection Certificates</w:t>
      </w:r>
    </w:p>
    <w:p w14:paraId="10EEDE67" w14:textId="77777777" w:rsidR="002646B2" w:rsidRPr="002646B2" w:rsidRDefault="002646B2" w:rsidP="002646B2">
      <w:pPr>
        <w:spacing w:before="100" w:beforeAutospacing="1" w:after="100" w:afterAutospacing="1"/>
        <w:jc w:val="left"/>
        <w:rPr>
          <w:rFonts w:eastAsia="Times New Roman"/>
          <w:i/>
          <w:iCs/>
          <w:szCs w:val="20"/>
        </w:rPr>
      </w:pPr>
      <w:r w:rsidRPr="002646B2">
        <w:rPr>
          <w:rFonts w:eastAsia="Times New Roman"/>
          <w:b/>
          <w:bCs/>
          <w:szCs w:val="20"/>
          <w:u w:val="single"/>
        </w:rPr>
        <w:t xml:space="preserve">The carrier and 3PL shall keep and preserve for the period of two years, a legible copy of each inspection certificate issued to the shipper. The certificates, as required in Section 8. Carrier Inspection Certificate - Required Entries, shall be available for inspection within 48 hours by a weights and measures official during normal business hours.  </w:t>
      </w:r>
    </w:p>
    <w:p w14:paraId="36D6BD5B"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10. Prohibited Acts</w:t>
      </w:r>
    </w:p>
    <w:p w14:paraId="672B1EC7" w14:textId="77777777" w:rsidR="002646B2" w:rsidRPr="002646B2" w:rsidRDefault="002646B2" w:rsidP="002646B2">
      <w:pPr>
        <w:spacing w:before="100" w:beforeAutospacing="1" w:after="100" w:afterAutospacing="1"/>
        <w:jc w:val="left"/>
        <w:rPr>
          <w:rFonts w:eastAsia="Times New Roman"/>
          <w:b/>
          <w:bCs/>
          <w:szCs w:val="20"/>
        </w:rPr>
      </w:pPr>
      <w:r w:rsidRPr="002646B2">
        <w:rPr>
          <w:rFonts w:eastAsia="Times New Roman"/>
          <w:b/>
          <w:bCs/>
          <w:szCs w:val="20"/>
        </w:rPr>
        <w:t>It shall be unlawful if any entity:</w:t>
      </w:r>
    </w:p>
    <w:p w14:paraId="7C48A682" w14:textId="77777777" w:rsidR="002646B2" w:rsidRPr="002646B2" w:rsidRDefault="002646B2" w:rsidP="0076491B">
      <w:pPr>
        <w:numPr>
          <w:ilvl w:val="0"/>
          <w:numId w:val="42"/>
        </w:numPr>
        <w:spacing w:before="100" w:beforeAutospacing="1" w:after="100" w:afterAutospacing="1"/>
        <w:contextualSpacing/>
        <w:jc w:val="left"/>
        <w:rPr>
          <w:rFonts w:eastAsia="Times New Roman"/>
          <w:b/>
          <w:bCs/>
          <w:szCs w:val="20"/>
          <w:u w:val="single"/>
        </w:rPr>
      </w:pPr>
      <w:r w:rsidRPr="002646B2">
        <w:rPr>
          <w:rFonts w:eastAsia="Times New Roman"/>
          <w:b/>
          <w:bCs/>
          <w:szCs w:val="20"/>
          <w:u w:val="single"/>
        </w:rPr>
        <w:t>violates any provisions of this Act or any regulation promulgated under this Act, with intent to defraud; or</w:t>
      </w:r>
    </w:p>
    <w:p w14:paraId="0A28D0DA" w14:textId="77777777" w:rsidR="002646B2" w:rsidRPr="002646B2" w:rsidRDefault="002646B2" w:rsidP="002646B2">
      <w:pPr>
        <w:spacing w:before="100" w:beforeAutospacing="1" w:after="100" w:afterAutospacing="1"/>
        <w:ind w:left="720"/>
        <w:contextualSpacing/>
        <w:jc w:val="left"/>
        <w:rPr>
          <w:rFonts w:eastAsia="Times New Roman"/>
          <w:b/>
          <w:bCs/>
          <w:szCs w:val="20"/>
          <w:u w:val="single"/>
        </w:rPr>
      </w:pPr>
    </w:p>
    <w:p w14:paraId="5AE0E5FA" w14:textId="77777777" w:rsidR="002646B2" w:rsidRPr="002646B2" w:rsidRDefault="002646B2" w:rsidP="0076491B">
      <w:pPr>
        <w:numPr>
          <w:ilvl w:val="0"/>
          <w:numId w:val="42"/>
        </w:numPr>
        <w:spacing w:before="100" w:beforeAutospacing="1" w:after="100" w:afterAutospacing="1"/>
        <w:contextualSpacing/>
        <w:jc w:val="left"/>
        <w:rPr>
          <w:rFonts w:eastAsia="Times New Roman"/>
          <w:b/>
          <w:bCs/>
          <w:szCs w:val="20"/>
          <w:u w:val="single"/>
        </w:rPr>
      </w:pPr>
      <w:r w:rsidRPr="002646B2">
        <w:rPr>
          <w:rFonts w:eastAsia="Times New Roman"/>
          <w:b/>
          <w:bCs/>
          <w:szCs w:val="20"/>
          <w:u w:val="single"/>
        </w:rPr>
        <w:t>knowingly or with intent to defraud</w:t>
      </w:r>
      <w:r w:rsidRPr="002646B2">
        <w:rPr>
          <w:rFonts w:eastAsia="Times New Roman"/>
          <w:b/>
          <w:bCs/>
          <w:szCs w:val="20"/>
        </w:rPr>
        <w:t xml:space="preserve"> - </w:t>
      </w:r>
    </w:p>
    <w:p w14:paraId="00E39D2A" w14:textId="77777777" w:rsidR="002646B2" w:rsidRPr="002646B2" w:rsidRDefault="002646B2" w:rsidP="002646B2">
      <w:pPr>
        <w:spacing w:after="0"/>
        <w:ind w:left="720"/>
        <w:contextualSpacing/>
        <w:jc w:val="left"/>
        <w:rPr>
          <w:rFonts w:eastAsia="Times New Roman"/>
          <w:b/>
          <w:bCs/>
          <w:szCs w:val="20"/>
          <w:u w:val="single"/>
        </w:rPr>
      </w:pPr>
    </w:p>
    <w:p w14:paraId="3710F29B" w14:textId="77777777" w:rsidR="002646B2" w:rsidRPr="002646B2" w:rsidRDefault="002646B2" w:rsidP="0076491B">
      <w:pPr>
        <w:numPr>
          <w:ilvl w:val="0"/>
          <w:numId w:val="43"/>
        </w:numPr>
        <w:spacing w:before="100" w:beforeAutospacing="1" w:after="100" w:afterAutospacing="1"/>
        <w:contextualSpacing/>
        <w:jc w:val="left"/>
        <w:rPr>
          <w:rFonts w:eastAsia="Times New Roman"/>
          <w:b/>
          <w:bCs/>
          <w:szCs w:val="20"/>
          <w:u w:val="single"/>
        </w:rPr>
      </w:pPr>
      <w:r w:rsidRPr="002646B2">
        <w:rPr>
          <w:rFonts w:eastAsia="Times New Roman"/>
          <w:b/>
          <w:bCs/>
          <w:szCs w:val="20"/>
          <w:u w:val="single"/>
        </w:rPr>
        <w:t xml:space="preserve">provides a false commodity description, freight class, NMFC code, density, weight, or measurement either orally or written; </w:t>
      </w:r>
    </w:p>
    <w:p w14:paraId="2037ED71" w14:textId="77777777" w:rsidR="002646B2" w:rsidRPr="002646B2" w:rsidRDefault="002646B2" w:rsidP="002646B2">
      <w:pPr>
        <w:spacing w:before="100" w:beforeAutospacing="1" w:after="100" w:afterAutospacing="1"/>
        <w:ind w:left="1080"/>
        <w:contextualSpacing/>
        <w:jc w:val="left"/>
        <w:rPr>
          <w:rFonts w:eastAsia="Times New Roman"/>
          <w:b/>
          <w:bCs/>
          <w:szCs w:val="20"/>
          <w:u w:val="single"/>
        </w:rPr>
      </w:pPr>
    </w:p>
    <w:p w14:paraId="1C9CD1C8" w14:textId="77777777" w:rsidR="002646B2" w:rsidRPr="002646B2" w:rsidRDefault="002646B2" w:rsidP="0076491B">
      <w:pPr>
        <w:numPr>
          <w:ilvl w:val="0"/>
          <w:numId w:val="43"/>
        </w:numPr>
        <w:spacing w:before="100" w:beforeAutospacing="1" w:after="100" w:afterAutospacing="1"/>
        <w:contextualSpacing/>
        <w:jc w:val="left"/>
        <w:rPr>
          <w:rFonts w:eastAsia="Times New Roman"/>
          <w:b/>
          <w:bCs/>
          <w:szCs w:val="20"/>
          <w:u w:val="single"/>
        </w:rPr>
      </w:pPr>
      <w:r w:rsidRPr="002646B2">
        <w:rPr>
          <w:rFonts w:eastAsia="Times New Roman"/>
          <w:b/>
          <w:bCs/>
          <w:szCs w:val="20"/>
          <w:u w:val="single"/>
        </w:rPr>
        <w:t>satisfies fewer than all requirements of this Act as stated in Sections 5, 6, 7, 8, and 9;</w:t>
      </w:r>
    </w:p>
    <w:p w14:paraId="4728B54E" w14:textId="77777777" w:rsidR="002646B2" w:rsidRPr="002646B2" w:rsidRDefault="002646B2" w:rsidP="002646B2">
      <w:pPr>
        <w:spacing w:after="0"/>
        <w:ind w:left="720"/>
        <w:contextualSpacing/>
        <w:jc w:val="left"/>
        <w:rPr>
          <w:rFonts w:eastAsia="Times New Roman"/>
          <w:b/>
          <w:bCs/>
          <w:szCs w:val="20"/>
          <w:u w:val="single"/>
        </w:rPr>
      </w:pPr>
    </w:p>
    <w:p w14:paraId="7FC04E65" w14:textId="77777777" w:rsidR="002646B2" w:rsidRPr="002646B2" w:rsidRDefault="002646B2" w:rsidP="0076491B">
      <w:pPr>
        <w:numPr>
          <w:ilvl w:val="0"/>
          <w:numId w:val="43"/>
        </w:numPr>
        <w:spacing w:before="100" w:beforeAutospacing="1" w:after="0" w:afterAutospacing="1"/>
        <w:contextualSpacing/>
        <w:jc w:val="left"/>
        <w:rPr>
          <w:rFonts w:eastAsia="Times New Roman"/>
          <w:b/>
          <w:bCs/>
          <w:szCs w:val="20"/>
          <w:u w:val="single"/>
        </w:rPr>
      </w:pPr>
      <w:r w:rsidRPr="002646B2">
        <w:rPr>
          <w:rFonts w:eastAsia="Times New Roman"/>
          <w:b/>
          <w:bCs/>
          <w:szCs w:val="20"/>
          <w:u w:val="single"/>
        </w:rPr>
        <w:t>hinders or obstructs in any way the Director or their authorized agent in the performance of the Director’s official duties under this Act;</w:t>
      </w:r>
    </w:p>
    <w:p w14:paraId="0F8C6976" w14:textId="77777777" w:rsidR="002646B2" w:rsidRPr="002646B2" w:rsidRDefault="002646B2" w:rsidP="002646B2">
      <w:pPr>
        <w:spacing w:after="0"/>
        <w:ind w:left="720"/>
        <w:contextualSpacing/>
        <w:jc w:val="left"/>
        <w:rPr>
          <w:rFonts w:eastAsia="Times New Roman"/>
          <w:b/>
          <w:bCs/>
          <w:szCs w:val="20"/>
          <w:u w:val="single"/>
        </w:rPr>
      </w:pPr>
    </w:p>
    <w:p w14:paraId="18B69595" w14:textId="77777777" w:rsidR="002646B2" w:rsidRPr="002646B2" w:rsidRDefault="002646B2" w:rsidP="0076491B">
      <w:pPr>
        <w:numPr>
          <w:ilvl w:val="0"/>
          <w:numId w:val="43"/>
        </w:numPr>
        <w:spacing w:after="0"/>
        <w:contextualSpacing/>
        <w:jc w:val="left"/>
        <w:rPr>
          <w:rFonts w:eastAsia="Times New Roman"/>
          <w:b/>
          <w:bCs/>
          <w:szCs w:val="20"/>
          <w:u w:val="single"/>
        </w:rPr>
      </w:pPr>
      <w:r w:rsidRPr="002646B2">
        <w:rPr>
          <w:rFonts w:eastAsia="Times New Roman"/>
          <w:b/>
          <w:bCs/>
          <w:szCs w:val="20"/>
          <w:u w:val="single"/>
        </w:rPr>
        <w:t>uses or have in their possession a measuring system or any of its components that have been designed, modified, or used to facilitate fraud, or that has not been approved for commercial use by a weights and measures agency and/or official, or other authorized regulatory authority having jurisdiction over the measuring system.</w:t>
      </w:r>
    </w:p>
    <w:p w14:paraId="09FB6032" w14:textId="568DF6DE" w:rsidR="002646B2" w:rsidRPr="002646B2" w:rsidRDefault="002646B2" w:rsidP="00346B96">
      <w:pPr>
        <w:spacing w:after="0"/>
        <w:ind w:left="720"/>
        <w:contextualSpacing/>
        <w:jc w:val="left"/>
        <w:rPr>
          <w:rFonts w:eastAsia="Times New Roman"/>
          <w:b/>
          <w:bCs/>
          <w:szCs w:val="20"/>
          <w:u w:val="single"/>
        </w:rPr>
      </w:pPr>
      <w:r w:rsidRPr="002646B2">
        <w:rPr>
          <w:rFonts w:eastAsia="Times New Roman"/>
          <w:b/>
          <w:bCs/>
          <w:szCs w:val="20"/>
          <w:u w:val="single"/>
        </w:rPr>
        <w:t>*Removed (5) language which mimicked 10 (a).*</w:t>
      </w:r>
    </w:p>
    <w:p w14:paraId="0BA626D9" w14:textId="77777777" w:rsidR="002646B2" w:rsidRPr="002646B2" w:rsidRDefault="002646B2" w:rsidP="002646B2">
      <w:pPr>
        <w:tabs>
          <w:tab w:val="left" w:pos="540"/>
        </w:tabs>
        <w:spacing w:before="100" w:beforeAutospacing="1" w:after="100" w:afterAutospacing="1"/>
        <w:ind w:left="-90"/>
        <w:jc w:val="left"/>
        <w:rPr>
          <w:rFonts w:eastAsia="Times New Roman"/>
          <w:b/>
          <w:bCs/>
          <w:szCs w:val="20"/>
          <w:u w:val="single"/>
        </w:rPr>
      </w:pPr>
      <w:r w:rsidRPr="002646B2">
        <w:rPr>
          <w:rFonts w:eastAsia="Times New Roman"/>
          <w:b/>
          <w:bCs/>
          <w:szCs w:val="20"/>
          <w:u w:val="single"/>
        </w:rPr>
        <w:t>Section 11. Civil Penalties</w:t>
      </w:r>
    </w:p>
    <w:p w14:paraId="002D0DA8" w14:textId="77777777" w:rsidR="002646B2" w:rsidRPr="002646B2" w:rsidRDefault="002646B2" w:rsidP="002646B2">
      <w:pPr>
        <w:tabs>
          <w:tab w:val="left" w:pos="540"/>
        </w:tabs>
        <w:spacing w:before="100" w:beforeAutospacing="1" w:after="100" w:afterAutospacing="1"/>
        <w:ind w:left="-90"/>
        <w:jc w:val="left"/>
        <w:rPr>
          <w:rFonts w:eastAsia="Times New Roman"/>
          <w:b/>
          <w:bCs/>
          <w:szCs w:val="20"/>
          <w:u w:val="single"/>
        </w:rPr>
      </w:pPr>
      <w:r w:rsidRPr="002646B2">
        <w:rPr>
          <w:rFonts w:eastAsia="Times New Roman"/>
          <w:b/>
          <w:bCs/>
          <w:szCs w:val="20"/>
          <w:u w:val="single"/>
        </w:rPr>
        <w:t xml:space="preserve">11.1. </w:t>
      </w:r>
      <w:r w:rsidRPr="002646B2">
        <w:rPr>
          <w:rFonts w:eastAsia="Times New Roman"/>
          <w:b/>
          <w:bCs/>
          <w:szCs w:val="20"/>
          <w:u w:val="single"/>
        </w:rPr>
        <w:tab/>
        <w:t xml:space="preserve">Assessment of Penalties. – Any entity who by themselves or by their servant or agent commits any of the acts enumerated in Section 10. Prohibited Acts may be assessed by the _________ a civil penalty of: </w:t>
      </w:r>
    </w:p>
    <w:p w14:paraId="5B7189B2" w14:textId="77777777" w:rsidR="002646B2" w:rsidRPr="002646B2" w:rsidRDefault="002646B2" w:rsidP="0076491B">
      <w:pPr>
        <w:numPr>
          <w:ilvl w:val="0"/>
          <w:numId w:val="41"/>
        </w:numPr>
        <w:spacing w:after="0"/>
        <w:ind w:left="720"/>
        <w:jc w:val="left"/>
        <w:rPr>
          <w:rFonts w:eastAsia="Times New Roman"/>
          <w:b/>
          <w:bCs/>
          <w:szCs w:val="20"/>
          <w:u w:val="single"/>
        </w:rPr>
      </w:pPr>
      <w:r w:rsidRPr="002646B2">
        <w:rPr>
          <w:rFonts w:eastAsia="Times New Roman"/>
          <w:b/>
          <w:bCs/>
          <w:szCs w:val="20"/>
          <w:u w:val="single"/>
        </w:rPr>
        <w:t>not less than $ nor more than $ for a first violation,</w:t>
      </w:r>
    </w:p>
    <w:p w14:paraId="2DBC5D30" w14:textId="77777777" w:rsidR="002646B2" w:rsidRPr="002646B2" w:rsidRDefault="002646B2" w:rsidP="0076491B">
      <w:pPr>
        <w:numPr>
          <w:ilvl w:val="0"/>
          <w:numId w:val="41"/>
        </w:numPr>
        <w:spacing w:after="0"/>
        <w:ind w:left="720"/>
        <w:jc w:val="left"/>
        <w:rPr>
          <w:rFonts w:eastAsia="Times New Roman"/>
          <w:b/>
          <w:bCs/>
          <w:szCs w:val="20"/>
          <w:u w:val="single"/>
        </w:rPr>
      </w:pPr>
      <w:r w:rsidRPr="002646B2">
        <w:rPr>
          <w:rFonts w:eastAsia="Times New Roman"/>
          <w:b/>
          <w:bCs/>
          <w:szCs w:val="20"/>
          <w:u w:val="single"/>
        </w:rPr>
        <w:t>not less than $ nor more than $ for a second violation within from the date of the first violation, and</w:t>
      </w:r>
    </w:p>
    <w:p w14:paraId="2E4FD567" w14:textId="77777777" w:rsidR="002646B2" w:rsidRPr="002646B2" w:rsidRDefault="002646B2" w:rsidP="0076491B">
      <w:pPr>
        <w:numPr>
          <w:ilvl w:val="0"/>
          <w:numId w:val="41"/>
        </w:numPr>
        <w:spacing w:after="0"/>
        <w:ind w:left="720"/>
        <w:jc w:val="left"/>
        <w:rPr>
          <w:rFonts w:eastAsia="Times New Roman"/>
          <w:b/>
          <w:bCs/>
          <w:szCs w:val="20"/>
          <w:u w:val="single"/>
        </w:rPr>
      </w:pPr>
      <w:r w:rsidRPr="002646B2">
        <w:rPr>
          <w:rFonts w:eastAsia="Times New Roman"/>
          <w:b/>
          <w:bCs/>
          <w:szCs w:val="20"/>
          <w:u w:val="single"/>
        </w:rPr>
        <w:t>not less than $ nor more than $ for a third violation within from the date of the first violation.</w:t>
      </w:r>
    </w:p>
    <w:p w14:paraId="47BA9786" w14:textId="77777777" w:rsidR="002646B2" w:rsidRPr="002646B2" w:rsidRDefault="002646B2" w:rsidP="002646B2">
      <w:pPr>
        <w:ind w:left="720"/>
        <w:jc w:val="left"/>
        <w:rPr>
          <w:rFonts w:eastAsia="Times New Roman"/>
          <w:b/>
          <w:bCs/>
          <w:szCs w:val="20"/>
          <w:u w:val="single"/>
        </w:rPr>
      </w:pPr>
    </w:p>
    <w:p w14:paraId="5C53D7FA"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11.2.</w:t>
      </w:r>
      <w:r w:rsidRPr="002646B2">
        <w:rPr>
          <w:rFonts w:eastAsia="Times New Roman"/>
          <w:b/>
          <w:bCs/>
          <w:szCs w:val="20"/>
          <w:u w:val="single"/>
        </w:rPr>
        <w:tab/>
        <w:t>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17918C08"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11.3.</w:t>
      </w:r>
      <w:r w:rsidRPr="002646B2">
        <w:rPr>
          <w:rFonts w:eastAsia="Times New Roman"/>
          <w:b/>
          <w:bCs/>
          <w:szCs w:val="20"/>
          <w:u w:val="single"/>
        </w:rPr>
        <w:tab/>
        <w:t>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45B5CC33"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12. Criminal Penalties</w:t>
      </w:r>
    </w:p>
    <w:p w14:paraId="6A678A54" w14:textId="77777777" w:rsidR="002646B2" w:rsidRPr="002646B2" w:rsidRDefault="002646B2" w:rsidP="002646B2">
      <w:pPr>
        <w:tabs>
          <w:tab w:val="left" w:pos="540"/>
        </w:tabs>
        <w:spacing w:before="100" w:beforeAutospacing="1" w:after="100" w:afterAutospacing="1"/>
        <w:jc w:val="left"/>
        <w:rPr>
          <w:rFonts w:eastAsia="Times New Roman"/>
          <w:b/>
          <w:bCs/>
          <w:szCs w:val="20"/>
          <w:u w:val="single"/>
        </w:rPr>
      </w:pPr>
      <w:r w:rsidRPr="002646B2">
        <w:rPr>
          <w:rFonts w:eastAsia="Times New Roman"/>
          <w:b/>
          <w:bCs/>
          <w:szCs w:val="20"/>
          <w:u w:val="single"/>
        </w:rPr>
        <w:t>12.1.</w:t>
      </w:r>
      <w:r w:rsidRPr="002646B2">
        <w:rPr>
          <w:rFonts w:eastAsia="Times New Roman"/>
          <w:b/>
          <w:bCs/>
          <w:szCs w:val="20"/>
          <w:u w:val="single"/>
        </w:rPr>
        <w:tab/>
        <w:t>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2132B580"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12.2.  Felony. – Any entity who by themselves or their servant or agent who intentionally commits any of the acts enumerated in Section 10.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3169A214"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13. Restraining Order and Injunction</w:t>
      </w:r>
    </w:p>
    <w:p w14:paraId="3C7BA40B"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The Director is authorized to apply to any court of competent jurisdiction for a restraining order, or a temporary or permanent injunction, restraining any person from violating any provision of this Act.</w:t>
      </w:r>
    </w:p>
    <w:p w14:paraId="6E511E79"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14. Validity of Prosecutions</w:t>
      </w:r>
    </w:p>
    <w:p w14:paraId="390AF80D"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74DADA5E"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15. Severability Provision</w:t>
      </w:r>
    </w:p>
    <w:p w14:paraId="0AF84B94"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727810F4"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16. Repeal of Conflicting Laws</w:t>
      </w:r>
    </w:p>
    <w:p w14:paraId="032F5695"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4A194202"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Section 17. Citation</w:t>
      </w:r>
    </w:p>
    <w:p w14:paraId="46062331"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t>This Act may be cited as the “Shipment Act of __________.”</w:t>
      </w:r>
    </w:p>
    <w:p w14:paraId="7480DED2" w14:textId="77777777" w:rsidR="002646B2" w:rsidRPr="002646B2" w:rsidRDefault="002646B2" w:rsidP="002646B2">
      <w:pPr>
        <w:spacing w:before="100" w:beforeAutospacing="1" w:after="100" w:afterAutospacing="1"/>
        <w:jc w:val="left"/>
        <w:rPr>
          <w:rFonts w:eastAsia="Times New Roman"/>
          <w:b/>
          <w:bCs/>
          <w:szCs w:val="20"/>
          <w:u w:val="single"/>
        </w:rPr>
      </w:pPr>
      <w:r w:rsidRPr="002646B2">
        <w:rPr>
          <w:rFonts w:eastAsia="Times New Roman"/>
          <w:b/>
          <w:bCs/>
          <w:szCs w:val="20"/>
          <w:u w:val="single"/>
        </w:rPr>
        <w:lastRenderedPageBreak/>
        <w:t>Section 18. Effective Date</w:t>
      </w:r>
    </w:p>
    <w:p w14:paraId="79EE1851" w14:textId="6445BDA9" w:rsidR="002646B2" w:rsidRPr="00033D89" w:rsidRDefault="002646B2" w:rsidP="00033D89">
      <w:pPr>
        <w:rPr>
          <w:b/>
          <w:bCs/>
          <w:szCs w:val="20"/>
          <w:u w:val="single"/>
        </w:rPr>
      </w:pPr>
      <w:r w:rsidRPr="002646B2">
        <w:rPr>
          <w:b/>
          <w:bCs/>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8AF1C66" w14:textId="4F2943A3" w:rsidR="00AA424B" w:rsidRDefault="00AA424B" w:rsidP="00AA424B">
      <w:pPr>
        <w:spacing w:after="0"/>
        <w:ind w:left="360"/>
      </w:pPr>
      <w:r>
        <w:t>2025: Assigned to the Uniform Shipping Law Task Group</w:t>
      </w:r>
    </w:p>
    <w:p w14:paraId="5190BEEA" w14:textId="778C33E0" w:rsidR="00BA2D06" w:rsidRDefault="00B50CBD" w:rsidP="00AA424B">
      <w:pPr>
        <w:ind w:left="360"/>
      </w:pPr>
      <w:r>
        <w:t xml:space="preserve">2024: </w:t>
      </w:r>
      <w:r w:rsidR="005A5AEB">
        <w:t>Assigned</w:t>
      </w:r>
      <w:r w:rsidR="00BA2D06">
        <w:t xml:space="preserve"> </w:t>
      </w:r>
      <w:r w:rsidR="007D68E7">
        <w:t>to the Uniform Shipping Law Task Group</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108C7D93" w14:textId="77777777" w:rsidR="00295EBA" w:rsidRPr="002A7C3B" w:rsidRDefault="00295EBA" w:rsidP="00295EBA">
      <w:pPr>
        <w:keepNext/>
        <w:rPr>
          <w:b/>
        </w:rPr>
      </w:pPr>
      <w:r>
        <w:rPr>
          <w:b/>
        </w:rPr>
        <w:t>Comments</w:t>
      </w:r>
      <w:r w:rsidRPr="002A7C3B">
        <w:rPr>
          <w:b/>
        </w:rPr>
        <w:t xml:space="preserve"> in Favor:</w:t>
      </w:r>
    </w:p>
    <w:p w14:paraId="0DFEFCFE" w14:textId="5753359E" w:rsidR="00534074" w:rsidRPr="00C114E4" w:rsidRDefault="0042639E" w:rsidP="00B530E4">
      <w:pPr>
        <w:keepNext/>
        <w:spacing w:after="0"/>
        <w:ind w:firstLine="720"/>
        <w:rPr>
          <w:bCs/>
        </w:rPr>
      </w:pPr>
      <w:r>
        <w:rPr>
          <w:b/>
        </w:rPr>
        <w:t>Weights and Measures Officials</w:t>
      </w:r>
      <w:r w:rsidR="00295EBA" w:rsidRPr="00B530E4">
        <w:rPr>
          <w:b/>
        </w:rPr>
        <w:t>:</w:t>
      </w:r>
    </w:p>
    <w:p w14:paraId="258D7A96" w14:textId="59597C57" w:rsidR="00413507" w:rsidRPr="00096176" w:rsidRDefault="00413507" w:rsidP="00B530E4">
      <w:pPr>
        <w:pStyle w:val="ListParagraph"/>
        <w:keepNext/>
        <w:numPr>
          <w:ilvl w:val="0"/>
          <w:numId w:val="26"/>
        </w:numPr>
        <w:spacing w:after="0"/>
        <w:rPr>
          <w:bCs/>
        </w:rPr>
      </w:pPr>
      <w:r>
        <w:rPr>
          <w:bCs/>
        </w:rPr>
        <w:t xml:space="preserve">Seven </w:t>
      </w:r>
      <w:r w:rsidR="001B29F9">
        <w:rPr>
          <w:bCs/>
        </w:rPr>
        <w:t>w</w:t>
      </w:r>
      <w:r w:rsidRPr="001B29F9">
        <w:rPr>
          <w:bCs/>
        </w:rPr>
        <w:t xml:space="preserve">eights and </w:t>
      </w:r>
      <w:r w:rsidR="001B29F9">
        <w:rPr>
          <w:bCs/>
        </w:rPr>
        <w:t>m</w:t>
      </w:r>
      <w:r w:rsidRPr="001B29F9">
        <w:rPr>
          <w:bCs/>
        </w:rPr>
        <w:t xml:space="preserve">easures </w:t>
      </w:r>
      <w:r w:rsidR="006D1E9C" w:rsidRPr="001B29F9">
        <w:rPr>
          <w:bCs/>
        </w:rPr>
        <w:t>officials</w:t>
      </w:r>
      <w:r w:rsidR="00C114E4">
        <w:rPr>
          <w:bCs/>
        </w:rPr>
        <w:t xml:space="preserve"> supported the item and recommended that it remain Assigned.</w:t>
      </w:r>
    </w:p>
    <w:p w14:paraId="63114CA7" w14:textId="2CF87231" w:rsidR="00C97D2E" w:rsidRPr="002A7C3B" w:rsidRDefault="00295EBA" w:rsidP="00C97D2E">
      <w:pPr>
        <w:spacing w:before="240" w:after="0"/>
        <w:ind w:left="720"/>
        <w:rPr>
          <w:b/>
        </w:rPr>
      </w:pPr>
      <w:r w:rsidRPr="002A7C3B">
        <w:rPr>
          <w:b/>
        </w:rPr>
        <w:t>Industry:</w:t>
      </w:r>
    </w:p>
    <w:p w14:paraId="62CF11FC" w14:textId="5C67FBFE" w:rsidR="00295EBA" w:rsidRPr="002A7C3B" w:rsidRDefault="008822FC" w:rsidP="00295EBA">
      <w:pPr>
        <w:pStyle w:val="ListParagraph"/>
        <w:numPr>
          <w:ilvl w:val="0"/>
          <w:numId w:val="26"/>
        </w:numPr>
        <w:spacing w:after="0" w:line="259" w:lineRule="auto"/>
        <w:contextualSpacing/>
        <w:jc w:val="left"/>
      </w:pPr>
      <w:r>
        <w:t>None</w:t>
      </w:r>
    </w:p>
    <w:p w14:paraId="3CF1EA9B" w14:textId="77777777" w:rsidR="00295EBA" w:rsidRPr="002A7C3B" w:rsidRDefault="00295EBA" w:rsidP="00295EBA">
      <w:pPr>
        <w:spacing w:before="240" w:after="0"/>
        <w:ind w:left="720"/>
        <w:rPr>
          <w:b/>
        </w:rPr>
      </w:pPr>
      <w:r w:rsidRPr="002A7C3B">
        <w:rPr>
          <w:b/>
        </w:rPr>
        <w:t>Advisory:</w:t>
      </w:r>
    </w:p>
    <w:p w14:paraId="27C21207" w14:textId="63114930" w:rsidR="00295EBA" w:rsidRPr="002A7C3B" w:rsidRDefault="002722EB" w:rsidP="00295EBA">
      <w:pPr>
        <w:pStyle w:val="ListParagraph"/>
        <w:numPr>
          <w:ilvl w:val="0"/>
          <w:numId w:val="26"/>
        </w:numPr>
        <w:spacing w:after="0" w:line="259" w:lineRule="auto"/>
        <w:contextualSpacing/>
        <w:jc w:val="left"/>
      </w:pPr>
      <w:r>
        <w:t xml:space="preserve">The </w:t>
      </w:r>
      <w:r w:rsidR="000234D0">
        <w:t>r</w:t>
      </w:r>
      <w:r>
        <w:t>epresentative from NIST OWM support</w:t>
      </w:r>
      <w:r w:rsidR="00B80EFB">
        <w:t xml:space="preserve">ed </w:t>
      </w:r>
      <w:r w:rsidR="00251B29">
        <w:t xml:space="preserve">keeping the item assigned to the </w:t>
      </w:r>
      <w:r w:rsidR="00B80EFB">
        <w:t>Work Group</w:t>
      </w:r>
      <w:r w:rsidR="00251B29">
        <w:t>.</w:t>
      </w:r>
    </w:p>
    <w:p w14:paraId="5B3A6897" w14:textId="77777777" w:rsidR="00295EBA" w:rsidRPr="002A7C3B" w:rsidRDefault="00295EBA" w:rsidP="00295EBA">
      <w:pPr>
        <w:spacing w:before="240"/>
        <w:rPr>
          <w:b/>
        </w:rPr>
      </w:pPr>
      <w:r>
        <w:rPr>
          <w:b/>
        </w:rPr>
        <w:t>Comments</w:t>
      </w:r>
      <w:r w:rsidRPr="002A7C3B">
        <w:rPr>
          <w:b/>
        </w:rPr>
        <w:t xml:space="preserve"> Against:</w:t>
      </w:r>
    </w:p>
    <w:p w14:paraId="6ACB3EB9" w14:textId="6CDD7DB3" w:rsidR="00295EBA" w:rsidRPr="002A7C3B" w:rsidRDefault="0042639E" w:rsidP="00295EBA">
      <w:pPr>
        <w:spacing w:after="0"/>
        <w:ind w:left="720"/>
        <w:rPr>
          <w:b/>
        </w:rPr>
      </w:pPr>
      <w:r>
        <w:rPr>
          <w:b/>
        </w:rPr>
        <w:t>Weights and Measures Officials</w:t>
      </w:r>
      <w:r w:rsidR="00295EBA" w:rsidRPr="002A7C3B">
        <w:rPr>
          <w:b/>
        </w:rPr>
        <w:t>:</w:t>
      </w:r>
    </w:p>
    <w:p w14:paraId="5810B4E4" w14:textId="226A8C94" w:rsidR="0040165E" w:rsidRPr="00B530E4" w:rsidRDefault="008822FC" w:rsidP="00B530E4">
      <w:pPr>
        <w:pStyle w:val="ListParagraph"/>
        <w:numPr>
          <w:ilvl w:val="0"/>
          <w:numId w:val="27"/>
        </w:numPr>
        <w:spacing w:after="0" w:line="259" w:lineRule="auto"/>
        <w:contextualSpacing/>
        <w:jc w:val="left"/>
        <w:rPr>
          <w:b/>
        </w:rPr>
      </w:pPr>
      <w:r>
        <w:t>None</w:t>
      </w:r>
    </w:p>
    <w:p w14:paraId="27E36881" w14:textId="2E5A44DE" w:rsidR="00295EBA" w:rsidRPr="002A7C3B" w:rsidRDefault="00295EBA" w:rsidP="00295EBA">
      <w:pPr>
        <w:spacing w:before="240" w:after="0"/>
        <w:ind w:left="720"/>
        <w:rPr>
          <w:b/>
        </w:rPr>
      </w:pPr>
      <w:r w:rsidRPr="002A7C3B">
        <w:rPr>
          <w:b/>
        </w:rPr>
        <w:t>Industry:</w:t>
      </w:r>
    </w:p>
    <w:p w14:paraId="5A2CDE33" w14:textId="63B99DD3" w:rsidR="00295EBA" w:rsidRPr="002A7C3B" w:rsidRDefault="009C1833" w:rsidP="00742E30">
      <w:pPr>
        <w:pStyle w:val="ListParagraph"/>
        <w:numPr>
          <w:ilvl w:val="0"/>
          <w:numId w:val="27"/>
        </w:numPr>
        <w:spacing w:after="0" w:line="259" w:lineRule="auto"/>
        <w:contextualSpacing/>
        <w:jc w:val="left"/>
      </w:pPr>
      <w:r>
        <w:t xml:space="preserve">One representative from Industry voiced that the item is not finished </w:t>
      </w:r>
      <w:r w:rsidR="00066901">
        <w:t>and needs clarity.</w:t>
      </w:r>
    </w:p>
    <w:p w14:paraId="0655335B" w14:textId="77777777" w:rsidR="00295EBA" w:rsidRPr="00AC5B86" w:rsidRDefault="00295EBA" w:rsidP="00295EBA">
      <w:pPr>
        <w:spacing w:before="240" w:after="0"/>
        <w:ind w:left="720"/>
        <w:rPr>
          <w:b/>
        </w:rPr>
      </w:pPr>
      <w:r w:rsidRPr="002A7C3B">
        <w:rPr>
          <w:b/>
        </w:rPr>
        <w:t>Advisory:</w:t>
      </w:r>
    </w:p>
    <w:p w14:paraId="0D9FE1F5" w14:textId="3509B39D" w:rsidR="00295EBA" w:rsidRDefault="008822FC" w:rsidP="00295EBA">
      <w:pPr>
        <w:pStyle w:val="ListParagraph"/>
        <w:numPr>
          <w:ilvl w:val="0"/>
          <w:numId w:val="27"/>
        </w:numPr>
        <w:spacing w:after="0" w:line="259" w:lineRule="auto"/>
        <w:contextualSpacing/>
        <w:jc w:val="left"/>
      </w:pPr>
      <w:r>
        <w:t>None</w:t>
      </w:r>
    </w:p>
    <w:p w14:paraId="49AC3AD0" w14:textId="34BA44A5" w:rsidR="00295EBA" w:rsidRPr="002A7C3B" w:rsidRDefault="00295EBA" w:rsidP="00295EBA">
      <w:pPr>
        <w:spacing w:before="240"/>
        <w:rPr>
          <w:b/>
        </w:rPr>
      </w:pPr>
      <w:r>
        <w:rPr>
          <w:b/>
        </w:rPr>
        <w:t>Neutral Comments</w:t>
      </w:r>
      <w:r w:rsidRPr="002A7C3B">
        <w:rPr>
          <w:b/>
        </w:rPr>
        <w:t>:</w:t>
      </w:r>
    </w:p>
    <w:p w14:paraId="6F5909FD" w14:textId="082C37AA" w:rsidR="00295EBA" w:rsidRPr="002A7C3B" w:rsidRDefault="0042639E" w:rsidP="00295EBA">
      <w:pPr>
        <w:spacing w:after="0"/>
        <w:ind w:left="720"/>
        <w:rPr>
          <w:b/>
        </w:rPr>
      </w:pPr>
      <w:r>
        <w:rPr>
          <w:b/>
        </w:rPr>
        <w:t>Weights and Measures Officials</w:t>
      </w:r>
      <w:r w:rsidR="00295EBA" w:rsidRPr="002A7C3B">
        <w:rPr>
          <w:b/>
        </w:rPr>
        <w:t>:</w:t>
      </w:r>
    </w:p>
    <w:p w14:paraId="45E1133D" w14:textId="0944A039" w:rsidR="00295EBA" w:rsidRPr="002A7C3B" w:rsidRDefault="008822FC" w:rsidP="00295EBA">
      <w:pPr>
        <w:pStyle w:val="ListParagraph"/>
        <w:numPr>
          <w:ilvl w:val="0"/>
          <w:numId w:val="27"/>
        </w:numPr>
        <w:spacing w:after="0" w:line="259" w:lineRule="auto"/>
        <w:contextualSpacing/>
        <w:jc w:val="left"/>
      </w:pPr>
      <w:r>
        <w:t xml:space="preserve">Multiple </w:t>
      </w:r>
      <w:r w:rsidR="001B29F9">
        <w:t>w</w:t>
      </w:r>
      <w:r w:rsidR="00C074A3" w:rsidRPr="001B29F9">
        <w:t xml:space="preserve">eights and </w:t>
      </w:r>
      <w:r w:rsidR="001B29F9">
        <w:t>m</w:t>
      </w:r>
      <w:r w:rsidR="00C074A3" w:rsidRPr="001B29F9">
        <w:t xml:space="preserve">easures </w:t>
      </w:r>
      <w:r w:rsidR="006D1E9C" w:rsidRPr="001B29F9">
        <w:t>officials</w:t>
      </w:r>
      <w:r w:rsidR="00C074A3">
        <w:t xml:space="preserve"> recommended maintaining this item as Assigned.</w:t>
      </w:r>
    </w:p>
    <w:p w14:paraId="66ABED64" w14:textId="77777777" w:rsidR="00295EBA" w:rsidRPr="002A7C3B" w:rsidRDefault="00295EBA" w:rsidP="00295EBA">
      <w:pPr>
        <w:spacing w:before="240" w:after="0"/>
        <w:ind w:left="720"/>
        <w:rPr>
          <w:b/>
        </w:rPr>
      </w:pPr>
      <w:r w:rsidRPr="002A7C3B">
        <w:rPr>
          <w:b/>
        </w:rPr>
        <w:t>Industry:</w:t>
      </w:r>
    </w:p>
    <w:p w14:paraId="6CBEF42F" w14:textId="2CFF0E58" w:rsidR="00295EBA" w:rsidRPr="002A7C3B" w:rsidRDefault="00432625" w:rsidP="00295EBA">
      <w:pPr>
        <w:pStyle w:val="ListParagraph"/>
        <w:numPr>
          <w:ilvl w:val="0"/>
          <w:numId w:val="27"/>
        </w:numPr>
        <w:spacing w:after="0" w:line="259" w:lineRule="auto"/>
        <w:contextualSpacing/>
        <w:jc w:val="left"/>
      </w:pPr>
      <w:r>
        <w:t>None</w:t>
      </w:r>
    </w:p>
    <w:p w14:paraId="74AAADA0" w14:textId="77777777" w:rsidR="00295EBA" w:rsidRPr="002A7C3B" w:rsidRDefault="00295EBA" w:rsidP="00295EBA">
      <w:pPr>
        <w:spacing w:before="240" w:after="0"/>
        <w:ind w:left="720"/>
        <w:rPr>
          <w:b/>
        </w:rPr>
      </w:pPr>
      <w:r w:rsidRPr="002A7C3B">
        <w:rPr>
          <w:b/>
        </w:rPr>
        <w:t>Advisory:</w:t>
      </w:r>
    </w:p>
    <w:p w14:paraId="5528C034" w14:textId="4B47D5DD" w:rsidR="005F2F22" w:rsidRPr="005F2F22" w:rsidRDefault="00432625" w:rsidP="005F2F22">
      <w:pPr>
        <w:pStyle w:val="ListParagraph"/>
        <w:numPr>
          <w:ilvl w:val="0"/>
          <w:numId w:val="27"/>
        </w:numPr>
        <w:spacing w:after="0"/>
        <w:contextualSpacing/>
        <w:jc w:val="left"/>
        <w:rPr>
          <w:b/>
        </w:rPr>
      </w:pPr>
      <w:r>
        <w:t>The Work Group Chair recommended maintaining this item as Assigned.</w:t>
      </w:r>
    </w:p>
    <w:p w14:paraId="79D63249" w14:textId="77777777" w:rsidR="005F2F22" w:rsidRPr="00C870F5" w:rsidRDefault="005F2F22" w:rsidP="00C870F5">
      <w:pPr>
        <w:spacing w:after="0"/>
        <w:ind w:left="720"/>
        <w:contextualSpacing/>
        <w:jc w:val="left"/>
        <w:rPr>
          <w:b/>
        </w:rPr>
      </w:pPr>
    </w:p>
    <w:p w14:paraId="2DD3BB7C" w14:textId="77777777" w:rsidR="00C870F5" w:rsidRDefault="00BA2D06" w:rsidP="00A94B54">
      <w:pPr>
        <w:contextualSpacing/>
        <w:jc w:val="left"/>
        <w:rPr>
          <w:b/>
        </w:rPr>
      </w:pPr>
      <w:r w:rsidRPr="00C870F5">
        <w:rPr>
          <w:b/>
        </w:rPr>
        <w:t>Item Development:</w:t>
      </w:r>
    </w:p>
    <w:p w14:paraId="0B144B7A" w14:textId="2B901A69" w:rsidR="00C870F5" w:rsidRPr="00A94B54" w:rsidRDefault="00C870F5" w:rsidP="00A94B54">
      <w:pPr>
        <w:keepNext/>
        <w:keepLines/>
        <w:rPr>
          <w:szCs w:val="20"/>
        </w:rPr>
      </w:pPr>
      <w:r w:rsidRPr="00960A2B">
        <w:rPr>
          <w:szCs w:val="20"/>
          <w:u w:val="single"/>
        </w:rPr>
        <w:t>NCWM 202</w:t>
      </w:r>
      <w:r>
        <w:rPr>
          <w:szCs w:val="20"/>
          <w:u w:val="single"/>
        </w:rPr>
        <w:t>6</w:t>
      </w:r>
      <w:r w:rsidRPr="00960A2B">
        <w:rPr>
          <w:szCs w:val="20"/>
          <w:u w:val="single"/>
        </w:rPr>
        <w:t xml:space="preserve"> Interim</w:t>
      </w:r>
      <w:r w:rsidRPr="00251B29">
        <w:rPr>
          <w:szCs w:val="20"/>
        </w:rPr>
        <w:t>:</w:t>
      </w:r>
      <w:r w:rsidR="001F33AC" w:rsidRPr="00251B29">
        <w:rPr>
          <w:szCs w:val="20"/>
        </w:rPr>
        <w:t xml:space="preserve">  Th</w:t>
      </w:r>
      <w:r w:rsidR="00E66ECC" w:rsidRPr="00251B29">
        <w:rPr>
          <w:szCs w:val="20"/>
        </w:rPr>
        <w:t>is item continues to be assigned to the Task Group as it is not yet fully developed</w:t>
      </w:r>
      <w:r w:rsidR="00251B29">
        <w:rPr>
          <w:szCs w:val="20"/>
        </w:rPr>
        <w:t>.</w:t>
      </w:r>
      <w:r w:rsidR="00E66ECC" w:rsidRPr="00251B29">
        <w:rPr>
          <w:szCs w:val="20"/>
        </w:rPr>
        <w:t xml:space="preserve"> </w:t>
      </w:r>
      <w:r w:rsidR="009F5059">
        <w:rPr>
          <w:szCs w:val="20"/>
        </w:rPr>
        <w:t>The Item under consideration reflects new language provided by the Task Group.</w:t>
      </w:r>
    </w:p>
    <w:p w14:paraId="71CA2B67" w14:textId="483B2F9F" w:rsidR="000A12E3" w:rsidRPr="00A94B54" w:rsidRDefault="00F55CF6" w:rsidP="00A94B54">
      <w:pPr>
        <w:contextualSpacing/>
        <w:jc w:val="left"/>
        <w:rPr>
          <w:b/>
        </w:rPr>
      </w:pPr>
      <w:r w:rsidRPr="00F55CF6">
        <w:rPr>
          <w:bCs/>
          <w:u w:val="single"/>
        </w:rPr>
        <w:t>NCWM 2025 Annual:</w:t>
      </w:r>
      <w:r>
        <w:rPr>
          <w:bCs/>
        </w:rPr>
        <w:t xml:space="preserve"> </w:t>
      </w:r>
      <w:r w:rsidR="00575569">
        <w:rPr>
          <w:bCs/>
        </w:rPr>
        <w:t>The Item is Assigned so the</w:t>
      </w:r>
      <w:r w:rsidRPr="00F55CF6">
        <w:rPr>
          <w:bCs/>
        </w:rPr>
        <w:t xml:space="preserve"> Committee</w:t>
      </w:r>
      <w:r w:rsidR="00575569">
        <w:rPr>
          <w:bCs/>
        </w:rPr>
        <w:t xml:space="preserve"> heard </w:t>
      </w:r>
      <w:r w:rsidR="00CE01C7">
        <w:rPr>
          <w:bCs/>
        </w:rPr>
        <w:t>comments only from the Task Group Chair</w:t>
      </w:r>
      <w:r w:rsidR="00BD7624">
        <w:rPr>
          <w:bCs/>
        </w:rPr>
        <w:t xml:space="preserve"> Mr.</w:t>
      </w:r>
      <w:r w:rsidR="001F2079" w:rsidRPr="001F2079">
        <w:t xml:space="preserve"> </w:t>
      </w:r>
      <w:r w:rsidR="001F2079">
        <w:t>Miland Kofford</w:t>
      </w:r>
      <w:r w:rsidR="00CE01C7">
        <w:rPr>
          <w:bCs/>
        </w:rPr>
        <w:t xml:space="preserve">.  </w:t>
      </w:r>
      <w:r w:rsidR="00004803">
        <w:rPr>
          <w:bCs/>
        </w:rPr>
        <w:t xml:space="preserve">Mr. Kofford </w:t>
      </w:r>
      <w:r w:rsidR="00856911">
        <w:rPr>
          <w:bCs/>
        </w:rPr>
        <w:t>told the Committe</w:t>
      </w:r>
      <w:r w:rsidR="00AB10C9">
        <w:rPr>
          <w:bCs/>
        </w:rPr>
        <w:t>e that the task group continues work</w:t>
      </w:r>
      <w:r w:rsidR="001E4E5C">
        <w:rPr>
          <w:bCs/>
        </w:rPr>
        <w:t>ing</w:t>
      </w:r>
      <w:r w:rsidR="00AB10C9">
        <w:rPr>
          <w:bCs/>
        </w:rPr>
        <w:t xml:space="preserve"> on and develop</w:t>
      </w:r>
      <w:r w:rsidR="001E4E5C">
        <w:rPr>
          <w:bCs/>
        </w:rPr>
        <w:t>ing</w:t>
      </w:r>
      <w:r w:rsidR="00AB10C9">
        <w:rPr>
          <w:bCs/>
        </w:rPr>
        <w:t xml:space="preserve"> this item.</w:t>
      </w:r>
    </w:p>
    <w:p w14:paraId="6E2A66A4" w14:textId="7C6C4358" w:rsidR="003F2293" w:rsidRDefault="000A12E3" w:rsidP="00A94B54">
      <w:pPr>
        <w:keepNext/>
        <w:keepLines/>
        <w:tabs>
          <w:tab w:val="left" w:pos="4978"/>
        </w:tabs>
        <w:rPr>
          <w:bCs/>
        </w:rPr>
      </w:pPr>
      <w:r>
        <w:rPr>
          <w:bCs/>
        </w:rPr>
        <w:t xml:space="preserve">The task group has </w:t>
      </w:r>
      <w:r w:rsidR="00D36971">
        <w:rPr>
          <w:bCs/>
        </w:rPr>
        <w:t>submitted</w:t>
      </w:r>
      <w:r>
        <w:rPr>
          <w:bCs/>
        </w:rPr>
        <w:t xml:space="preserve"> new language for this item and is available </w:t>
      </w:r>
      <w:r w:rsidR="00051BE7">
        <w:rPr>
          <w:bCs/>
        </w:rPr>
        <w:t>on the NCWM website under supporting documents</w:t>
      </w:r>
      <w:r w:rsidR="0010152A">
        <w:rPr>
          <w:bCs/>
        </w:rPr>
        <w:t xml:space="preserve"> dated July 9, 2025</w:t>
      </w:r>
      <w:r w:rsidR="00051BE7">
        <w:rPr>
          <w:bCs/>
        </w:rPr>
        <w:t>. The Committee has not reviewed or considered this language</w:t>
      </w:r>
      <w:r w:rsidR="00D36971">
        <w:rPr>
          <w:bCs/>
        </w:rPr>
        <w:t>.</w:t>
      </w:r>
    </w:p>
    <w:p w14:paraId="2605DB75" w14:textId="3500817A" w:rsidR="00EA354A" w:rsidRDefault="00514FFE" w:rsidP="00A94B54">
      <w:pPr>
        <w:keepNext/>
        <w:keepLines/>
      </w:pPr>
      <w:r>
        <w:rPr>
          <w:u w:val="single"/>
        </w:rPr>
        <w:t>NCWM 2025</w:t>
      </w:r>
      <w:r w:rsidR="00432469">
        <w:rPr>
          <w:u w:val="single"/>
        </w:rPr>
        <w:t xml:space="preserve"> Interim</w:t>
      </w:r>
      <w:r>
        <w:rPr>
          <w:u w:val="single"/>
        </w:rPr>
        <w:t>:</w:t>
      </w:r>
      <w:r w:rsidR="0007726F">
        <w:t xml:space="preserve">  The Committee received a revision of the proposal during the NCWM 2025 Interim meeting.  It appears above in this report and is the version being considered.  </w:t>
      </w:r>
      <w:bookmarkStart w:id="289" w:name="_Hlk204064583"/>
      <w:r w:rsidR="0007726F">
        <w:t xml:space="preserve">The previous version can be found </w:t>
      </w:r>
      <w:r w:rsidR="00001FE0">
        <w:t xml:space="preserve">in </w:t>
      </w:r>
      <w:r w:rsidR="004E02B8">
        <w:t>NCWM</w:t>
      </w:r>
      <w:r w:rsidR="00001FE0">
        <w:t xml:space="preserve"> 2025 Publication 15.</w:t>
      </w:r>
      <w:bookmarkEnd w:id="289"/>
    </w:p>
    <w:p w14:paraId="7C4D40B3" w14:textId="77777777" w:rsidR="009F4922" w:rsidRDefault="00D02B7F" w:rsidP="009F4922">
      <w:pPr>
        <w:keepNext/>
        <w:keepLines/>
        <w:spacing w:after="0"/>
        <w:ind w:left="720"/>
        <w:jc w:val="left"/>
      </w:pPr>
      <w:r>
        <w:t>Contact: Miland Kof</w:t>
      </w:r>
      <w:r w:rsidR="00E97D76">
        <w:t>f</w:t>
      </w:r>
      <w:r>
        <w:t xml:space="preserve">ord, Chair </w:t>
      </w:r>
      <w:r w:rsidR="00970AC8">
        <w:t>– Uniform Shipment Law Task Group</w:t>
      </w:r>
      <w:hyperlink r:id="rId37" w:history="1"/>
      <w:r w:rsidR="00E97D76">
        <w:t xml:space="preserve"> </w:t>
      </w:r>
    </w:p>
    <w:p w14:paraId="36D46ED6" w14:textId="72F0E45E" w:rsidR="008D3E15" w:rsidRDefault="009F4922" w:rsidP="0077055B">
      <w:pPr>
        <w:keepNext/>
        <w:keepLines/>
        <w:spacing w:after="0" w:line="480" w:lineRule="auto"/>
        <w:ind w:left="720"/>
        <w:jc w:val="left"/>
      </w:pPr>
      <w:hyperlink r:id="rId38" w:history="1">
        <w:r w:rsidRPr="007814EF">
          <w:rPr>
            <w:rStyle w:val="Hyperlink"/>
            <w:noProof w:val="0"/>
          </w:rPr>
          <w:t>mkofford@utah.gov</w:t>
        </w:r>
      </w:hyperlink>
      <w:r w:rsidR="00E97D76">
        <w:t xml:space="preserve"> </w:t>
      </w:r>
    </w:p>
    <w:p w14:paraId="6CE181A4" w14:textId="77777777" w:rsidR="004D1560" w:rsidRDefault="000D0C44" w:rsidP="004D1560">
      <w:pPr>
        <w:keepNext/>
        <w:keepLines/>
        <w:spacing w:after="0"/>
        <w:jc w:val="left"/>
      </w:pPr>
      <w:r>
        <w:t>During the 2025 Interim open , the Committee heard from representatives of the shipping industry that they were in</w:t>
      </w:r>
      <w:r w:rsidR="004D1560">
        <w:t xml:space="preserve"> </w:t>
      </w:r>
      <w:r>
        <w:t xml:space="preserve">general support of this </w:t>
      </w:r>
      <w:r w:rsidR="00BA12B3">
        <w:t>item but</w:t>
      </w:r>
      <w:r>
        <w:t xml:space="preserve"> had some suggestions for the task group to consider. </w:t>
      </w:r>
    </w:p>
    <w:p w14:paraId="7C46D2A9" w14:textId="2F97C807" w:rsidR="004344A8" w:rsidRDefault="000D0C44" w:rsidP="004D1560">
      <w:pPr>
        <w:keepNext/>
        <w:keepLines/>
        <w:spacing w:after="0"/>
        <w:jc w:val="left"/>
      </w:pPr>
      <w:r>
        <w:t xml:space="preserve"> </w:t>
      </w:r>
    </w:p>
    <w:p w14:paraId="59F8BDA0" w14:textId="534795B3" w:rsidR="000D0C44" w:rsidRPr="00ED0215" w:rsidRDefault="00523358" w:rsidP="00BA2D06">
      <w:r>
        <w:t xml:space="preserve">For this reason, and because changes were made to the item during the 2025 Interim, the Committee </w:t>
      </w:r>
      <w:r w:rsidR="00BA12B3">
        <w:t xml:space="preserve">has maintained the Assigned status for this item.  This will allow </w:t>
      </w:r>
      <w:r w:rsidR="007B600F">
        <w:t>interested parties to review the most recent version of the item and for the Task Group to solicit input from industry stakeholders and other interested parties.</w:t>
      </w:r>
    </w:p>
    <w:p w14:paraId="5C00B921" w14:textId="0E12DCC7" w:rsidR="00FD3054" w:rsidRPr="007E4C11" w:rsidRDefault="00FD3054" w:rsidP="00BA2D06">
      <w:pPr>
        <w:rPr>
          <w:bCs/>
          <w:szCs w:val="20"/>
        </w:rPr>
      </w:pPr>
      <w:r>
        <w:rPr>
          <w:bCs/>
          <w:szCs w:val="20"/>
          <w:u w:val="single"/>
        </w:rPr>
        <w:t>NCWM 2024 Annual:</w:t>
      </w:r>
      <w:r w:rsidR="007E4C11">
        <w:rPr>
          <w:bCs/>
          <w:szCs w:val="20"/>
        </w:rPr>
        <w:t xml:space="preserve">  The Committee took no action </w:t>
      </w:r>
      <w:r w:rsidR="00A5616E">
        <w:rPr>
          <w:bCs/>
          <w:szCs w:val="20"/>
        </w:rPr>
        <w:t>and did not make</w:t>
      </w:r>
      <w:r w:rsidR="007E4C11">
        <w:rPr>
          <w:bCs/>
          <w:szCs w:val="20"/>
        </w:rPr>
        <w:t xml:space="preserve"> any changes to this item.</w:t>
      </w:r>
    </w:p>
    <w:p w14:paraId="3F0D0B34" w14:textId="157FC792" w:rsidR="00BA2D06" w:rsidRDefault="00867E59" w:rsidP="00BA2D06">
      <w:r w:rsidRPr="00AD2591">
        <w:rPr>
          <w:bCs/>
          <w:szCs w:val="20"/>
          <w:u w:val="single"/>
        </w:rPr>
        <w:t>NCWM 2024 Interim:</w:t>
      </w:r>
      <w:r>
        <w:rPr>
          <w:bCs/>
          <w:szCs w:val="20"/>
        </w:rPr>
        <w:t xml:space="preserve"> The </w:t>
      </w:r>
      <w:r w:rsidR="00314716">
        <w:rPr>
          <w:bCs/>
          <w:szCs w:val="20"/>
        </w:rPr>
        <w:t xml:space="preserve">submitter made a presentation on this item and the </w:t>
      </w:r>
      <w:r>
        <w:rPr>
          <w:bCs/>
          <w:szCs w:val="20"/>
        </w:rPr>
        <w:t>Committee heard support for the item, but recognizing it is not fully developed will request t</w:t>
      </w:r>
      <w:r w:rsidR="001A53D0">
        <w:rPr>
          <w:bCs/>
          <w:szCs w:val="20"/>
        </w:rPr>
        <w:t xml:space="preserve">o assign it to </w:t>
      </w:r>
      <w:r w:rsidR="00E8139B">
        <w:rPr>
          <w:bCs/>
          <w:szCs w:val="20"/>
        </w:rPr>
        <w:t>the</w:t>
      </w:r>
      <w:r w:rsidR="00D2486F">
        <w:rPr>
          <w:bCs/>
          <w:szCs w:val="20"/>
        </w:rPr>
        <w:t xml:space="preserve"> newly formed</w:t>
      </w:r>
      <w:r w:rsidR="001A53D0">
        <w:rPr>
          <w:bCs/>
          <w:szCs w:val="20"/>
        </w:rPr>
        <w:t xml:space="preserve"> </w:t>
      </w:r>
      <w:r w:rsidR="00E8139B">
        <w:rPr>
          <w:bCs/>
          <w:szCs w:val="20"/>
        </w:rPr>
        <w:t>Uniform Ship</w:t>
      </w:r>
      <w:r w:rsidR="006609F4">
        <w:rPr>
          <w:bCs/>
          <w:szCs w:val="20"/>
        </w:rPr>
        <w:t>ment</w:t>
      </w:r>
      <w:r w:rsidR="00E8139B">
        <w:rPr>
          <w:bCs/>
          <w:szCs w:val="20"/>
        </w:rPr>
        <w:t xml:space="preserve"> Law </w:t>
      </w:r>
      <w:r w:rsidR="001A53D0">
        <w:rPr>
          <w:bCs/>
          <w:szCs w:val="20"/>
        </w:rPr>
        <w:t xml:space="preserve">Task Group.  </w:t>
      </w:r>
    </w:p>
    <w:p w14:paraId="72739018" w14:textId="77777777" w:rsidR="00BA2D06" w:rsidRDefault="00BA2D06" w:rsidP="00BA2D06">
      <w:pPr>
        <w:spacing w:after="0"/>
        <w:rPr>
          <w:b/>
        </w:rPr>
      </w:pPr>
      <w:r w:rsidRPr="00E025F9">
        <w:rPr>
          <w:b/>
        </w:rPr>
        <w:t>Regional Associations’ Comments:</w:t>
      </w:r>
    </w:p>
    <w:p w14:paraId="6265A15D" w14:textId="77777777" w:rsidR="000726C1" w:rsidRPr="00E025F9" w:rsidRDefault="000726C1" w:rsidP="00BA2D06">
      <w:pPr>
        <w:spacing w:after="0"/>
        <w:rPr>
          <w:b/>
        </w:rPr>
      </w:pPr>
    </w:p>
    <w:p w14:paraId="43B4F81A" w14:textId="6913050F" w:rsidR="00B55C17" w:rsidRDefault="00A43044" w:rsidP="007B2872">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24490E54" w14:textId="217B06F0" w:rsidR="006403F5" w:rsidRDefault="006403F5" w:rsidP="007B2872">
      <w:pPr>
        <w:rPr>
          <w:rFonts w:eastAsia="Times New Roman"/>
          <w:szCs w:val="24"/>
        </w:rPr>
      </w:pPr>
      <w:r>
        <w:rPr>
          <w:rFonts w:eastAsia="Times New Roman"/>
          <w:szCs w:val="24"/>
        </w:rPr>
        <w:t>The current version of this proposal was not included in the L&amp;R committee’s agenda and appears as a separate item on the WWMA website.</w:t>
      </w:r>
    </w:p>
    <w:p w14:paraId="1499918D" w14:textId="613BC372" w:rsidR="006403F5" w:rsidRDefault="006403F5" w:rsidP="007B2872">
      <w:pPr>
        <w:rPr>
          <w:rFonts w:eastAsia="Times New Roman"/>
          <w:szCs w:val="24"/>
        </w:rPr>
      </w:pPr>
      <w:r>
        <w:rPr>
          <w:rFonts w:eastAsia="Times New Roman"/>
          <w:szCs w:val="24"/>
        </w:rPr>
        <w:t xml:space="preserve">Mr. </w:t>
      </w:r>
      <w:r w:rsidRPr="00D1251B">
        <w:rPr>
          <w:rFonts w:eastAsia="Times New Roman"/>
          <w:szCs w:val="24"/>
        </w:rPr>
        <w:t>Milan</w:t>
      </w:r>
      <w:r>
        <w:rPr>
          <w:rFonts w:eastAsia="Times New Roman"/>
          <w:szCs w:val="24"/>
        </w:rPr>
        <w:t>d</w:t>
      </w:r>
      <w:r w:rsidRPr="00D1251B">
        <w:rPr>
          <w:rFonts w:eastAsia="Times New Roman"/>
          <w:szCs w:val="24"/>
        </w:rPr>
        <w:t xml:space="preserve"> Ko</w:t>
      </w:r>
      <w:r>
        <w:rPr>
          <w:rFonts w:eastAsia="Times New Roman"/>
          <w:szCs w:val="24"/>
        </w:rPr>
        <w:t>f</w:t>
      </w:r>
      <w:r w:rsidRPr="00D1251B">
        <w:rPr>
          <w:rFonts w:eastAsia="Times New Roman"/>
          <w:szCs w:val="24"/>
        </w:rPr>
        <w:t>ford</w:t>
      </w:r>
      <w:r>
        <w:rPr>
          <w:rFonts w:eastAsia="Times New Roman"/>
          <w:szCs w:val="24"/>
        </w:rPr>
        <w:t xml:space="preserve"> (representing both the </w:t>
      </w:r>
      <w:r w:rsidRPr="00D1251B">
        <w:rPr>
          <w:rFonts w:eastAsia="Times New Roman"/>
          <w:szCs w:val="24"/>
        </w:rPr>
        <w:t>Utah</w:t>
      </w:r>
      <w:r>
        <w:rPr>
          <w:rFonts w:eastAsia="Times New Roman"/>
          <w:szCs w:val="24"/>
        </w:rPr>
        <w:t xml:space="preserve"> Department of Agriculture and Food,</w:t>
      </w:r>
      <w:r w:rsidRPr="00D1251B">
        <w:rPr>
          <w:rFonts w:eastAsia="Times New Roman"/>
          <w:szCs w:val="24"/>
        </w:rPr>
        <w:t xml:space="preserve"> and </w:t>
      </w:r>
      <w:r w:rsidRPr="00744EE2">
        <w:rPr>
          <w:rFonts w:eastAsia="Times New Roman"/>
          <w:szCs w:val="24"/>
        </w:rPr>
        <w:t>Chair of the Uniform Shipping Law Task Group</w:t>
      </w:r>
      <w:r>
        <w:rPr>
          <w:rFonts w:eastAsia="Times New Roman"/>
          <w:szCs w:val="24"/>
        </w:rPr>
        <w:t xml:space="preserve">) stated that the task group received feedback at the interim meeting, has worked to update the item over the last 6 months, and feels the item is ready for a vote.  </w:t>
      </w:r>
    </w:p>
    <w:p w14:paraId="36D189FA" w14:textId="21F13B8A" w:rsidR="006403F5" w:rsidRDefault="006403F5" w:rsidP="007B2872">
      <w:pPr>
        <w:rPr>
          <w:rFonts w:eastAsia="Times New Roman"/>
          <w:szCs w:val="24"/>
        </w:rPr>
      </w:pPr>
      <w:r>
        <w:rPr>
          <w:rFonts w:eastAsia="Times New Roman"/>
          <w:szCs w:val="24"/>
        </w:rPr>
        <w:t>Mr. Kurt Floren (County of Los Angeles, California) r</w:t>
      </w:r>
      <w:r w:rsidRPr="00895787">
        <w:rPr>
          <w:rFonts w:eastAsia="Times New Roman"/>
          <w:szCs w:val="24"/>
        </w:rPr>
        <w:t>ecommend</w:t>
      </w:r>
      <w:r>
        <w:rPr>
          <w:rFonts w:eastAsia="Times New Roman"/>
          <w:szCs w:val="24"/>
        </w:rPr>
        <w:t>ed</w:t>
      </w:r>
      <w:r w:rsidRPr="00895787">
        <w:rPr>
          <w:rFonts w:eastAsia="Times New Roman"/>
          <w:szCs w:val="24"/>
        </w:rPr>
        <w:t xml:space="preserve"> further development. </w:t>
      </w:r>
      <w:r>
        <w:rPr>
          <w:rFonts w:eastAsia="Times New Roman"/>
          <w:szCs w:val="24"/>
        </w:rPr>
        <w:t>He stated that it is u</w:t>
      </w:r>
      <w:r w:rsidRPr="00895787">
        <w:rPr>
          <w:rFonts w:eastAsia="Times New Roman"/>
          <w:szCs w:val="24"/>
        </w:rPr>
        <w:t xml:space="preserve">nclear </w:t>
      </w:r>
      <w:r>
        <w:rPr>
          <w:rFonts w:eastAsia="Times New Roman"/>
          <w:szCs w:val="24"/>
        </w:rPr>
        <w:t>where this item was intended to be placed. The stated purpose of the item is</w:t>
      </w:r>
      <w:r w:rsidRPr="00895787">
        <w:rPr>
          <w:rFonts w:eastAsia="Times New Roman"/>
          <w:szCs w:val="24"/>
        </w:rPr>
        <w:t xml:space="preserve"> to adopt a</w:t>
      </w:r>
      <w:r>
        <w:rPr>
          <w:rFonts w:eastAsia="Times New Roman"/>
          <w:szCs w:val="24"/>
        </w:rPr>
        <w:t xml:space="preserve"> new </w:t>
      </w:r>
      <w:r w:rsidRPr="00895787">
        <w:rPr>
          <w:rFonts w:eastAsia="Times New Roman"/>
          <w:szCs w:val="24"/>
        </w:rPr>
        <w:t>law</w:t>
      </w:r>
      <w:r>
        <w:rPr>
          <w:rFonts w:eastAsia="Times New Roman"/>
          <w:szCs w:val="24"/>
        </w:rPr>
        <w:t>, but Mr. Floren suggested that it may be better suited</w:t>
      </w:r>
      <w:r w:rsidRPr="00895787">
        <w:rPr>
          <w:rFonts w:eastAsia="Times New Roman"/>
          <w:szCs w:val="24"/>
        </w:rPr>
        <w:t xml:space="preserve"> in </w:t>
      </w:r>
      <w:r>
        <w:rPr>
          <w:rFonts w:eastAsia="Times New Roman"/>
          <w:szCs w:val="24"/>
        </w:rPr>
        <w:t>the existing HB 130 Chapter III, Uniform Laws.</w:t>
      </w:r>
    </w:p>
    <w:p w14:paraId="672D8F1E" w14:textId="71FDD736" w:rsidR="006403F5" w:rsidRPr="00A43BF4" w:rsidRDefault="006403F5" w:rsidP="007B2872">
      <w:pPr>
        <w:rPr>
          <w:rFonts w:eastAsia="Times New Roman"/>
          <w:szCs w:val="24"/>
        </w:rPr>
      </w:pPr>
      <w:r>
        <w:rPr>
          <w:rFonts w:eastAsia="Times New Roman"/>
          <w:szCs w:val="24"/>
        </w:rPr>
        <w:t xml:space="preserve">Mr. Aaron Yanker </w:t>
      </w:r>
      <w:r w:rsidRPr="002D5941">
        <w:rPr>
          <w:rFonts w:eastAsia="Times New Roman"/>
          <w:szCs w:val="24"/>
        </w:rPr>
        <w:t>(Colorado Department of Agriculture, Weights and Measures), and Mr. Matt Douglas (California Division of Measurement Standards)</w:t>
      </w:r>
      <w:r>
        <w:rPr>
          <w:rFonts w:eastAsia="Times New Roman"/>
          <w:szCs w:val="24"/>
        </w:rPr>
        <w:t xml:space="preserve"> both expressed appreciation for the work done by the task group but still recommended an assigned status.</w:t>
      </w:r>
    </w:p>
    <w:p w14:paraId="17FA74E4" w14:textId="0509BB39" w:rsidR="006403F5" w:rsidRPr="00A43BF4" w:rsidRDefault="006403F5" w:rsidP="007B2872">
      <w:pPr>
        <w:rPr>
          <w:rFonts w:eastAsia="Times New Roman"/>
          <w:szCs w:val="24"/>
        </w:rPr>
      </w:pPr>
      <w:r>
        <w:rPr>
          <w:rFonts w:eastAsia="Times New Roman"/>
          <w:szCs w:val="24"/>
        </w:rPr>
        <w:t>The WWMA L&amp;R Committee recommends a voting status with the recommendation that the task group incorporates Mr. Kurt Floren’s suggestion.</w:t>
      </w:r>
    </w:p>
    <w:p w14:paraId="3ACAAC34" w14:textId="76F0E739" w:rsidR="00A43044" w:rsidRDefault="00A43044" w:rsidP="00A94B54">
      <w:pPr>
        <w:keepNext/>
        <w:rPr>
          <w:rFonts w:eastAsia="Times New Roman"/>
          <w:szCs w:val="24"/>
          <w:u w:val="single"/>
        </w:rPr>
      </w:pPr>
      <w:r>
        <w:rPr>
          <w:rFonts w:eastAsia="Times New Roman"/>
          <w:szCs w:val="24"/>
          <w:u w:val="single"/>
        </w:rPr>
        <w:lastRenderedPageBreak/>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CF15BC">
        <w:rPr>
          <w:rFonts w:eastAsia="Times New Roman"/>
          <w:szCs w:val="24"/>
          <w:u w:val="single"/>
        </w:rPr>
        <w:t>Interim</w:t>
      </w:r>
      <w:r w:rsidRPr="0051426D">
        <w:rPr>
          <w:rFonts w:eastAsia="Times New Roman"/>
          <w:szCs w:val="24"/>
          <w:u w:val="single"/>
        </w:rPr>
        <w:t xml:space="preserve"> Meeting:</w:t>
      </w:r>
    </w:p>
    <w:p w14:paraId="6DED2951" w14:textId="52A4836D" w:rsidR="007B2872" w:rsidRPr="00BA026A" w:rsidRDefault="00DE778C" w:rsidP="00A43044">
      <w:pPr>
        <w:jc w:val="left"/>
        <w:rPr>
          <w:rFonts w:eastAsia="Times New Roman"/>
          <w:szCs w:val="24"/>
        </w:rPr>
      </w:pPr>
      <w:r>
        <w:rPr>
          <w:rFonts w:eastAsia="Times New Roman"/>
          <w:szCs w:val="24"/>
        </w:rPr>
        <w:t>The Committee recommends this item to be informational as it is developed.  No input from industry has been received outside of the task group.</w:t>
      </w:r>
    </w:p>
    <w:p w14:paraId="4B69C367" w14:textId="35EA05CC" w:rsidR="00432765" w:rsidRDefault="00A43044" w:rsidP="00712C69">
      <w:pPr>
        <w:keepNext/>
        <w:keepLines/>
        <w:jc w:val="left"/>
        <w:rPr>
          <w:u w:val="single"/>
        </w:rPr>
      </w:pPr>
      <w:r w:rsidRPr="006C7BFB">
        <w:rPr>
          <w:u w:val="single"/>
        </w:rPr>
        <w:t>NEWMA 202</w:t>
      </w:r>
      <w:r>
        <w:rPr>
          <w:u w:val="single"/>
        </w:rPr>
        <w:t>5</w:t>
      </w:r>
      <w:r w:rsidRPr="006C7BFB">
        <w:rPr>
          <w:u w:val="single"/>
        </w:rPr>
        <w:t xml:space="preserve"> Interim Meeting:</w:t>
      </w:r>
    </w:p>
    <w:p w14:paraId="7952D998" w14:textId="349E6F66" w:rsidR="00432765" w:rsidRDefault="00432765" w:rsidP="00712C69">
      <w:pPr>
        <w:keepNext/>
        <w:keepLines/>
        <w:rPr>
          <w:rFonts w:eastAsia="Times New Roman"/>
          <w:szCs w:val="24"/>
        </w:rPr>
      </w:pPr>
      <w:r>
        <w:rPr>
          <w:rFonts w:eastAsia="Times New Roman"/>
          <w:szCs w:val="24"/>
        </w:rPr>
        <w:t>A regulator from New Hampshire (and Uniform Shipping Law Task Group member) commented they believe the item is ready for a vote.  She indicated that changes were made between the 2025 Interim and Annual, taking into consideration recommendations from industry, namely the NMFTA.  She also commented that the Task Group is looking to develop a uniform regulation in the future.</w:t>
      </w:r>
    </w:p>
    <w:p w14:paraId="49F7D161" w14:textId="77777777" w:rsidR="007B2872" w:rsidRDefault="00432765" w:rsidP="00432765">
      <w:pPr>
        <w:spacing w:after="0"/>
        <w:jc w:val="left"/>
        <w:rPr>
          <w:rFonts w:eastAsia="Times New Roman"/>
          <w:szCs w:val="24"/>
        </w:rPr>
      </w:pPr>
      <w:r>
        <w:rPr>
          <w:rFonts w:eastAsia="Times New Roman"/>
          <w:szCs w:val="24"/>
        </w:rPr>
        <w:t>After hearing comments from the floor, the committee believes this item is fully developed and recommended a Voting status; and the body concurred.</w:t>
      </w:r>
    </w:p>
    <w:p w14:paraId="23040EB3" w14:textId="1344811D" w:rsidR="007B6073" w:rsidRDefault="00A43044" w:rsidP="007B2872">
      <w:pPr>
        <w:spacing w:before="240"/>
        <w:jc w:val="left"/>
        <w:rPr>
          <w:u w:val="single"/>
        </w:rPr>
      </w:pPr>
      <w:r>
        <w:rPr>
          <w:u w:val="single"/>
        </w:rPr>
        <w:t>S</w:t>
      </w:r>
      <w:r w:rsidRPr="00EF1ACC">
        <w:rPr>
          <w:u w:val="single"/>
        </w:rPr>
        <w:t>WMA 202</w:t>
      </w:r>
      <w:r>
        <w:rPr>
          <w:u w:val="single"/>
        </w:rPr>
        <w:t>5</w:t>
      </w:r>
      <w:r w:rsidRPr="00EF1ACC">
        <w:rPr>
          <w:u w:val="single"/>
        </w:rPr>
        <w:t xml:space="preserve"> </w:t>
      </w:r>
      <w:r w:rsidR="00CF15BC">
        <w:rPr>
          <w:u w:val="single"/>
        </w:rPr>
        <w:t>Annual</w:t>
      </w:r>
      <w:r w:rsidRPr="00EF1ACC">
        <w:rPr>
          <w:u w:val="single"/>
        </w:rPr>
        <w:t xml:space="preserve"> Meeting</w:t>
      </w:r>
      <w:r>
        <w:rPr>
          <w:u w:val="single"/>
        </w:rPr>
        <w:t>:</w:t>
      </w:r>
    </w:p>
    <w:p w14:paraId="4E742478" w14:textId="39D9E131" w:rsidR="007B6073" w:rsidRDefault="007B6073" w:rsidP="007B2872">
      <w:pPr>
        <w:rPr>
          <w:rFonts w:eastAsia="Times New Roman"/>
          <w:szCs w:val="24"/>
        </w:rPr>
      </w:pPr>
      <w:r>
        <w:rPr>
          <w:rFonts w:eastAsia="Times New Roman"/>
          <w:szCs w:val="24"/>
        </w:rPr>
        <w:t>The Committee received no comments made during open hearing.</w:t>
      </w:r>
    </w:p>
    <w:p w14:paraId="34225CFC" w14:textId="7D78A819" w:rsidR="00432765" w:rsidRPr="00432765" w:rsidRDefault="007B6073" w:rsidP="007B2872">
      <w:pPr>
        <w:rPr>
          <w:rFonts w:eastAsia="Times New Roman"/>
          <w:szCs w:val="24"/>
        </w:rPr>
      </w:pPr>
      <w:r>
        <w:rPr>
          <w:rFonts w:eastAsia="Times New Roman"/>
          <w:szCs w:val="24"/>
        </w:rPr>
        <w:t xml:space="preserve">The Committee did not receive an update from the work group this item was assigned to. The submitter was not present. The Committee believes this item needs to be further vetted by the NCWM membership and recommends this item remain Assigned. </w:t>
      </w:r>
    </w:p>
    <w:p w14:paraId="453BB389" w14:textId="632014A2" w:rsidR="001A322C" w:rsidRPr="00BA2D06" w:rsidRDefault="00CF4023" w:rsidP="00BA2D06">
      <w:r>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085322C2" w:rsidR="00AE3A51" w:rsidRPr="00281428" w:rsidRDefault="00AE3A51" w:rsidP="00CC6B4E">
      <w:pPr>
        <w:pStyle w:val="ItemHeading"/>
        <w:tabs>
          <w:tab w:val="left" w:pos="1710"/>
        </w:tabs>
      </w:pPr>
      <w:bookmarkStart w:id="290" w:name="_Toc224019626"/>
      <w:r w:rsidRPr="00281428">
        <w:t>OTH-</w:t>
      </w:r>
      <w:r w:rsidR="00B841BE" w:rsidRPr="00281428">
        <w:t>07.</w:t>
      </w:r>
      <w:r w:rsidRPr="00281428">
        <w:t>1</w:t>
      </w:r>
      <w:r w:rsidRPr="00281428">
        <w:tab/>
      </w:r>
      <w:r w:rsidR="005E3620">
        <w:t>D</w:t>
      </w:r>
      <w:r w:rsidRPr="00281428">
        <w:tab/>
        <w:t>Fuels and Lubricants Subcommittee</w:t>
      </w:r>
      <w:bookmarkEnd w:id="290"/>
    </w:p>
    <w:p w14:paraId="5CA0F2BE" w14:textId="60981498" w:rsidR="00363CBA" w:rsidRPr="00363CBA" w:rsidRDefault="00363CBA" w:rsidP="00363CBA">
      <w:pPr>
        <w:spacing w:after="0"/>
        <w:rPr>
          <w:b/>
          <w:szCs w:val="20"/>
        </w:rPr>
      </w:pPr>
      <w:bookmarkStart w:id="291" w:name="_Hlk63085539"/>
      <w:bookmarkStart w:id="292"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68A51D8F" w:rsidR="00F83F03" w:rsidRDefault="00F83F03" w:rsidP="003B2861">
      <w:pPr>
        <w:spacing w:after="0"/>
        <w:rPr>
          <w:b/>
          <w:szCs w:val="20"/>
        </w:rPr>
      </w:pPr>
      <w:r w:rsidRPr="00363CBA">
        <w:rPr>
          <w:b/>
          <w:szCs w:val="20"/>
        </w:rPr>
        <w:t>Item</w:t>
      </w:r>
      <w:r w:rsidR="008A6184">
        <w:rPr>
          <w:b/>
          <w:szCs w:val="20"/>
        </w:rPr>
        <w:t xml:space="preserve"> Development</w:t>
      </w:r>
      <w:r w:rsidRPr="00363CBA">
        <w:rPr>
          <w:b/>
          <w:szCs w:val="20"/>
        </w:rPr>
        <w:t>:</w:t>
      </w:r>
    </w:p>
    <w:p w14:paraId="07D86679" w14:textId="77777777" w:rsidR="00361604" w:rsidRDefault="00361604" w:rsidP="003B2861">
      <w:pPr>
        <w:spacing w:after="0"/>
        <w:rPr>
          <w:b/>
          <w:szCs w:val="20"/>
        </w:rPr>
      </w:pPr>
    </w:p>
    <w:p w14:paraId="5694D832" w14:textId="15B64417" w:rsidR="002B743E" w:rsidRPr="0005397E" w:rsidRDefault="00361604" w:rsidP="007B4D13">
      <w:pPr>
        <w:rPr>
          <w:bCs/>
          <w:szCs w:val="20"/>
        </w:rPr>
      </w:pPr>
      <w:r w:rsidRPr="00361604">
        <w:rPr>
          <w:bCs/>
          <w:szCs w:val="20"/>
          <w:u w:val="single"/>
        </w:rPr>
        <w:t>NCWM 202</w:t>
      </w:r>
      <w:r w:rsidR="00E353FA">
        <w:rPr>
          <w:bCs/>
          <w:szCs w:val="20"/>
          <w:u w:val="single"/>
        </w:rPr>
        <w:t>6 Interim</w:t>
      </w:r>
      <w:r w:rsidRPr="00361604">
        <w:rPr>
          <w:bCs/>
          <w:szCs w:val="20"/>
          <w:u w:val="single"/>
        </w:rPr>
        <w:t>:</w:t>
      </w:r>
      <w:r w:rsidR="003C3CD1">
        <w:rPr>
          <w:bCs/>
          <w:szCs w:val="20"/>
        </w:rPr>
        <w:t xml:space="preserve"> </w:t>
      </w:r>
      <w:r w:rsidR="004F5652">
        <w:rPr>
          <w:bCs/>
          <w:szCs w:val="20"/>
        </w:rPr>
        <w:t>Ms.</w:t>
      </w:r>
      <w:r w:rsidR="006334E2">
        <w:rPr>
          <w:bCs/>
          <w:szCs w:val="20"/>
        </w:rPr>
        <w:t xml:space="preserve"> </w:t>
      </w:r>
      <w:r w:rsidR="004F5652">
        <w:rPr>
          <w:bCs/>
          <w:szCs w:val="20"/>
        </w:rPr>
        <w:t>Vanessa Benchea, FALS Chair</w:t>
      </w:r>
      <w:r w:rsidR="007944A7">
        <w:rPr>
          <w:bCs/>
          <w:szCs w:val="20"/>
        </w:rPr>
        <w:t>,</w:t>
      </w:r>
      <w:r w:rsidR="00E353FA">
        <w:rPr>
          <w:bCs/>
          <w:szCs w:val="20"/>
        </w:rPr>
        <w:t xml:space="preserve"> reported</w:t>
      </w:r>
      <w:r w:rsidR="00510510">
        <w:rPr>
          <w:bCs/>
          <w:szCs w:val="20"/>
        </w:rPr>
        <w:t xml:space="preserve"> on the FALS activit</w:t>
      </w:r>
      <w:r w:rsidR="00E353FA">
        <w:rPr>
          <w:bCs/>
          <w:szCs w:val="20"/>
        </w:rPr>
        <w:t xml:space="preserve">ies during the open hearings and provide a written report for the </w:t>
      </w:r>
      <w:r w:rsidR="007B4D13">
        <w:rPr>
          <w:bCs/>
          <w:szCs w:val="20"/>
        </w:rPr>
        <w:t>Committee.  The report is included below.</w:t>
      </w:r>
    </w:p>
    <w:p w14:paraId="03F0250C" w14:textId="77777777" w:rsidR="0005397E" w:rsidRPr="0005397E" w:rsidRDefault="0005397E" w:rsidP="003B2861">
      <w:pPr>
        <w:spacing w:after="0"/>
        <w:rPr>
          <w:bCs/>
          <w:szCs w:val="20"/>
        </w:rPr>
      </w:pPr>
      <w:r w:rsidRPr="0005397E">
        <w:rPr>
          <w:bCs/>
          <w:szCs w:val="20"/>
        </w:rPr>
        <w:t>For further information or to provide comments, please contact the FALS Chair:</w:t>
      </w:r>
    </w:p>
    <w:p w14:paraId="2ECA00A6" w14:textId="77777777" w:rsidR="0005397E" w:rsidRPr="0005397E" w:rsidRDefault="0005397E" w:rsidP="00EA21DF">
      <w:pPr>
        <w:spacing w:before="240" w:after="0"/>
        <w:rPr>
          <w:bCs/>
          <w:szCs w:val="20"/>
        </w:rPr>
      </w:pPr>
      <w:r w:rsidRPr="0005397E">
        <w:rPr>
          <w:bCs/>
          <w:szCs w:val="20"/>
        </w:rPr>
        <w:t>Ms. Vanessa Benchea, FALS Chair</w:t>
      </w:r>
    </w:p>
    <w:p w14:paraId="1687AF1F" w14:textId="77777777" w:rsidR="0005397E" w:rsidRPr="0005397E" w:rsidRDefault="0005397E" w:rsidP="003B2861">
      <w:pPr>
        <w:spacing w:after="0"/>
        <w:rPr>
          <w:bCs/>
          <w:szCs w:val="20"/>
        </w:rPr>
      </w:pPr>
      <w:r w:rsidRPr="0005397E">
        <w:rPr>
          <w:bCs/>
          <w:szCs w:val="20"/>
        </w:rPr>
        <w:t>Florida Department of Agriculture/Division of Consumer Services</w:t>
      </w:r>
    </w:p>
    <w:p w14:paraId="6E560626" w14:textId="77777777" w:rsidR="0005397E" w:rsidRPr="0005397E" w:rsidRDefault="0005397E" w:rsidP="003B2861">
      <w:pPr>
        <w:spacing w:after="0"/>
        <w:rPr>
          <w:bCs/>
          <w:szCs w:val="20"/>
        </w:rPr>
      </w:pPr>
      <w:r w:rsidRPr="0005397E">
        <w:rPr>
          <w:bCs/>
          <w:szCs w:val="20"/>
        </w:rPr>
        <w:t>813-868-8263</w:t>
      </w:r>
    </w:p>
    <w:p w14:paraId="743D756E" w14:textId="1A84018C" w:rsidR="002B743E" w:rsidRPr="0005397E" w:rsidRDefault="002B743E" w:rsidP="00EA21DF">
      <w:pPr>
        <w:rPr>
          <w:bCs/>
          <w:szCs w:val="20"/>
        </w:rPr>
      </w:pPr>
      <w:hyperlink r:id="rId39" w:history="1">
        <w:r w:rsidRPr="0005397E">
          <w:rPr>
            <w:rStyle w:val="Hyperlink"/>
            <w:bCs/>
            <w:noProof w:val="0"/>
            <w:szCs w:val="20"/>
          </w:rPr>
          <w:t>Vanessa.Benchea@fdacs.gov</w:t>
        </w:r>
      </w:hyperlink>
    </w:p>
    <w:p w14:paraId="2EBA5A84" w14:textId="77777777" w:rsidR="005B2F00" w:rsidRPr="004721DA" w:rsidRDefault="005B2F00" w:rsidP="005B2F00">
      <w:pPr>
        <w:pStyle w:val="NormalWeb"/>
        <w:rPr>
          <w:b/>
          <w:bCs/>
          <w:color w:val="000000"/>
          <w:sz w:val="20"/>
          <w:szCs w:val="20"/>
        </w:rPr>
      </w:pPr>
      <w:r w:rsidRPr="004721DA">
        <w:rPr>
          <w:b/>
          <w:bCs/>
          <w:color w:val="000000"/>
          <w:sz w:val="20"/>
          <w:szCs w:val="20"/>
        </w:rPr>
        <w:t>Background/Discussion:</w:t>
      </w:r>
    </w:p>
    <w:p w14:paraId="3E2F3F56" w14:textId="77777777" w:rsidR="005B2F00" w:rsidRPr="005B2F00" w:rsidRDefault="005B2F00" w:rsidP="005B2F00">
      <w:pPr>
        <w:pStyle w:val="NormalWeb"/>
        <w:rPr>
          <w:color w:val="000000"/>
          <w:sz w:val="20"/>
          <w:szCs w:val="20"/>
        </w:rPr>
      </w:pPr>
      <w:r w:rsidRPr="005B2F00">
        <w:rPr>
          <w:color w:val="000000"/>
          <w:sz w:val="20"/>
          <w:szCs w:val="20"/>
        </w:rPr>
        <w:lastRenderedPageBreak/>
        <w:t>This report outlines the activities of the Fuels and Lubricants Subcommittee (FALS), which reports to and provides recommendations for the Laws and Regulations Committee.</w:t>
      </w:r>
    </w:p>
    <w:p w14:paraId="2C23A6CC" w14:textId="77777777" w:rsidR="005B2F00" w:rsidRPr="005B2F00" w:rsidRDefault="005B2F00" w:rsidP="005B2F00">
      <w:pPr>
        <w:pStyle w:val="NormalWeb"/>
        <w:rPr>
          <w:color w:val="000000"/>
          <w:sz w:val="20"/>
          <w:szCs w:val="20"/>
        </w:rPr>
      </w:pPr>
      <w:r w:rsidRPr="005B2F00">
        <w:rPr>
          <w:color w:val="000000"/>
          <w:sz w:val="20"/>
          <w:szCs w:val="20"/>
        </w:rPr>
        <w:t>FALS convened on Sunday, January 11, 2026, at the 2026 NCWM Interim Meeting in Mobile, Alabama, with approximately 34 members and guests in attendance. The purpose of this meeting was to review items related to fuel and automotive fluid standards that appear on the L&amp;R agenda, along with items of old and new business.</w:t>
      </w:r>
    </w:p>
    <w:p w14:paraId="6EC29A53" w14:textId="77777777" w:rsidR="005B2F00" w:rsidRPr="005B2F00" w:rsidRDefault="005B2F00" w:rsidP="005B2F00">
      <w:pPr>
        <w:pStyle w:val="NormalWeb"/>
        <w:rPr>
          <w:color w:val="000000"/>
          <w:sz w:val="20"/>
          <w:szCs w:val="20"/>
        </w:rPr>
      </w:pPr>
      <w:r w:rsidRPr="005B2F00">
        <w:rPr>
          <w:color w:val="000000"/>
          <w:sz w:val="20"/>
          <w:szCs w:val="20"/>
        </w:rPr>
        <w:t>The group discussed FLR-26.1 7.2 and MOS-26.3 section 2.20.</w:t>
      </w:r>
    </w:p>
    <w:p w14:paraId="3AA76786" w14:textId="77777777" w:rsidR="005B2F00" w:rsidRPr="005B2F00" w:rsidRDefault="005B2F00" w:rsidP="005B2F00">
      <w:pPr>
        <w:pStyle w:val="NormalWeb"/>
        <w:rPr>
          <w:color w:val="000000"/>
          <w:sz w:val="20"/>
          <w:szCs w:val="20"/>
        </w:rPr>
      </w:pPr>
      <w:r w:rsidRPr="005B2F00">
        <w:rPr>
          <w:color w:val="000000"/>
          <w:sz w:val="20"/>
          <w:szCs w:val="20"/>
        </w:rPr>
        <w:t>· For FLR-26.1 7.2, the group concluded with recommending the item be assigned to FALS where the Focus Group can further work to address the various concerns raised amongst the regions and within the subcommittee.</w:t>
      </w:r>
    </w:p>
    <w:p w14:paraId="433B65CF" w14:textId="77777777" w:rsidR="005B2F00" w:rsidRPr="005B2F00" w:rsidRDefault="005B2F00" w:rsidP="005B2F00">
      <w:pPr>
        <w:pStyle w:val="NormalWeb"/>
        <w:rPr>
          <w:color w:val="000000"/>
          <w:sz w:val="20"/>
          <w:szCs w:val="20"/>
        </w:rPr>
      </w:pPr>
      <w:r w:rsidRPr="005B2F00">
        <w:rPr>
          <w:color w:val="000000"/>
          <w:sz w:val="20"/>
          <w:szCs w:val="20"/>
        </w:rPr>
        <w:t>· For MOS-26.3 section 2.20, FALS took no position – some supported the proposal while others strongly opposed it. Regardless of whether the proposal is adopted, the group agreed this section and FLR 3.2.5 would need alignment.</w:t>
      </w:r>
    </w:p>
    <w:p w14:paraId="58BD7FC7" w14:textId="77777777" w:rsidR="005B2F00" w:rsidRPr="005B2F00" w:rsidRDefault="005B2F00" w:rsidP="005B2F00">
      <w:pPr>
        <w:pStyle w:val="NormalWeb"/>
        <w:rPr>
          <w:color w:val="000000"/>
          <w:sz w:val="20"/>
          <w:szCs w:val="20"/>
        </w:rPr>
      </w:pPr>
      <w:r w:rsidRPr="005B2F00">
        <w:rPr>
          <w:color w:val="000000"/>
          <w:sz w:val="20"/>
          <w:szCs w:val="20"/>
        </w:rPr>
        <w:t>Updates were provided by:</w:t>
      </w:r>
    </w:p>
    <w:p w14:paraId="78DBDD5D" w14:textId="77777777" w:rsidR="005B2F00" w:rsidRPr="005B2F00" w:rsidRDefault="005B2F00" w:rsidP="005B2F00">
      <w:pPr>
        <w:pStyle w:val="NormalWeb"/>
        <w:rPr>
          <w:color w:val="000000"/>
          <w:sz w:val="20"/>
          <w:szCs w:val="20"/>
        </w:rPr>
      </w:pPr>
      <w:r w:rsidRPr="005B2F00">
        <w:rPr>
          <w:color w:val="000000"/>
          <w:sz w:val="20"/>
          <w:szCs w:val="20"/>
        </w:rPr>
        <w:t>· Marilyn Herman for Subcommittee A (Gasoline and Oxygenated Fuels) and each state’s implementation of ASTM D4814</w:t>
      </w:r>
    </w:p>
    <w:p w14:paraId="25C84474" w14:textId="1DE44C8A" w:rsidR="005B2F00" w:rsidRPr="005B2F00" w:rsidRDefault="005B2F00" w:rsidP="005B2F00">
      <w:pPr>
        <w:pStyle w:val="NormalWeb"/>
        <w:rPr>
          <w:color w:val="000000"/>
          <w:sz w:val="20"/>
          <w:szCs w:val="20"/>
        </w:rPr>
      </w:pPr>
      <w:r w:rsidRPr="004721DA">
        <w:rPr>
          <w:b/>
          <w:bCs/>
          <w:color w:val="000000"/>
          <w:sz w:val="20"/>
          <w:szCs w:val="20"/>
        </w:rPr>
        <w:t>·</w:t>
      </w:r>
      <w:r w:rsidRPr="005B2F00">
        <w:rPr>
          <w:color w:val="000000"/>
          <w:sz w:val="20"/>
          <w:szCs w:val="20"/>
        </w:rPr>
        <w:t xml:space="preserve"> Randy Jennings for Subcommittee E (Burner, Diesel, and Non-Aviation Gas Turbine Fuels), and J (Aviation Fuels)</w:t>
      </w:r>
    </w:p>
    <w:p w14:paraId="0EF6DFCC" w14:textId="5A590806" w:rsidR="005B2F00" w:rsidRPr="005B2F00" w:rsidRDefault="005B2F00" w:rsidP="005B2F00">
      <w:pPr>
        <w:pStyle w:val="NormalWeb"/>
        <w:rPr>
          <w:color w:val="000000"/>
          <w:sz w:val="20"/>
          <w:szCs w:val="20"/>
        </w:rPr>
      </w:pPr>
      <w:r w:rsidRPr="005B2F00">
        <w:rPr>
          <w:color w:val="000000"/>
          <w:sz w:val="20"/>
          <w:szCs w:val="20"/>
        </w:rPr>
        <w:t xml:space="preserve">· Brian Kernke on the issue of premature plugging of dispenser filters that many retail facilities are </w:t>
      </w:r>
      <w:r w:rsidR="00FF0DFA" w:rsidRPr="005B2F00">
        <w:rPr>
          <w:color w:val="000000"/>
          <w:sz w:val="20"/>
          <w:szCs w:val="20"/>
        </w:rPr>
        <w:t>continuing</w:t>
      </w:r>
      <w:r w:rsidRPr="005B2F00">
        <w:rPr>
          <w:color w:val="000000"/>
          <w:sz w:val="20"/>
          <w:szCs w:val="20"/>
        </w:rPr>
        <w:t xml:space="preserve"> to deal with.</w:t>
      </w:r>
    </w:p>
    <w:p w14:paraId="2FF45DCB" w14:textId="394AEA9C" w:rsidR="005B2F00" w:rsidRPr="005B2F00" w:rsidRDefault="005B2F00" w:rsidP="005B2F00">
      <w:pPr>
        <w:pStyle w:val="NormalWeb"/>
        <w:rPr>
          <w:color w:val="000000"/>
          <w:sz w:val="20"/>
          <w:szCs w:val="20"/>
        </w:rPr>
      </w:pPr>
      <w:r w:rsidRPr="005B2F00">
        <w:rPr>
          <w:color w:val="000000"/>
          <w:sz w:val="20"/>
          <w:szCs w:val="20"/>
        </w:rPr>
        <w:t xml:space="preserve">· Shailesh Lopes on the concerns and projects the Engine Manufacture Association (EMA) is currently looking into, which included Diesel Exhaust Fluid (DEF) in Fuel Contamination and developing a fuel </w:t>
      </w:r>
      <w:r w:rsidR="00FF0DFA" w:rsidRPr="005B2F00">
        <w:rPr>
          <w:color w:val="000000"/>
          <w:sz w:val="20"/>
          <w:szCs w:val="20"/>
        </w:rPr>
        <w:t>specification</w:t>
      </w:r>
      <w:r w:rsidRPr="005B2F00">
        <w:rPr>
          <w:color w:val="000000"/>
          <w:sz w:val="20"/>
          <w:szCs w:val="20"/>
        </w:rPr>
        <w:t xml:space="preserve"> for higher blend biodiesel fuels (up to B30).</w:t>
      </w:r>
    </w:p>
    <w:p w14:paraId="4CBEEF90" w14:textId="77777777" w:rsidR="005B2F00" w:rsidRPr="005B2F00" w:rsidRDefault="005B2F00" w:rsidP="005B2F00">
      <w:pPr>
        <w:pStyle w:val="NormalWeb"/>
        <w:rPr>
          <w:color w:val="000000"/>
          <w:sz w:val="20"/>
          <w:szCs w:val="20"/>
        </w:rPr>
      </w:pPr>
      <w:r w:rsidRPr="005B2F00">
        <w:rPr>
          <w:color w:val="000000"/>
          <w:sz w:val="20"/>
          <w:szCs w:val="20"/>
        </w:rPr>
        <w:t>One item of new business was the presentation from Henry Walczak requesting a template that could manage and align fuel specifications across the States.</w:t>
      </w:r>
    </w:p>
    <w:p w14:paraId="53F957B4" w14:textId="77777777" w:rsidR="005B2F00" w:rsidRDefault="005B2F00" w:rsidP="005B2F00">
      <w:pPr>
        <w:pStyle w:val="NormalWeb"/>
        <w:rPr>
          <w:color w:val="000000"/>
          <w:sz w:val="20"/>
          <w:szCs w:val="20"/>
        </w:rPr>
      </w:pPr>
      <w:r w:rsidRPr="005B2F00">
        <w:rPr>
          <w:color w:val="000000"/>
          <w:sz w:val="20"/>
          <w:szCs w:val="20"/>
        </w:rPr>
        <w:t>Detailed minutes of this meeting will be distributed to FALS membership, including attachments with all presentations from the meeting.</w:t>
      </w:r>
    </w:p>
    <w:p w14:paraId="5DEAB128" w14:textId="04943959" w:rsidR="00AF66B3" w:rsidRPr="00AF66B3" w:rsidRDefault="00AF66B3" w:rsidP="00AF66B3">
      <w:pPr>
        <w:keepNext/>
        <w:keepLines/>
        <w:rPr>
          <w:b/>
          <w:szCs w:val="20"/>
        </w:rPr>
      </w:pPr>
      <w:r w:rsidRPr="00B111BA">
        <w:rPr>
          <w:b/>
          <w:szCs w:val="20"/>
        </w:rPr>
        <w:t>Regional Associations’ Comments:</w:t>
      </w:r>
    </w:p>
    <w:p w14:paraId="05F92790" w14:textId="77777777" w:rsidR="00B367AD" w:rsidRDefault="00B367AD" w:rsidP="00B367AD">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426F77E2" w14:textId="77777777" w:rsidR="00B367AD" w:rsidRPr="00A43BF4" w:rsidRDefault="00B367AD" w:rsidP="00B367AD">
      <w:pPr>
        <w:rPr>
          <w:rFonts w:eastAsia="Times New Roman"/>
          <w:szCs w:val="24"/>
        </w:rPr>
      </w:pPr>
      <w:r>
        <w:rPr>
          <w:rFonts w:eastAsia="Times New Roman"/>
          <w:szCs w:val="24"/>
        </w:rPr>
        <w:t xml:space="preserve">Mr. </w:t>
      </w:r>
      <w:r w:rsidRPr="00DC7415">
        <w:rPr>
          <w:rFonts w:eastAsia="Times New Roman"/>
          <w:szCs w:val="24"/>
        </w:rPr>
        <w:t>Randy Jennings</w:t>
      </w:r>
      <w:r>
        <w:rPr>
          <w:rFonts w:eastAsia="Times New Roman"/>
          <w:szCs w:val="24"/>
        </w:rPr>
        <w:t xml:space="preserve"> (</w:t>
      </w:r>
      <w:r w:rsidRPr="00DC7415">
        <w:rPr>
          <w:rFonts w:eastAsia="Times New Roman"/>
          <w:szCs w:val="24"/>
        </w:rPr>
        <w:t>Vice Chair of FAL</w:t>
      </w:r>
      <w:r>
        <w:rPr>
          <w:rFonts w:eastAsia="Times New Roman"/>
          <w:szCs w:val="24"/>
        </w:rPr>
        <w:t>S) stated that there is n</w:t>
      </w:r>
      <w:r w:rsidRPr="00DC7415">
        <w:rPr>
          <w:rFonts w:eastAsia="Times New Roman"/>
          <w:szCs w:val="24"/>
        </w:rPr>
        <w:t>o new business to report</w:t>
      </w:r>
      <w:r>
        <w:rPr>
          <w:rFonts w:eastAsia="Times New Roman"/>
          <w:szCs w:val="24"/>
        </w:rPr>
        <w:t xml:space="preserve"> and that an u</w:t>
      </w:r>
      <w:r w:rsidRPr="00DC7415">
        <w:rPr>
          <w:rFonts w:eastAsia="Times New Roman"/>
          <w:szCs w:val="24"/>
        </w:rPr>
        <w:t xml:space="preserve">pdate </w:t>
      </w:r>
      <w:r>
        <w:rPr>
          <w:rFonts w:eastAsia="Times New Roman"/>
          <w:szCs w:val="24"/>
        </w:rPr>
        <w:t>will be provided</w:t>
      </w:r>
      <w:r w:rsidRPr="00DC7415">
        <w:rPr>
          <w:rFonts w:eastAsia="Times New Roman"/>
          <w:szCs w:val="24"/>
        </w:rPr>
        <w:t xml:space="preserve"> in January.</w:t>
      </w:r>
    </w:p>
    <w:p w14:paraId="4956F843" w14:textId="77777777" w:rsidR="00B367AD" w:rsidRPr="00A43BF4" w:rsidRDefault="00B367AD" w:rsidP="00B367AD">
      <w:pPr>
        <w:rPr>
          <w:rFonts w:eastAsia="Times New Roman"/>
          <w:szCs w:val="24"/>
        </w:rPr>
      </w:pPr>
      <w:r>
        <w:rPr>
          <w:rFonts w:eastAsia="Times New Roman"/>
          <w:szCs w:val="24"/>
        </w:rPr>
        <w:t>The WWMA L&amp;R Committee thanks the Fuels and Lubricants Subcommittee for its work and recommends this item remain developing.</w:t>
      </w:r>
    </w:p>
    <w:p w14:paraId="287EF00B" w14:textId="77777777" w:rsidR="00B367AD" w:rsidRDefault="00B367AD" w:rsidP="00B367AD">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Pr>
          <w:rFonts w:eastAsia="Times New Roman"/>
          <w:szCs w:val="24"/>
          <w:u w:val="single"/>
        </w:rPr>
        <w:t>Interim</w:t>
      </w:r>
      <w:r w:rsidRPr="0051426D">
        <w:rPr>
          <w:rFonts w:eastAsia="Times New Roman"/>
          <w:szCs w:val="24"/>
          <w:u w:val="single"/>
        </w:rPr>
        <w:t xml:space="preserve"> Meeting:</w:t>
      </w:r>
    </w:p>
    <w:p w14:paraId="28CB9756" w14:textId="77777777" w:rsidR="00B367AD" w:rsidRPr="00A43BF4" w:rsidRDefault="00B367AD" w:rsidP="00B367AD">
      <w:pPr>
        <w:spacing w:after="0"/>
        <w:rPr>
          <w:rFonts w:eastAsia="Times New Roman"/>
          <w:szCs w:val="24"/>
        </w:rPr>
      </w:pPr>
      <w:r>
        <w:rPr>
          <w:rFonts w:eastAsia="Times New Roman"/>
          <w:szCs w:val="24"/>
        </w:rPr>
        <w:t>No comments.</w:t>
      </w:r>
    </w:p>
    <w:p w14:paraId="257980B5" w14:textId="77777777" w:rsidR="00B367AD" w:rsidRPr="009976BF" w:rsidRDefault="00B367AD" w:rsidP="00B367AD">
      <w:pPr>
        <w:spacing w:before="240"/>
        <w:rPr>
          <w:rFonts w:eastAsia="Times New Roman"/>
          <w:szCs w:val="24"/>
        </w:rPr>
      </w:pPr>
      <w:r w:rsidRPr="009976BF">
        <w:rPr>
          <w:rFonts w:eastAsia="Times New Roman"/>
          <w:szCs w:val="24"/>
        </w:rPr>
        <w:t xml:space="preserve">The CWM L&amp;R Committee recommends a developing status for this item. </w:t>
      </w:r>
    </w:p>
    <w:p w14:paraId="414B57A7" w14:textId="77777777" w:rsidR="00B367AD" w:rsidRDefault="00B367AD" w:rsidP="00B367AD">
      <w:pPr>
        <w:jc w:val="left"/>
        <w:rPr>
          <w:u w:val="single"/>
        </w:rPr>
      </w:pPr>
      <w:r w:rsidRPr="006C7BFB">
        <w:rPr>
          <w:u w:val="single"/>
        </w:rPr>
        <w:t>NEWMA 202</w:t>
      </w:r>
      <w:r>
        <w:rPr>
          <w:u w:val="single"/>
        </w:rPr>
        <w:t>5</w:t>
      </w:r>
      <w:r w:rsidRPr="006C7BFB">
        <w:rPr>
          <w:u w:val="single"/>
        </w:rPr>
        <w:t xml:space="preserve"> Interim Meeting:</w:t>
      </w:r>
    </w:p>
    <w:p w14:paraId="026E687B" w14:textId="77777777" w:rsidR="00B367AD" w:rsidRDefault="00B367AD" w:rsidP="00B367AD">
      <w:pPr>
        <w:spacing w:before="240"/>
        <w:jc w:val="left"/>
        <w:rPr>
          <w:rFonts w:eastAsia="Times New Roman"/>
          <w:szCs w:val="24"/>
        </w:rPr>
      </w:pPr>
      <w:r>
        <w:rPr>
          <w:rFonts w:eastAsia="Times New Roman"/>
          <w:szCs w:val="24"/>
        </w:rPr>
        <w:lastRenderedPageBreak/>
        <w:t>No comments were heard on this item.  As this is a standing subcommittee report, the committee recommended a Developing status, and the body concurred.</w:t>
      </w:r>
    </w:p>
    <w:p w14:paraId="60AADCBF" w14:textId="77777777" w:rsidR="00B367AD" w:rsidRDefault="00B367AD" w:rsidP="00712C69">
      <w:pPr>
        <w:keepNext/>
        <w:keepLines/>
        <w:spacing w:before="240"/>
        <w:jc w:val="left"/>
        <w:rPr>
          <w:u w:val="single"/>
        </w:rPr>
      </w:pPr>
      <w:r>
        <w:rPr>
          <w:u w:val="single"/>
        </w:rPr>
        <w:t>S</w:t>
      </w:r>
      <w:r w:rsidRPr="00EF1ACC">
        <w:rPr>
          <w:u w:val="single"/>
        </w:rPr>
        <w:t>WMA 202</w:t>
      </w:r>
      <w:r>
        <w:rPr>
          <w:u w:val="single"/>
        </w:rPr>
        <w:t>5</w:t>
      </w:r>
      <w:r w:rsidRPr="00EF1ACC">
        <w:rPr>
          <w:u w:val="single"/>
        </w:rPr>
        <w:t xml:space="preserve"> </w:t>
      </w:r>
      <w:r>
        <w:rPr>
          <w:u w:val="single"/>
        </w:rPr>
        <w:t>Annual</w:t>
      </w:r>
      <w:r w:rsidRPr="00EF1ACC">
        <w:rPr>
          <w:u w:val="single"/>
        </w:rPr>
        <w:t xml:space="preserve"> Meeting</w:t>
      </w:r>
      <w:r>
        <w:rPr>
          <w:u w:val="single"/>
        </w:rPr>
        <w:t>:</w:t>
      </w:r>
    </w:p>
    <w:p w14:paraId="062B4768" w14:textId="0C7EFED4" w:rsidR="00B367AD" w:rsidRPr="00BA026A" w:rsidRDefault="00B367AD" w:rsidP="00712C69">
      <w:pPr>
        <w:keepNext/>
        <w:keepLines/>
        <w:rPr>
          <w:rFonts w:eastAsia="Times New Roman"/>
          <w:szCs w:val="24"/>
        </w:rPr>
      </w:pPr>
      <w:r>
        <w:rPr>
          <w:rFonts w:eastAsia="Times New Roman"/>
          <w:szCs w:val="24"/>
        </w:rPr>
        <w:t xml:space="preserve">Mr. </w:t>
      </w:r>
      <w:r w:rsidRPr="005F364B">
        <w:rPr>
          <w:rFonts w:eastAsia="Times New Roman"/>
          <w:szCs w:val="24"/>
        </w:rPr>
        <w:t>Randy Jennings</w:t>
      </w:r>
      <w:r>
        <w:rPr>
          <w:rFonts w:eastAsia="Times New Roman"/>
          <w:szCs w:val="24"/>
        </w:rPr>
        <w:t xml:space="preserve">, </w:t>
      </w:r>
      <w:r w:rsidRPr="005F364B">
        <w:rPr>
          <w:rFonts w:eastAsia="Times New Roman"/>
          <w:szCs w:val="24"/>
        </w:rPr>
        <w:t xml:space="preserve">FALS Vice Chair — </w:t>
      </w:r>
      <w:r>
        <w:rPr>
          <w:rFonts w:eastAsia="Times New Roman"/>
          <w:szCs w:val="24"/>
        </w:rPr>
        <w:t>commented that other</w:t>
      </w:r>
      <w:r w:rsidRPr="005F364B">
        <w:rPr>
          <w:rFonts w:eastAsia="Times New Roman"/>
          <w:szCs w:val="24"/>
        </w:rPr>
        <w:t xml:space="preserve"> than the information presented for FLR-26.1, </w:t>
      </w:r>
      <w:r>
        <w:rPr>
          <w:rFonts w:eastAsia="Times New Roman"/>
          <w:szCs w:val="24"/>
        </w:rPr>
        <w:t>the group</w:t>
      </w:r>
      <w:r w:rsidRPr="005F364B">
        <w:rPr>
          <w:rFonts w:eastAsia="Times New Roman"/>
          <w:szCs w:val="24"/>
        </w:rPr>
        <w:t xml:space="preserve"> do</w:t>
      </w:r>
      <w:r>
        <w:rPr>
          <w:rFonts w:eastAsia="Times New Roman"/>
          <w:szCs w:val="24"/>
        </w:rPr>
        <w:t>es</w:t>
      </w:r>
      <w:r w:rsidRPr="005F364B">
        <w:rPr>
          <w:rFonts w:eastAsia="Times New Roman"/>
          <w:szCs w:val="24"/>
        </w:rPr>
        <w:t xml:space="preserve"> not have any additional information to report at this time.  In addition to the Virtual Meeting that we will hold prior to the Interim, </w:t>
      </w:r>
      <w:r>
        <w:rPr>
          <w:rFonts w:eastAsia="Times New Roman"/>
          <w:szCs w:val="24"/>
        </w:rPr>
        <w:t>FALS</w:t>
      </w:r>
      <w:r w:rsidRPr="005F364B">
        <w:rPr>
          <w:rFonts w:eastAsia="Times New Roman"/>
          <w:szCs w:val="24"/>
        </w:rPr>
        <w:t xml:space="preserve"> will meet in-person at the NCWM Interim</w:t>
      </w:r>
      <w:r>
        <w:rPr>
          <w:rFonts w:eastAsia="Times New Roman"/>
          <w:szCs w:val="24"/>
        </w:rPr>
        <w:t xml:space="preserve"> </w:t>
      </w:r>
      <w:r w:rsidR="00AF66B3">
        <w:rPr>
          <w:rFonts w:eastAsia="Times New Roman"/>
          <w:szCs w:val="24"/>
        </w:rPr>
        <w:t>meeting,</w:t>
      </w:r>
      <w:r w:rsidRPr="005F364B">
        <w:rPr>
          <w:rFonts w:eastAsia="Times New Roman"/>
          <w:szCs w:val="24"/>
        </w:rPr>
        <w:t xml:space="preserve"> and an update will be provided to the NCWM L&amp;R</w:t>
      </w:r>
      <w:r>
        <w:rPr>
          <w:rFonts w:eastAsia="Times New Roman"/>
          <w:szCs w:val="24"/>
        </w:rPr>
        <w:t xml:space="preserve"> Committee</w:t>
      </w:r>
      <w:r w:rsidRPr="005F364B">
        <w:rPr>
          <w:rFonts w:eastAsia="Times New Roman"/>
          <w:szCs w:val="24"/>
        </w:rPr>
        <w:t xml:space="preserve"> during the open hearings.</w:t>
      </w:r>
    </w:p>
    <w:p w14:paraId="3509D3A2" w14:textId="37119D4C" w:rsidR="00C039A0" w:rsidRPr="00281428" w:rsidRDefault="00C039A0" w:rsidP="008E7141">
      <w:pPr>
        <w:pStyle w:val="ItemHeading"/>
        <w:tabs>
          <w:tab w:val="left" w:pos="2160"/>
        </w:tabs>
        <w:ind w:left="1710" w:hanging="1710"/>
      </w:pPr>
      <w:bookmarkStart w:id="293" w:name="_Toc224019627"/>
      <w:bookmarkStart w:id="294" w:name="_Hlk79567666"/>
      <w:bookmarkStart w:id="295" w:name="_Hlk61552411"/>
      <w:bookmarkEnd w:id="291"/>
      <w:bookmarkEnd w:id="292"/>
      <w:r w:rsidRPr="00281428">
        <w:t>OTH-</w:t>
      </w:r>
      <w:r w:rsidR="00B841BE" w:rsidRPr="00281428">
        <w:t>11.1</w:t>
      </w:r>
      <w:r w:rsidRPr="00281428">
        <w:tab/>
        <w:t>D</w:t>
      </w:r>
      <w:r w:rsidRPr="00281428">
        <w:tab/>
        <w:t>Packaging and Labeling Subcommittee</w:t>
      </w:r>
      <w:bookmarkEnd w:id="29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5660A2E2" w14:textId="77777777" w:rsidR="00866296"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w:t>
      </w:r>
    </w:p>
    <w:p w14:paraId="1EDA292D" w14:textId="2DC76B00" w:rsidR="00C039A0" w:rsidRPr="00281428" w:rsidRDefault="00C039A0" w:rsidP="00D335B6">
      <w:r w:rsidRPr="00281428">
        <w:t>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296" w:name="_Toc316645649"/>
      <w:bookmarkEnd w:id="294"/>
      <w:bookmarkEnd w:id="295"/>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03A50C10" w:rsidR="00B02E3D" w:rsidRPr="00281428" w:rsidRDefault="00B02E3D" w:rsidP="00B02E3D">
      <w:pPr>
        <w:pStyle w:val="BoldHeading"/>
        <w:spacing w:after="240"/>
        <w:rPr>
          <w:b w:val="0"/>
        </w:rPr>
      </w:pPr>
      <w:r w:rsidRPr="00281428">
        <w:rPr>
          <w:b w:val="0"/>
        </w:rPr>
        <w:t xml:space="preserve">For more information or to provide </w:t>
      </w:r>
      <w:r w:rsidR="00FD3321" w:rsidRPr="00281428">
        <w:rPr>
          <w:b w:val="0"/>
        </w:rPr>
        <w:t>comments</w:t>
      </w:r>
      <w:r w:rsidRPr="00281428">
        <w:rPr>
          <w:b w:val="0"/>
        </w:rPr>
        <w: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40" w:history="1">
        <w:r w:rsidRPr="00F749B2">
          <w:rPr>
            <w:b w:val="0"/>
            <w:u w:val="single"/>
          </w:rPr>
          <w:t>guay.cb@gmail.com</w:t>
        </w:r>
      </w:hyperlink>
      <w:r w:rsidRPr="00281428">
        <w:rPr>
          <w:rStyle w:val="Hyperlink"/>
          <w:b w:val="0"/>
          <w:bCs/>
          <w:noProof w:val="0"/>
          <w:color w:val="0000FF"/>
        </w:rPr>
        <w:t xml:space="preserve"> </w:t>
      </w:r>
    </w:p>
    <w:bookmarkEnd w:id="296"/>
    <w:p w14:paraId="755418E5" w14:textId="77777777" w:rsidR="000234D0" w:rsidRDefault="000234D0" w:rsidP="0099511C">
      <w:pPr>
        <w:spacing w:after="0"/>
        <w:rPr>
          <w:b/>
        </w:rPr>
      </w:pPr>
    </w:p>
    <w:p w14:paraId="61B8CDE4" w14:textId="77777777" w:rsidR="000234D0" w:rsidRDefault="000234D0" w:rsidP="0099511C">
      <w:pPr>
        <w:spacing w:after="0"/>
        <w:rPr>
          <w:b/>
        </w:rPr>
      </w:pPr>
    </w:p>
    <w:p w14:paraId="63B1EC7A" w14:textId="6A7D3DCD" w:rsidR="00C06684" w:rsidRPr="005415D2" w:rsidRDefault="00B02E3D" w:rsidP="0099511C">
      <w:pPr>
        <w:spacing w:after="0"/>
        <w:rPr>
          <w:b/>
        </w:rPr>
      </w:pPr>
      <w:r>
        <w:rPr>
          <w:b/>
        </w:rPr>
        <w:t>Item Development:</w:t>
      </w:r>
    </w:p>
    <w:p w14:paraId="3421B8F2" w14:textId="3BCE09AF" w:rsidR="00601667" w:rsidRDefault="00583DFB" w:rsidP="006D47A5">
      <w:pPr>
        <w:keepNext/>
        <w:keepLines/>
        <w:rPr>
          <w:szCs w:val="20"/>
        </w:rPr>
      </w:pPr>
      <w:r>
        <w:rPr>
          <w:u w:val="single"/>
        </w:rPr>
        <w:t>NCWM 202</w:t>
      </w:r>
      <w:r w:rsidR="00755D0D">
        <w:rPr>
          <w:u w:val="single"/>
        </w:rPr>
        <w:t>6</w:t>
      </w:r>
      <w:r>
        <w:rPr>
          <w:u w:val="single"/>
        </w:rPr>
        <w:t xml:space="preserve"> </w:t>
      </w:r>
      <w:r w:rsidR="006A0630">
        <w:rPr>
          <w:u w:val="single"/>
        </w:rPr>
        <w:t>Interim</w:t>
      </w:r>
      <w:r w:rsidR="00601667">
        <w:t xml:space="preserve">: </w:t>
      </w:r>
      <w:r w:rsidR="007807ED">
        <w:t xml:space="preserve">Mr. </w:t>
      </w:r>
      <w:r w:rsidR="00587AF5">
        <w:rPr>
          <w:szCs w:val="20"/>
        </w:rPr>
        <w:t>Mike Smith, New York</w:t>
      </w:r>
      <w:r w:rsidR="00874678">
        <w:rPr>
          <w:szCs w:val="20"/>
        </w:rPr>
        <w:t xml:space="preserve"> </w:t>
      </w:r>
      <w:r w:rsidR="00E66ECC">
        <w:rPr>
          <w:szCs w:val="20"/>
        </w:rPr>
        <w:t xml:space="preserve">representing PALS </w:t>
      </w:r>
      <w:r w:rsidR="00874678">
        <w:rPr>
          <w:szCs w:val="20"/>
        </w:rPr>
        <w:t xml:space="preserve">updated the Committee on </w:t>
      </w:r>
      <w:r w:rsidR="00257064">
        <w:rPr>
          <w:szCs w:val="20"/>
        </w:rPr>
        <w:t xml:space="preserve">PALS activities </w:t>
      </w:r>
      <w:r w:rsidR="00601667">
        <w:rPr>
          <w:szCs w:val="20"/>
        </w:rPr>
        <w:t>and provided the following</w:t>
      </w:r>
      <w:r w:rsidR="00755D0D">
        <w:rPr>
          <w:szCs w:val="20"/>
        </w:rPr>
        <w:t>:</w:t>
      </w:r>
    </w:p>
    <w:p w14:paraId="682A2E72" w14:textId="165D945C" w:rsidR="00755D0D" w:rsidRPr="00601667" w:rsidRDefault="00755D0D" w:rsidP="006D47A5">
      <w:pPr>
        <w:keepNext/>
        <w:keepLines/>
      </w:pPr>
      <w:r w:rsidRPr="00755D0D">
        <w:t>The Packaging and Labeling Subcommittee met on Sunday January 11, 2026.  We shared and discussed the Draft Best Practice Document called, “Quantity related expressions on a principal display panel”.  This document will provide guidance to manufacturers and regulators alike regarding the statements which appear in addition to a proper and correct Declaration of Net Quantity.  We hope to have this document completed by March and plan to submit this to the NCWM Board shortly thereafter so that an expert panel can be established to review and publish as an NCWM best practice publication.  PALS is optimistic that this document will be completed for the NCWM body, by the annual meeting in Philadelphia.</w:t>
      </w:r>
    </w:p>
    <w:p w14:paraId="5FE4EDE7" w14:textId="2A3DD81B" w:rsidR="00B55C17" w:rsidRPr="00EA21DF" w:rsidRDefault="00C262D1" w:rsidP="00EA21DF">
      <w:pPr>
        <w:keepNext/>
        <w:keepLines/>
        <w:rPr>
          <w:b/>
          <w:szCs w:val="20"/>
        </w:rPr>
      </w:pPr>
      <w:r w:rsidRPr="00B111BA">
        <w:rPr>
          <w:b/>
          <w:szCs w:val="20"/>
        </w:rPr>
        <w:t>Regional Associations’ Comments:</w:t>
      </w:r>
    </w:p>
    <w:p w14:paraId="7655A6AF" w14:textId="2DEECFF6" w:rsidR="00B55C17" w:rsidRDefault="000714DD" w:rsidP="00EA21DF">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12835E6F" w14:textId="3AB2C0A6" w:rsidR="00EE0333" w:rsidRDefault="00EE0333" w:rsidP="00EE0333">
      <w:pPr>
        <w:spacing w:after="0"/>
        <w:rPr>
          <w:rFonts w:eastAsia="Times New Roman"/>
          <w:szCs w:val="24"/>
        </w:rPr>
      </w:pPr>
      <w:r>
        <w:rPr>
          <w:rFonts w:eastAsia="Times New Roman"/>
          <w:szCs w:val="24"/>
        </w:rPr>
        <w:t>The committee heard no update from PALS.</w:t>
      </w:r>
    </w:p>
    <w:p w14:paraId="560BC854" w14:textId="05E9216E" w:rsidR="000714DD" w:rsidRPr="00A43BF4" w:rsidRDefault="00EE0333" w:rsidP="00EA21DF">
      <w:pPr>
        <w:rPr>
          <w:rFonts w:eastAsia="Times New Roman"/>
          <w:szCs w:val="24"/>
        </w:rPr>
      </w:pPr>
      <w:r>
        <w:rPr>
          <w:rFonts w:eastAsia="Times New Roman"/>
          <w:szCs w:val="24"/>
        </w:rPr>
        <w:t>The WWMA L&amp;R Committee thanks the Packaging and Labeling Subcommittee for its work and recommends this item remain developing.</w:t>
      </w:r>
    </w:p>
    <w:p w14:paraId="1D11137D" w14:textId="0A798544" w:rsidR="000714DD" w:rsidRDefault="000714DD" w:rsidP="000714DD">
      <w:pPr>
        <w:rPr>
          <w:rFonts w:eastAsia="Times New Roman"/>
          <w:szCs w:val="24"/>
          <w:u w:val="single"/>
        </w:rPr>
      </w:pPr>
      <w:r>
        <w:rPr>
          <w:rFonts w:eastAsia="Times New Roman"/>
          <w:szCs w:val="24"/>
          <w:u w:val="single"/>
        </w:rPr>
        <w:lastRenderedPageBreak/>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4149B1">
        <w:rPr>
          <w:rFonts w:eastAsia="Times New Roman"/>
          <w:szCs w:val="24"/>
          <w:u w:val="single"/>
        </w:rPr>
        <w:t>Interim</w:t>
      </w:r>
      <w:r w:rsidRPr="0051426D">
        <w:rPr>
          <w:rFonts w:eastAsia="Times New Roman"/>
          <w:szCs w:val="24"/>
          <w:u w:val="single"/>
        </w:rPr>
        <w:t xml:space="preserve"> Meeting:</w:t>
      </w:r>
    </w:p>
    <w:p w14:paraId="439954EF" w14:textId="77777777" w:rsidR="00B37B32" w:rsidRPr="00A43BF4" w:rsidRDefault="00B37B32" w:rsidP="00B37B32">
      <w:pPr>
        <w:spacing w:after="0"/>
        <w:rPr>
          <w:rFonts w:eastAsia="Times New Roman"/>
          <w:szCs w:val="24"/>
        </w:rPr>
      </w:pPr>
      <w:r>
        <w:rPr>
          <w:rFonts w:eastAsia="Times New Roman"/>
          <w:szCs w:val="24"/>
        </w:rPr>
        <w:t>No comments.</w:t>
      </w:r>
    </w:p>
    <w:p w14:paraId="27CE3F17" w14:textId="44DE4838" w:rsidR="00C23360" w:rsidRPr="000234D0" w:rsidRDefault="00B37B32" w:rsidP="000234D0">
      <w:pPr>
        <w:spacing w:before="240"/>
        <w:rPr>
          <w:rFonts w:eastAsia="Times New Roman"/>
          <w:szCs w:val="24"/>
        </w:rPr>
      </w:pPr>
      <w:r w:rsidRPr="009976BF">
        <w:rPr>
          <w:rFonts w:eastAsia="Times New Roman"/>
          <w:szCs w:val="24"/>
        </w:rPr>
        <w:t xml:space="preserve">The CWM L&amp;R Committee recommends a developing status for this item. </w:t>
      </w:r>
    </w:p>
    <w:p w14:paraId="665599AA" w14:textId="62C48279" w:rsidR="00F4722D" w:rsidRDefault="000714DD" w:rsidP="000714DD">
      <w:pPr>
        <w:jc w:val="left"/>
        <w:rPr>
          <w:u w:val="single"/>
        </w:rPr>
      </w:pPr>
      <w:r w:rsidRPr="006C7BFB">
        <w:rPr>
          <w:u w:val="single"/>
        </w:rPr>
        <w:t>NEWMA 202</w:t>
      </w:r>
      <w:r>
        <w:rPr>
          <w:u w:val="single"/>
        </w:rPr>
        <w:t>5</w:t>
      </w:r>
      <w:r w:rsidRPr="006C7BFB">
        <w:rPr>
          <w:u w:val="single"/>
        </w:rPr>
        <w:t xml:space="preserve"> Interim Meeting:</w:t>
      </w:r>
    </w:p>
    <w:p w14:paraId="56DD511D" w14:textId="77777777" w:rsidR="00EA21DF" w:rsidRDefault="00F4722D" w:rsidP="00EA21DF">
      <w:pPr>
        <w:jc w:val="left"/>
        <w:rPr>
          <w:rFonts w:eastAsia="Times New Roman"/>
          <w:szCs w:val="24"/>
        </w:rPr>
      </w:pPr>
      <w:r>
        <w:rPr>
          <w:rFonts w:eastAsia="Times New Roman"/>
          <w:szCs w:val="24"/>
        </w:rPr>
        <w:t>No comments were heard on this item.  As this is a standing subcommittee report, the committee recommended a Developing status, and the body concurred.</w:t>
      </w:r>
    </w:p>
    <w:p w14:paraId="76AAA55C" w14:textId="3AE6B30A" w:rsidR="00736499" w:rsidRDefault="000714DD" w:rsidP="00EA21DF">
      <w:pPr>
        <w:jc w:val="left"/>
        <w:rPr>
          <w:szCs w:val="20"/>
        </w:rPr>
      </w:pPr>
      <w:r>
        <w:rPr>
          <w:u w:val="single"/>
        </w:rPr>
        <w:t>S</w:t>
      </w:r>
      <w:r w:rsidRPr="00EF1ACC">
        <w:rPr>
          <w:u w:val="single"/>
        </w:rPr>
        <w:t>WMA 202</w:t>
      </w:r>
      <w:r>
        <w:rPr>
          <w:u w:val="single"/>
        </w:rPr>
        <w:t>5</w:t>
      </w:r>
      <w:r w:rsidRPr="00EF1ACC">
        <w:rPr>
          <w:u w:val="single"/>
        </w:rPr>
        <w:t xml:space="preserve"> </w:t>
      </w:r>
      <w:r w:rsidR="004149B1">
        <w:rPr>
          <w:u w:val="single"/>
        </w:rPr>
        <w:t>Annual</w:t>
      </w:r>
      <w:r w:rsidRPr="00EF1ACC">
        <w:rPr>
          <w:u w:val="single"/>
        </w:rPr>
        <w:t xml:space="preserve"> Meeting</w:t>
      </w:r>
      <w:r>
        <w:rPr>
          <w:u w:val="single"/>
        </w:rPr>
        <w:t>:</w:t>
      </w:r>
      <w:r w:rsidR="000F1208">
        <w:rPr>
          <w:szCs w:val="20"/>
        </w:rPr>
        <w:t xml:space="preserve"> </w:t>
      </w:r>
    </w:p>
    <w:p w14:paraId="2652C7A9" w14:textId="66B2A83D" w:rsidR="00736499" w:rsidRDefault="00736499" w:rsidP="00EA21DF">
      <w:pPr>
        <w:rPr>
          <w:rFonts w:eastAsia="Times New Roman"/>
          <w:szCs w:val="24"/>
        </w:rPr>
      </w:pPr>
      <w:r>
        <w:rPr>
          <w:rFonts w:eastAsia="Times New Roman"/>
          <w:szCs w:val="24"/>
        </w:rPr>
        <w:t>No comments were received during open hearing on this item.</w:t>
      </w:r>
    </w:p>
    <w:p w14:paraId="1430DB58" w14:textId="15D12B28" w:rsidR="00F4722D" w:rsidRPr="00EA21DF" w:rsidRDefault="00736499" w:rsidP="00EA21DF">
      <w:pPr>
        <w:jc w:val="left"/>
        <w:rPr>
          <w:szCs w:val="20"/>
        </w:rPr>
      </w:pPr>
      <w:r>
        <w:rPr>
          <w:rFonts w:eastAsia="Times New Roman"/>
          <w:szCs w:val="24"/>
        </w:rPr>
        <w:t>The Committee recommends this item remain Developing.</w:t>
      </w:r>
    </w:p>
    <w:p w14:paraId="1ED1A92C" w14:textId="1ED939B8" w:rsidR="00852C36" w:rsidRDefault="00852C36" w:rsidP="00852C36">
      <w:r w:rsidRPr="00B111BA">
        <w:rPr>
          <w:szCs w:val="20"/>
        </w:rPr>
        <w:t xml:space="preserve">Additional letters, </w:t>
      </w:r>
      <w:r w:rsidR="00AE5450" w:rsidRPr="00B111BA">
        <w:rPr>
          <w:szCs w:val="20"/>
        </w:rPr>
        <w:t>presentations</w:t>
      </w:r>
      <w:r w:rsidRPr="00B111BA">
        <w:rPr>
          <w:szCs w:val="20"/>
        </w:rPr>
        <w:t xml:space="preserve"> and</w:t>
      </w:r>
      <w:r>
        <w:t xml:space="preserve"> data may have been submitted for consideration with this item.  Please refer to </w:t>
      </w:r>
      <w:r>
        <w:rPr>
          <w:u w:val="single"/>
        </w:rPr>
        <w:t>https://www.ncwm.com/publication-15</w:t>
      </w:r>
      <w:r>
        <w:t xml:space="preserve"> to review these documents.</w:t>
      </w:r>
    </w:p>
    <w:p w14:paraId="1F718BAF" w14:textId="1F6EA832" w:rsidR="006540E5" w:rsidRDefault="006540E5" w:rsidP="006540E5">
      <w:pPr>
        <w:pStyle w:val="Heading1"/>
      </w:pPr>
      <w:bookmarkStart w:id="297" w:name="_Toc224019628"/>
      <w:r>
        <w:t>NET – Handbook 133</w:t>
      </w:r>
      <w:bookmarkEnd w:id="297"/>
    </w:p>
    <w:p w14:paraId="67AA14BF" w14:textId="7005EC97" w:rsidR="006540E5" w:rsidRPr="003C355F" w:rsidRDefault="006540E5" w:rsidP="006540E5">
      <w:pPr>
        <w:pStyle w:val="ItemHeading"/>
      </w:pPr>
      <w:bookmarkStart w:id="298" w:name="_Toc224019629"/>
      <w:r>
        <w:t>NET-26.1</w:t>
      </w:r>
      <w:r w:rsidRPr="003C355F">
        <w:tab/>
      </w:r>
      <w:r w:rsidR="00CF4B38">
        <w:t>W</w:t>
      </w:r>
      <w:r w:rsidRPr="003C355F">
        <w:tab/>
      </w:r>
      <w:r>
        <w:t>Table 2-3. Moisture Allowances</w:t>
      </w:r>
      <w:bookmarkEnd w:id="298"/>
    </w:p>
    <w:p w14:paraId="043EB6AA" w14:textId="77777777" w:rsidR="006540E5" w:rsidRPr="00E025F9" w:rsidRDefault="006540E5" w:rsidP="006540E5">
      <w:pPr>
        <w:spacing w:after="0"/>
        <w:rPr>
          <w:b/>
        </w:rPr>
      </w:pPr>
      <w:r w:rsidRPr="00E025F9">
        <w:rPr>
          <w:b/>
        </w:rPr>
        <w:t>Source:</w:t>
      </w:r>
    </w:p>
    <w:p w14:paraId="74F25D97" w14:textId="474253DD" w:rsidR="006540E5" w:rsidRDefault="006540E5" w:rsidP="006540E5">
      <w:r>
        <w:t>New Jersey Food Council</w:t>
      </w:r>
    </w:p>
    <w:p w14:paraId="10FD65C8" w14:textId="77777777" w:rsidR="006540E5" w:rsidRPr="00E025F9" w:rsidRDefault="006540E5" w:rsidP="006540E5">
      <w:pPr>
        <w:spacing w:after="0"/>
        <w:rPr>
          <w:b/>
        </w:rPr>
      </w:pPr>
      <w:r w:rsidRPr="00E025F9">
        <w:rPr>
          <w:b/>
        </w:rPr>
        <w:t>Purpose:</w:t>
      </w:r>
    </w:p>
    <w:p w14:paraId="64365EA1" w14:textId="268AD028" w:rsidR="006540E5" w:rsidRPr="00EE0333" w:rsidRDefault="006540E5" w:rsidP="00EE0333">
      <w:r w:rsidRPr="00EE0333">
        <w:t>The New Jersey Food Council, through its counsel, respectfully submit this proposal to amend the National Institute of Standards and Technology (“NIST”) Handbook 133 at Chapter 2, Section 2.3.8.1. It is being requested that this section be amended to provide a moisture allowance for produce at 6 percent, which reflects the high water volume of fruits and vegetables and the corresponding moisture loss upon harvesting. This proposal is made in conjunction with a separately submitted proposal to amend Handbook 130.</w:t>
      </w:r>
    </w:p>
    <w:p w14:paraId="14D93071" w14:textId="77777777" w:rsidR="006540E5" w:rsidRPr="00E025F9" w:rsidRDefault="006540E5" w:rsidP="006540E5">
      <w:pPr>
        <w:spacing w:after="0"/>
        <w:rPr>
          <w:b/>
        </w:rPr>
      </w:pPr>
      <w:r w:rsidRPr="00E025F9">
        <w:rPr>
          <w:b/>
        </w:rPr>
        <w:t>Item under Consideration:</w:t>
      </w:r>
    </w:p>
    <w:p w14:paraId="6B240C61" w14:textId="13A01E79" w:rsidR="006540E5" w:rsidRDefault="006540E5" w:rsidP="006540E5">
      <w:pPr>
        <w:spacing w:after="0"/>
      </w:pPr>
      <w:r>
        <w:t>Amend NIST Handbook 133 as follows:</w:t>
      </w:r>
    </w:p>
    <w:p w14:paraId="349731B8" w14:textId="591B0C77" w:rsidR="00096185" w:rsidRPr="00096185" w:rsidRDefault="006540E5" w:rsidP="00C918BF">
      <w:pPr>
        <w:keepNext/>
        <w:spacing w:before="240" w:after="0"/>
        <w:rPr>
          <w:b/>
        </w:rPr>
      </w:pPr>
      <w:r w:rsidRPr="00E025F9">
        <w:rPr>
          <w:b/>
        </w:rPr>
        <w:t xml:space="preserve">Previous </w:t>
      </w:r>
      <w:r>
        <w:rPr>
          <w:b/>
        </w:rPr>
        <w:t>Status</w:t>
      </w:r>
      <w:r w:rsidRPr="00E025F9">
        <w:rPr>
          <w:b/>
        </w:rPr>
        <w:t>:</w:t>
      </w:r>
    </w:p>
    <w:p w14:paraId="29C5A2D6" w14:textId="174D7A9E" w:rsidR="000076D9" w:rsidRDefault="006540E5" w:rsidP="000076D9">
      <w:r>
        <w:t xml:space="preserve">New Proposal </w:t>
      </w:r>
    </w:p>
    <w:p w14:paraId="47049B99" w14:textId="77777777" w:rsidR="002C2AB5" w:rsidRDefault="002C2AB5" w:rsidP="00A94B54">
      <w:pPr>
        <w:suppressLineNumbers/>
      </w:pPr>
    </w:p>
    <w:p w14:paraId="34DF3A1F" w14:textId="77777777" w:rsidR="002C2AB5" w:rsidRDefault="002C2AB5" w:rsidP="00A94B54">
      <w:pPr>
        <w:suppressLineNumbers/>
      </w:pPr>
    </w:p>
    <w:p w14:paraId="2B1696A2" w14:textId="77777777" w:rsidR="002C2AB5" w:rsidRDefault="002C2AB5" w:rsidP="00A94B54">
      <w:pPr>
        <w:suppressLineNumbers/>
      </w:pPr>
    </w:p>
    <w:p w14:paraId="7542C763" w14:textId="77777777" w:rsidR="002C2AB5" w:rsidRDefault="002C2AB5" w:rsidP="00A94B54">
      <w:pPr>
        <w:suppressLineNumbers/>
      </w:pPr>
    </w:p>
    <w:p w14:paraId="61587501" w14:textId="77777777" w:rsidR="002C2AB5" w:rsidRDefault="002C2AB5" w:rsidP="00A94B54">
      <w:pPr>
        <w:suppressLineNumbers/>
      </w:pPr>
    </w:p>
    <w:p w14:paraId="6511FFAE" w14:textId="77777777" w:rsidR="002C2AB5" w:rsidRDefault="002C2AB5" w:rsidP="00A94B54">
      <w:pPr>
        <w:suppressLineNumbers/>
      </w:pPr>
    </w:p>
    <w:p w14:paraId="6FB3793E" w14:textId="77777777" w:rsidR="002C2AB5" w:rsidRPr="000076D9" w:rsidRDefault="002C2AB5" w:rsidP="00A94B54">
      <w:pPr>
        <w:suppressLineNumbers/>
      </w:pPr>
    </w:p>
    <w:tbl>
      <w:tblPr>
        <w:tblpPr w:leftFromText="180" w:rightFromText="180" w:vertAnchor="text" w:tblpY="505"/>
        <w:tblW w:w="92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0"/>
        <w:gridCol w:w="1697"/>
        <w:gridCol w:w="5417"/>
      </w:tblGrid>
      <w:tr w:rsidR="000076D9" w:rsidRPr="000F0E7C" w14:paraId="3CCFDC47" w14:textId="77777777" w:rsidTr="00D22750">
        <w:trPr>
          <w:trHeight w:val="300"/>
        </w:trPr>
        <w:tc>
          <w:tcPr>
            <w:tcW w:w="9254" w:type="dxa"/>
            <w:gridSpan w:val="3"/>
            <w:tcBorders>
              <w:top w:val="double" w:sz="6" w:space="0" w:color="auto"/>
              <w:left w:val="double" w:sz="6" w:space="0" w:color="auto"/>
              <w:bottom w:val="double" w:sz="6" w:space="0" w:color="auto"/>
              <w:right w:val="double" w:sz="6" w:space="0" w:color="auto"/>
            </w:tcBorders>
            <w:vAlign w:val="center"/>
            <w:hideMark/>
          </w:tcPr>
          <w:p w14:paraId="00557D7C" w14:textId="77777777" w:rsidR="000076D9" w:rsidRPr="000F0E7C" w:rsidRDefault="000076D9" w:rsidP="00BC42B5">
            <w:pPr>
              <w:keepNext/>
              <w:keepLines/>
              <w:widowControl w:val="0"/>
              <w:spacing w:after="0"/>
              <w:jc w:val="center"/>
              <w:textAlignment w:val="baseline"/>
              <w:rPr>
                <w:rFonts w:ascii="Segoe UI" w:hAnsi="Segoe UI" w:cs="Segoe UI"/>
                <w:b/>
                <w:bCs/>
                <w:sz w:val="18"/>
                <w:szCs w:val="18"/>
              </w:rPr>
            </w:pPr>
            <w:r w:rsidRPr="000F0E7C">
              <w:rPr>
                <w:b/>
                <w:bCs/>
                <w:sz w:val="22"/>
              </w:rPr>
              <w:lastRenderedPageBreak/>
              <w:t>Table 2-3. </w:t>
            </w:r>
          </w:p>
          <w:p w14:paraId="6ABBAC5A" w14:textId="77777777" w:rsidR="000076D9" w:rsidRPr="000F0E7C" w:rsidRDefault="000076D9" w:rsidP="00BC42B5">
            <w:pPr>
              <w:keepNext/>
              <w:keepLines/>
              <w:widowControl w:val="0"/>
              <w:spacing w:after="0"/>
              <w:jc w:val="center"/>
              <w:textAlignment w:val="baseline"/>
              <w:rPr>
                <w:rFonts w:ascii="Segoe UI" w:hAnsi="Segoe UI" w:cs="Segoe UI"/>
                <w:b/>
                <w:bCs/>
                <w:sz w:val="18"/>
                <w:szCs w:val="18"/>
              </w:rPr>
            </w:pPr>
            <w:r w:rsidRPr="000F0E7C">
              <w:rPr>
                <w:b/>
                <w:bCs/>
                <w:sz w:val="22"/>
              </w:rPr>
              <w:t>Moisture Allowances  </w:t>
            </w:r>
          </w:p>
        </w:tc>
      </w:tr>
      <w:tr w:rsidR="000076D9" w:rsidRPr="000F0E7C" w14:paraId="283DD473" w14:textId="77777777" w:rsidTr="00D22750">
        <w:trPr>
          <w:trHeight w:val="300"/>
        </w:trPr>
        <w:tc>
          <w:tcPr>
            <w:tcW w:w="2140" w:type="dxa"/>
            <w:tcBorders>
              <w:top w:val="double" w:sz="6" w:space="0" w:color="auto"/>
              <w:left w:val="double" w:sz="6" w:space="0" w:color="auto"/>
              <w:bottom w:val="double" w:sz="6" w:space="0" w:color="auto"/>
              <w:right w:val="single" w:sz="6" w:space="0" w:color="auto"/>
            </w:tcBorders>
            <w:vAlign w:val="center"/>
            <w:hideMark/>
          </w:tcPr>
          <w:p w14:paraId="0D426105" w14:textId="77777777" w:rsidR="000076D9" w:rsidRPr="000F0E7C" w:rsidRDefault="000076D9" w:rsidP="00BC42B5">
            <w:pPr>
              <w:keepNext/>
              <w:keepLines/>
              <w:widowControl w:val="0"/>
              <w:spacing w:after="0"/>
              <w:jc w:val="center"/>
              <w:textAlignment w:val="baseline"/>
              <w:rPr>
                <w:rFonts w:ascii="Segoe UI" w:hAnsi="Segoe UI" w:cs="Segoe UI"/>
                <w:b/>
                <w:bCs/>
                <w:sz w:val="18"/>
                <w:szCs w:val="18"/>
              </w:rPr>
            </w:pPr>
            <w:r w:rsidRPr="000F0E7C">
              <w:rPr>
                <w:b/>
                <w:bCs/>
                <w:sz w:val="22"/>
              </w:rPr>
              <w:t>Verifying the labeled net weight of packages of: </w:t>
            </w:r>
          </w:p>
        </w:tc>
        <w:tc>
          <w:tcPr>
            <w:tcW w:w="1697" w:type="dxa"/>
            <w:tcBorders>
              <w:top w:val="double" w:sz="6" w:space="0" w:color="auto"/>
              <w:left w:val="single" w:sz="6" w:space="0" w:color="auto"/>
              <w:bottom w:val="double" w:sz="6" w:space="0" w:color="auto"/>
              <w:right w:val="single" w:sz="6" w:space="0" w:color="auto"/>
            </w:tcBorders>
            <w:vAlign w:val="center"/>
            <w:hideMark/>
          </w:tcPr>
          <w:p w14:paraId="4690AC65" w14:textId="77777777" w:rsidR="000076D9" w:rsidRPr="000F0E7C" w:rsidRDefault="000076D9" w:rsidP="00BC42B5">
            <w:pPr>
              <w:keepNext/>
              <w:keepLines/>
              <w:widowControl w:val="0"/>
              <w:spacing w:after="0"/>
              <w:jc w:val="center"/>
              <w:textAlignment w:val="baseline"/>
              <w:rPr>
                <w:rFonts w:ascii="Segoe UI" w:hAnsi="Segoe UI" w:cs="Segoe UI"/>
                <w:b/>
                <w:bCs/>
                <w:sz w:val="18"/>
                <w:szCs w:val="18"/>
              </w:rPr>
            </w:pPr>
            <w:r w:rsidRPr="000F0E7C">
              <w:rPr>
                <w:b/>
                <w:bCs/>
                <w:sz w:val="22"/>
              </w:rPr>
              <w:t>Moisture Allowance is: </w:t>
            </w:r>
          </w:p>
        </w:tc>
        <w:tc>
          <w:tcPr>
            <w:tcW w:w="5417" w:type="dxa"/>
            <w:tcBorders>
              <w:top w:val="double" w:sz="6" w:space="0" w:color="auto"/>
              <w:left w:val="single" w:sz="6" w:space="0" w:color="auto"/>
              <w:bottom w:val="double" w:sz="6" w:space="0" w:color="auto"/>
              <w:right w:val="double" w:sz="6" w:space="0" w:color="auto"/>
            </w:tcBorders>
            <w:vAlign w:val="center"/>
            <w:hideMark/>
          </w:tcPr>
          <w:p w14:paraId="373285A5" w14:textId="77777777" w:rsidR="000076D9" w:rsidRPr="000F0E7C" w:rsidRDefault="000076D9" w:rsidP="00BC42B5">
            <w:pPr>
              <w:keepNext/>
              <w:keepLines/>
              <w:widowControl w:val="0"/>
              <w:spacing w:after="0"/>
              <w:jc w:val="center"/>
              <w:textAlignment w:val="baseline"/>
              <w:rPr>
                <w:rFonts w:ascii="Segoe UI" w:hAnsi="Segoe UI" w:cs="Segoe UI"/>
                <w:b/>
                <w:bCs/>
                <w:sz w:val="18"/>
                <w:szCs w:val="18"/>
              </w:rPr>
            </w:pPr>
            <w:r w:rsidRPr="000F0E7C">
              <w:rPr>
                <w:b/>
                <w:bCs/>
                <w:sz w:val="22"/>
              </w:rPr>
              <w:t>Notes </w:t>
            </w:r>
          </w:p>
        </w:tc>
      </w:tr>
      <w:tr w:rsidR="000076D9" w:rsidRPr="000F0E7C" w14:paraId="79F12789" w14:textId="77777777" w:rsidTr="00D22750">
        <w:trPr>
          <w:trHeight w:val="300"/>
        </w:trPr>
        <w:tc>
          <w:tcPr>
            <w:tcW w:w="2140" w:type="dxa"/>
            <w:tcBorders>
              <w:top w:val="double" w:sz="6" w:space="0" w:color="auto"/>
              <w:left w:val="double" w:sz="6" w:space="0" w:color="auto"/>
              <w:bottom w:val="single" w:sz="6" w:space="0" w:color="auto"/>
              <w:right w:val="single" w:sz="6" w:space="0" w:color="auto"/>
            </w:tcBorders>
            <w:vAlign w:val="center"/>
            <w:hideMark/>
          </w:tcPr>
          <w:p w14:paraId="670BFA85"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Flour </w:t>
            </w:r>
          </w:p>
        </w:tc>
        <w:tc>
          <w:tcPr>
            <w:tcW w:w="1697" w:type="dxa"/>
            <w:tcBorders>
              <w:top w:val="double" w:sz="6" w:space="0" w:color="auto"/>
              <w:left w:val="single" w:sz="6" w:space="0" w:color="auto"/>
              <w:bottom w:val="single" w:sz="6" w:space="0" w:color="auto"/>
              <w:right w:val="single" w:sz="6" w:space="0" w:color="auto"/>
            </w:tcBorders>
            <w:vAlign w:val="center"/>
            <w:hideMark/>
          </w:tcPr>
          <w:p w14:paraId="5196A9BD"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3 % </w:t>
            </w:r>
          </w:p>
        </w:tc>
        <w:tc>
          <w:tcPr>
            <w:tcW w:w="5417" w:type="dxa"/>
            <w:tcBorders>
              <w:top w:val="double" w:sz="6" w:space="0" w:color="auto"/>
              <w:left w:val="single" w:sz="6" w:space="0" w:color="auto"/>
              <w:bottom w:val="single" w:sz="6" w:space="0" w:color="auto"/>
              <w:right w:val="double" w:sz="6" w:space="0" w:color="auto"/>
            </w:tcBorders>
            <w:vAlign w:val="center"/>
            <w:hideMark/>
          </w:tcPr>
          <w:p w14:paraId="1BFAA74E"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 </w:t>
            </w:r>
          </w:p>
        </w:tc>
      </w:tr>
      <w:tr w:rsidR="000076D9" w:rsidRPr="000F0E7C" w14:paraId="786CB647" w14:textId="77777777" w:rsidTr="00D22750">
        <w:trPr>
          <w:trHeight w:val="300"/>
        </w:trPr>
        <w:tc>
          <w:tcPr>
            <w:tcW w:w="2140" w:type="dxa"/>
            <w:tcBorders>
              <w:top w:val="single" w:sz="6" w:space="0" w:color="auto"/>
              <w:left w:val="double" w:sz="6" w:space="0" w:color="auto"/>
              <w:bottom w:val="single" w:sz="6" w:space="0" w:color="auto"/>
              <w:right w:val="single" w:sz="6" w:space="0" w:color="auto"/>
            </w:tcBorders>
            <w:vAlign w:val="center"/>
            <w:hideMark/>
          </w:tcPr>
          <w:p w14:paraId="3386A88F"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Dry pet food </w:t>
            </w:r>
          </w:p>
        </w:tc>
        <w:tc>
          <w:tcPr>
            <w:tcW w:w="1697" w:type="dxa"/>
            <w:tcBorders>
              <w:top w:val="single" w:sz="6" w:space="0" w:color="auto"/>
              <w:left w:val="single" w:sz="6" w:space="0" w:color="auto"/>
              <w:bottom w:val="single" w:sz="6" w:space="0" w:color="auto"/>
              <w:right w:val="single" w:sz="6" w:space="0" w:color="auto"/>
            </w:tcBorders>
            <w:vAlign w:val="center"/>
            <w:hideMark/>
          </w:tcPr>
          <w:p w14:paraId="4FFD3E1B"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3 % </w:t>
            </w:r>
          </w:p>
        </w:tc>
        <w:tc>
          <w:tcPr>
            <w:tcW w:w="5417" w:type="dxa"/>
            <w:tcBorders>
              <w:top w:val="single" w:sz="6" w:space="0" w:color="auto"/>
              <w:left w:val="single" w:sz="6" w:space="0" w:color="auto"/>
              <w:bottom w:val="single" w:sz="6" w:space="0" w:color="auto"/>
              <w:right w:val="double" w:sz="6" w:space="0" w:color="auto"/>
            </w:tcBorders>
            <w:vAlign w:val="center"/>
            <w:hideMark/>
          </w:tcPr>
          <w:p w14:paraId="41446893" w14:textId="77777777" w:rsidR="000076D9" w:rsidRPr="000F0E7C" w:rsidRDefault="000076D9" w:rsidP="00BC42B5">
            <w:pPr>
              <w:keepNext/>
              <w:keepLines/>
              <w:widowControl w:val="0"/>
              <w:spacing w:after="0"/>
              <w:textAlignment w:val="baseline"/>
              <w:rPr>
                <w:rFonts w:ascii="Segoe UI" w:hAnsi="Segoe UI" w:cs="Segoe UI"/>
                <w:sz w:val="18"/>
                <w:szCs w:val="18"/>
              </w:rPr>
            </w:pPr>
            <w:r w:rsidRPr="000F0E7C">
              <w:rPr>
                <w:sz w:val="22"/>
              </w:rPr>
              <w:t>Dry pet food means all extruded dog and cat foods and baked treats packaged in Kraft paper bags and/or cardboard boxes with a moisture content of 13 % or less at time of pack. </w:t>
            </w:r>
          </w:p>
        </w:tc>
      </w:tr>
      <w:tr w:rsidR="000076D9" w:rsidRPr="000F0E7C" w14:paraId="4137AE64" w14:textId="77777777" w:rsidTr="00D22750">
        <w:trPr>
          <w:trHeight w:val="300"/>
        </w:trPr>
        <w:tc>
          <w:tcPr>
            <w:tcW w:w="2140" w:type="dxa"/>
            <w:tcBorders>
              <w:top w:val="single" w:sz="6" w:space="0" w:color="auto"/>
              <w:left w:val="double" w:sz="6" w:space="0" w:color="auto"/>
              <w:bottom w:val="single" w:sz="6" w:space="0" w:color="auto"/>
              <w:right w:val="single" w:sz="6" w:space="0" w:color="auto"/>
            </w:tcBorders>
            <w:vAlign w:val="center"/>
            <w:hideMark/>
          </w:tcPr>
          <w:p w14:paraId="7D99AAB0"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Pasta products </w:t>
            </w:r>
          </w:p>
        </w:tc>
        <w:tc>
          <w:tcPr>
            <w:tcW w:w="1697" w:type="dxa"/>
            <w:tcBorders>
              <w:top w:val="single" w:sz="6" w:space="0" w:color="auto"/>
              <w:left w:val="single" w:sz="6" w:space="0" w:color="auto"/>
              <w:bottom w:val="single" w:sz="6" w:space="0" w:color="auto"/>
              <w:right w:val="single" w:sz="6" w:space="0" w:color="auto"/>
            </w:tcBorders>
            <w:vAlign w:val="center"/>
            <w:hideMark/>
          </w:tcPr>
          <w:p w14:paraId="0B362D88"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3 % </w:t>
            </w:r>
          </w:p>
        </w:tc>
        <w:tc>
          <w:tcPr>
            <w:tcW w:w="5417" w:type="dxa"/>
            <w:tcBorders>
              <w:top w:val="single" w:sz="6" w:space="0" w:color="auto"/>
              <w:left w:val="single" w:sz="6" w:space="0" w:color="auto"/>
              <w:bottom w:val="single" w:sz="6" w:space="0" w:color="auto"/>
              <w:right w:val="double" w:sz="6" w:space="0" w:color="auto"/>
            </w:tcBorders>
            <w:vAlign w:val="center"/>
            <w:hideMark/>
          </w:tcPr>
          <w:p w14:paraId="387D7D2B" w14:textId="77777777" w:rsidR="000076D9" w:rsidRPr="000F0E7C" w:rsidRDefault="000076D9" w:rsidP="00BC42B5">
            <w:pPr>
              <w:keepNext/>
              <w:keepLines/>
              <w:widowControl w:val="0"/>
              <w:spacing w:after="0"/>
              <w:textAlignment w:val="baseline"/>
              <w:rPr>
                <w:rFonts w:ascii="Segoe UI" w:hAnsi="Segoe UI" w:cs="Segoe UI"/>
                <w:sz w:val="18"/>
                <w:szCs w:val="18"/>
              </w:rPr>
            </w:pPr>
            <w:r w:rsidRPr="000F0E7C">
              <w:rPr>
                <w:sz w:val="22"/>
              </w:rPr>
              <w:t>Pasta products means all macaroni, noodle, and like products packaged in kraft paper bags, paperboard cartons, and/or flexible plastic bags with a moisture content of 13 % or less at the time of pack. </w:t>
            </w:r>
          </w:p>
        </w:tc>
      </w:tr>
      <w:tr w:rsidR="000076D9" w:rsidRPr="000F0E7C" w14:paraId="5C4D82D3" w14:textId="77777777" w:rsidTr="00D22750">
        <w:trPr>
          <w:trHeight w:val="300"/>
        </w:trPr>
        <w:tc>
          <w:tcPr>
            <w:tcW w:w="2140" w:type="dxa"/>
            <w:tcBorders>
              <w:top w:val="single" w:sz="6" w:space="0" w:color="auto"/>
              <w:left w:val="double" w:sz="6" w:space="0" w:color="auto"/>
              <w:bottom w:val="double" w:sz="6" w:space="0" w:color="auto"/>
              <w:right w:val="single" w:sz="6" w:space="0" w:color="auto"/>
            </w:tcBorders>
            <w:vAlign w:val="center"/>
            <w:hideMark/>
          </w:tcPr>
          <w:p w14:paraId="102A0F05"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Borax </w:t>
            </w:r>
          </w:p>
        </w:tc>
        <w:tc>
          <w:tcPr>
            <w:tcW w:w="1697" w:type="dxa"/>
            <w:tcBorders>
              <w:top w:val="single" w:sz="6" w:space="0" w:color="auto"/>
              <w:left w:val="single" w:sz="6" w:space="0" w:color="auto"/>
              <w:bottom w:val="double" w:sz="6" w:space="0" w:color="auto"/>
              <w:right w:val="single" w:sz="6" w:space="0" w:color="auto"/>
            </w:tcBorders>
            <w:vAlign w:val="center"/>
            <w:hideMark/>
          </w:tcPr>
          <w:p w14:paraId="388EDA61"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see Section  </w:t>
            </w:r>
          </w:p>
          <w:p w14:paraId="5B5C917B"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2.4. Borax </w:t>
            </w:r>
          </w:p>
        </w:tc>
        <w:tc>
          <w:tcPr>
            <w:tcW w:w="5417" w:type="dxa"/>
            <w:tcBorders>
              <w:top w:val="single" w:sz="6" w:space="0" w:color="auto"/>
              <w:left w:val="single" w:sz="6" w:space="0" w:color="auto"/>
              <w:bottom w:val="double" w:sz="6" w:space="0" w:color="auto"/>
              <w:right w:val="double" w:sz="6" w:space="0" w:color="auto"/>
            </w:tcBorders>
            <w:vAlign w:val="center"/>
            <w:hideMark/>
          </w:tcPr>
          <w:p w14:paraId="0945F826"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 </w:t>
            </w:r>
          </w:p>
        </w:tc>
      </w:tr>
      <w:tr w:rsidR="000076D9" w:rsidRPr="000F0E7C" w14:paraId="207DCFC9" w14:textId="77777777" w:rsidTr="00D22750">
        <w:trPr>
          <w:trHeight w:val="300"/>
        </w:trPr>
        <w:tc>
          <w:tcPr>
            <w:tcW w:w="2140" w:type="dxa"/>
            <w:tcBorders>
              <w:top w:val="single" w:sz="6" w:space="0" w:color="auto"/>
              <w:left w:val="double" w:sz="6" w:space="0" w:color="auto"/>
              <w:bottom w:val="double" w:sz="6" w:space="0" w:color="auto"/>
              <w:right w:val="single" w:sz="6" w:space="0" w:color="auto"/>
            </w:tcBorders>
            <w:vAlign w:val="center"/>
            <w:hideMark/>
          </w:tcPr>
          <w:p w14:paraId="24A0BB43"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i/>
                <w:iCs/>
                <w:sz w:val="22"/>
              </w:rPr>
              <w:t>Cannabis</w:t>
            </w:r>
            <w:r w:rsidRPr="000F0E7C">
              <w:rPr>
                <w:sz w:val="22"/>
              </w:rPr>
              <w:t> </w:t>
            </w:r>
          </w:p>
        </w:tc>
        <w:tc>
          <w:tcPr>
            <w:tcW w:w="1697" w:type="dxa"/>
            <w:tcBorders>
              <w:top w:val="single" w:sz="6" w:space="0" w:color="auto"/>
              <w:left w:val="single" w:sz="6" w:space="0" w:color="auto"/>
              <w:bottom w:val="double" w:sz="6" w:space="0" w:color="auto"/>
              <w:right w:val="single" w:sz="6" w:space="0" w:color="auto"/>
            </w:tcBorders>
            <w:vAlign w:val="center"/>
            <w:hideMark/>
          </w:tcPr>
          <w:p w14:paraId="453CAE50" w14:textId="77777777" w:rsidR="000076D9" w:rsidRPr="000F0E7C" w:rsidRDefault="000076D9" w:rsidP="00BC42B5">
            <w:pPr>
              <w:keepNext/>
              <w:keepLines/>
              <w:widowControl w:val="0"/>
              <w:spacing w:after="0"/>
              <w:jc w:val="center"/>
              <w:textAlignment w:val="baseline"/>
              <w:rPr>
                <w:rFonts w:ascii="Segoe UI" w:hAnsi="Segoe UI" w:cs="Segoe UI"/>
                <w:sz w:val="18"/>
                <w:szCs w:val="18"/>
              </w:rPr>
            </w:pPr>
            <w:r w:rsidRPr="000F0E7C">
              <w:rPr>
                <w:sz w:val="22"/>
              </w:rPr>
              <w:t>3 % </w:t>
            </w:r>
          </w:p>
        </w:tc>
        <w:tc>
          <w:tcPr>
            <w:tcW w:w="5417" w:type="dxa"/>
            <w:tcBorders>
              <w:top w:val="single" w:sz="6" w:space="0" w:color="auto"/>
              <w:left w:val="single" w:sz="6" w:space="0" w:color="auto"/>
              <w:bottom w:val="double" w:sz="6" w:space="0" w:color="auto"/>
              <w:right w:val="double" w:sz="6" w:space="0" w:color="auto"/>
            </w:tcBorders>
            <w:vAlign w:val="center"/>
            <w:hideMark/>
          </w:tcPr>
          <w:p w14:paraId="43F81D03" w14:textId="77777777" w:rsidR="000076D9" w:rsidRPr="000F0E7C" w:rsidRDefault="000076D9" w:rsidP="00BC42B5">
            <w:pPr>
              <w:keepNext/>
              <w:keepLines/>
              <w:widowControl w:val="0"/>
              <w:spacing w:after="0"/>
              <w:textAlignment w:val="baseline"/>
              <w:rPr>
                <w:rFonts w:ascii="Segoe UI" w:hAnsi="Segoe UI" w:cs="Segoe UI"/>
                <w:sz w:val="18"/>
                <w:szCs w:val="18"/>
              </w:rPr>
            </w:pPr>
            <w:r w:rsidRPr="000F0E7C">
              <w:rPr>
                <w:i/>
                <w:iCs/>
                <w:sz w:val="22"/>
              </w:rPr>
              <w:t>Cannabis</w:t>
            </w:r>
            <w:r w:rsidRPr="000F0E7C">
              <w:rPr>
                <w:sz w:val="22"/>
              </w:rPr>
              <w:t xml:space="preserve"> means plant material only, and not products containing </w:t>
            </w:r>
            <w:r w:rsidRPr="000F0E7C">
              <w:rPr>
                <w:i/>
                <w:iCs/>
                <w:sz w:val="22"/>
              </w:rPr>
              <w:t>Cannabis</w:t>
            </w:r>
            <w:r w:rsidRPr="000F0E7C">
              <w:rPr>
                <w:sz w:val="22"/>
              </w:rPr>
              <w:t>, whether containing more than 0.3 % Total Delta-9 THC (also known as cannabis, Marijuana, or Marihuana) or containing 0.3 % or less Total Delta-9 THC (also known as Hemp). </w:t>
            </w:r>
          </w:p>
        </w:tc>
      </w:tr>
      <w:tr w:rsidR="000076D9" w:rsidRPr="006540E5" w14:paraId="2D5DBBBF" w14:textId="77777777" w:rsidTr="00D22750">
        <w:trPr>
          <w:trHeight w:val="300"/>
        </w:trPr>
        <w:tc>
          <w:tcPr>
            <w:tcW w:w="2140" w:type="dxa"/>
            <w:tcBorders>
              <w:top w:val="single" w:sz="6" w:space="0" w:color="auto"/>
              <w:left w:val="double" w:sz="6" w:space="0" w:color="auto"/>
              <w:bottom w:val="double" w:sz="6" w:space="0" w:color="auto"/>
              <w:right w:val="single" w:sz="6" w:space="0" w:color="auto"/>
            </w:tcBorders>
            <w:vAlign w:val="center"/>
            <w:hideMark/>
          </w:tcPr>
          <w:p w14:paraId="159927BE" w14:textId="77777777" w:rsidR="000076D9" w:rsidRPr="006540E5" w:rsidRDefault="000076D9" w:rsidP="00BC42B5">
            <w:pPr>
              <w:pStyle w:val="paragraph"/>
              <w:keepNext/>
              <w:keepLines/>
              <w:widowControl w:val="0"/>
              <w:spacing w:before="0" w:beforeAutospacing="0" w:after="0" w:afterAutospacing="0"/>
              <w:jc w:val="center"/>
              <w:textAlignment w:val="baseline"/>
              <w:rPr>
                <w:rFonts w:ascii="Segoe UI" w:hAnsi="Segoe UI" w:cs="Segoe UI"/>
                <w:b/>
                <w:bCs/>
                <w:sz w:val="18"/>
                <w:szCs w:val="18"/>
              </w:rPr>
            </w:pPr>
            <w:r w:rsidRPr="006540E5">
              <w:rPr>
                <w:rStyle w:val="normaltextrun"/>
                <w:b/>
                <w:bCs/>
                <w:sz w:val="22"/>
                <w:szCs w:val="22"/>
                <w:u w:val="single"/>
              </w:rPr>
              <w:t>Fruits</w:t>
            </w:r>
            <w:r w:rsidRPr="006540E5">
              <w:rPr>
                <w:rStyle w:val="eop"/>
                <w:b/>
                <w:bCs/>
                <w:sz w:val="22"/>
                <w:szCs w:val="22"/>
              </w:rPr>
              <w:t> </w:t>
            </w:r>
          </w:p>
        </w:tc>
        <w:tc>
          <w:tcPr>
            <w:tcW w:w="1697" w:type="dxa"/>
            <w:tcBorders>
              <w:top w:val="single" w:sz="6" w:space="0" w:color="auto"/>
              <w:left w:val="single" w:sz="6" w:space="0" w:color="auto"/>
              <w:bottom w:val="double" w:sz="6" w:space="0" w:color="auto"/>
              <w:right w:val="single" w:sz="6" w:space="0" w:color="auto"/>
            </w:tcBorders>
            <w:vAlign w:val="center"/>
            <w:hideMark/>
          </w:tcPr>
          <w:p w14:paraId="2F964FB5" w14:textId="77777777" w:rsidR="000076D9" w:rsidRPr="006540E5" w:rsidRDefault="000076D9" w:rsidP="00BC42B5">
            <w:pPr>
              <w:pStyle w:val="paragraph"/>
              <w:keepNext/>
              <w:keepLines/>
              <w:widowControl w:val="0"/>
              <w:spacing w:before="0" w:beforeAutospacing="0" w:after="0" w:afterAutospacing="0"/>
              <w:jc w:val="center"/>
              <w:textAlignment w:val="baseline"/>
              <w:rPr>
                <w:rFonts w:ascii="Segoe UI" w:hAnsi="Segoe UI" w:cs="Segoe UI"/>
                <w:b/>
                <w:bCs/>
                <w:sz w:val="18"/>
                <w:szCs w:val="18"/>
              </w:rPr>
            </w:pPr>
            <w:r w:rsidRPr="006540E5">
              <w:rPr>
                <w:rStyle w:val="normaltextrun"/>
                <w:b/>
                <w:bCs/>
                <w:sz w:val="22"/>
                <w:szCs w:val="22"/>
                <w:u w:val="single"/>
              </w:rPr>
              <w:t>6 %</w:t>
            </w:r>
            <w:r w:rsidRPr="006540E5">
              <w:rPr>
                <w:rStyle w:val="eop"/>
                <w:b/>
                <w:bCs/>
                <w:sz w:val="22"/>
                <w:szCs w:val="22"/>
              </w:rPr>
              <w:t> </w:t>
            </w:r>
          </w:p>
        </w:tc>
        <w:tc>
          <w:tcPr>
            <w:tcW w:w="5417" w:type="dxa"/>
            <w:tcBorders>
              <w:top w:val="single" w:sz="6" w:space="0" w:color="auto"/>
              <w:left w:val="single" w:sz="6" w:space="0" w:color="auto"/>
              <w:bottom w:val="double" w:sz="6" w:space="0" w:color="auto"/>
              <w:right w:val="double" w:sz="6" w:space="0" w:color="auto"/>
            </w:tcBorders>
            <w:vAlign w:val="center"/>
            <w:hideMark/>
          </w:tcPr>
          <w:p w14:paraId="347CA89F" w14:textId="77777777" w:rsidR="000076D9" w:rsidRPr="006540E5" w:rsidRDefault="000076D9" w:rsidP="00BC42B5">
            <w:pPr>
              <w:pStyle w:val="paragraph"/>
              <w:keepNext/>
              <w:keepLines/>
              <w:widowControl w:val="0"/>
              <w:spacing w:before="0" w:beforeAutospacing="0" w:after="0" w:afterAutospacing="0"/>
              <w:textAlignment w:val="baseline"/>
              <w:rPr>
                <w:rFonts w:ascii="Segoe UI" w:hAnsi="Segoe UI" w:cs="Segoe UI"/>
                <w:b/>
                <w:bCs/>
                <w:sz w:val="18"/>
                <w:szCs w:val="18"/>
              </w:rPr>
            </w:pPr>
            <w:r w:rsidRPr="006540E5">
              <w:rPr>
                <w:rStyle w:val="normaltextrun"/>
                <w:b/>
                <w:bCs/>
                <w:sz w:val="22"/>
                <w:szCs w:val="22"/>
                <w:u w:val="single"/>
              </w:rPr>
              <w:t>Fruits mean the mature or ripened reproductive structures (ovary of a flower) formed by plants that enclose seeds and help with their dispersal. Fruits</w:t>
            </w:r>
            <w:r w:rsidRPr="006540E5">
              <w:rPr>
                <w:rStyle w:val="normaltextrun"/>
                <w:b/>
                <w:bCs/>
                <w:i/>
                <w:iCs/>
                <w:sz w:val="22"/>
                <w:szCs w:val="22"/>
                <w:u w:val="single"/>
              </w:rPr>
              <w:t xml:space="preserve"> </w:t>
            </w:r>
            <w:r w:rsidRPr="006540E5">
              <w:rPr>
                <w:rStyle w:val="normaltextrun"/>
                <w:b/>
                <w:bCs/>
                <w:sz w:val="22"/>
                <w:szCs w:val="22"/>
                <w:u w:val="single"/>
              </w:rPr>
              <w:t>shall include: a)</w:t>
            </w:r>
            <w:r w:rsidRPr="006540E5">
              <w:rPr>
                <w:rStyle w:val="normaltextrun"/>
                <w:b/>
                <w:bCs/>
                <w:i/>
                <w:iCs/>
                <w:sz w:val="22"/>
                <w:szCs w:val="22"/>
                <w:u w:val="single"/>
              </w:rPr>
              <w:t xml:space="preserve"> </w:t>
            </w:r>
            <w:r w:rsidRPr="006540E5">
              <w:rPr>
                <w:rStyle w:val="normaltextrun"/>
                <w:b/>
                <w:bCs/>
                <w:sz w:val="22"/>
                <w:szCs w:val="22"/>
                <w:u w:val="single"/>
              </w:rPr>
              <w:t>“small fruits” which includes, but is not limited to, cherries, currants, and cherry tomatoes; and b) “berries,” which includes all fruit whose names end in the term “berry”, except when offered for sale and sold by the box, basket or other standard dry-measure receptacle.</w:t>
            </w:r>
            <w:r w:rsidRPr="006540E5">
              <w:rPr>
                <w:rStyle w:val="eop"/>
                <w:b/>
                <w:bCs/>
                <w:sz w:val="22"/>
                <w:szCs w:val="22"/>
              </w:rPr>
              <w:t> </w:t>
            </w:r>
          </w:p>
        </w:tc>
      </w:tr>
      <w:tr w:rsidR="000076D9" w:rsidRPr="006540E5" w14:paraId="6DAE63A0" w14:textId="77777777" w:rsidTr="00D22750">
        <w:trPr>
          <w:trHeight w:val="540"/>
        </w:trPr>
        <w:tc>
          <w:tcPr>
            <w:tcW w:w="2140" w:type="dxa"/>
            <w:tcBorders>
              <w:top w:val="single" w:sz="6" w:space="0" w:color="auto"/>
              <w:left w:val="double" w:sz="6" w:space="0" w:color="auto"/>
              <w:bottom w:val="single" w:sz="6" w:space="0" w:color="auto"/>
              <w:right w:val="single" w:sz="6" w:space="0" w:color="auto"/>
            </w:tcBorders>
            <w:vAlign w:val="center"/>
            <w:hideMark/>
          </w:tcPr>
          <w:p w14:paraId="7FF85C02" w14:textId="77777777" w:rsidR="000076D9" w:rsidRPr="006540E5" w:rsidRDefault="000076D9" w:rsidP="00BC42B5">
            <w:pPr>
              <w:pStyle w:val="paragraph"/>
              <w:keepNext/>
              <w:keepLines/>
              <w:widowControl w:val="0"/>
              <w:spacing w:before="0" w:beforeAutospacing="0" w:after="0" w:afterAutospacing="0"/>
              <w:jc w:val="center"/>
              <w:textAlignment w:val="baseline"/>
              <w:rPr>
                <w:rFonts w:ascii="Segoe UI" w:hAnsi="Segoe UI" w:cs="Segoe UI"/>
                <w:b/>
                <w:bCs/>
                <w:sz w:val="18"/>
                <w:szCs w:val="18"/>
              </w:rPr>
            </w:pPr>
            <w:r w:rsidRPr="006540E5">
              <w:rPr>
                <w:rStyle w:val="normaltextrun"/>
                <w:b/>
                <w:bCs/>
                <w:sz w:val="22"/>
                <w:szCs w:val="22"/>
                <w:u w:val="single"/>
              </w:rPr>
              <w:t>Vegetables</w:t>
            </w:r>
            <w:r w:rsidRPr="006540E5">
              <w:rPr>
                <w:rStyle w:val="eop"/>
                <w:b/>
                <w:bCs/>
                <w:sz w:val="22"/>
                <w:szCs w:val="22"/>
              </w:rPr>
              <w:t> </w:t>
            </w:r>
          </w:p>
        </w:tc>
        <w:tc>
          <w:tcPr>
            <w:tcW w:w="1697" w:type="dxa"/>
            <w:tcBorders>
              <w:top w:val="single" w:sz="6" w:space="0" w:color="auto"/>
              <w:left w:val="single" w:sz="6" w:space="0" w:color="auto"/>
              <w:bottom w:val="single" w:sz="6" w:space="0" w:color="auto"/>
              <w:right w:val="single" w:sz="6" w:space="0" w:color="auto"/>
            </w:tcBorders>
            <w:vAlign w:val="center"/>
            <w:hideMark/>
          </w:tcPr>
          <w:p w14:paraId="75EEBFD2" w14:textId="77777777" w:rsidR="000076D9" w:rsidRPr="006540E5" w:rsidRDefault="000076D9" w:rsidP="00BC42B5">
            <w:pPr>
              <w:pStyle w:val="paragraph"/>
              <w:keepNext/>
              <w:keepLines/>
              <w:widowControl w:val="0"/>
              <w:spacing w:before="0" w:beforeAutospacing="0" w:after="0" w:afterAutospacing="0"/>
              <w:jc w:val="center"/>
              <w:textAlignment w:val="baseline"/>
              <w:rPr>
                <w:rFonts w:ascii="Segoe UI" w:hAnsi="Segoe UI" w:cs="Segoe UI"/>
                <w:b/>
                <w:bCs/>
                <w:sz w:val="18"/>
                <w:szCs w:val="18"/>
              </w:rPr>
            </w:pPr>
            <w:r w:rsidRPr="006540E5">
              <w:rPr>
                <w:rStyle w:val="normaltextrun"/>
                <w:b/>
                <w:bCs/>
                <w:sz w:val="22"/>
                <w:szCs w:val="22"/>
                <w:u w:val="single"/>
              </w:rPr>
              <w:t>6 %</w:t>
            </w:r>
            <w:r w:rsidRPr="006540E5">
              <w:rPr>
                <w:rStyle w:val="eop"/>
                <w:b/>
                <w:bCs/>
                <w:sz w:val="22"/>
                <w:szCs w:val="22"/>
              </w:rPr>
              <w:t> </w:t>
            </w:r>
          </w:p>
        </w:tc>
        <w:tc>
          <w:tcPr>
            <w:tcW w:w="5417" w:type="dxa"/>
            <w:tcBorders>
              <w:top w:val="single" w:sz="6" w:space="0" w:color="auto"/>
              <w:left w:val="single" w:sz="6" w:space="0" w:color="auto"/>
              <w:bottom w:val="single" w:sz="6" w:space="0" w:color="auto"/>
              <w:right w:val="double" w:sz="6" w:space="0" w:color="auto"/>
            </w:tcBorders>
            <w:vAlign w:val="center"/>
            <w:hideMark/>
          </w:tcPr>
          <w:p w14:paraId="6341C84F" w14:textId="77777777" w:rsidR="000076D9" w:rsidRPr="006540E5" w:rsidRDefault="000076D9" w:rsidP="00BC42B5">
            <w:pPr>
              <w:pStyle w:val="paragraph"/>
              <w:keepNext/>
              <w:keepLines/>
              <w:widowControl w:val="0"/>
              <w:spacing w:before="0" w:beforeAutospacing="0" w:after="0" w:afterAutospacing="0"/>
              <w:textAlignment w:val="baseline"/>
              <w:rPr>
                <w:b/>
                <w:bCs/>
                <w:sz w:val="22"/>
                <w:szCs w:val="22"/>
                <w:u w:val="single"/>
              </w:rPr>
            </w:pPr>
            <w:r w:rsidRPr="006540E5">
              <w:rPr>
                <w:rStyle w:val="normaltextrun"/>
                <w:b/>
                <w:bCs/>
                <w:sz w:val="22"/>
                <w:szCs w:val="22"/>
                <w:u w:val="single"/>
              </w:rPr>
              <w:t>Vegetables means any part of a plant including:</w:t>
            </w:r>
            <w:r w:rsidRPr="006540E5">
              <w:rPr>
                <w:rStyle w:val="eop"/>
                <w:b/>
                <w:bCs/>
                <w:sz w:val="22"/>
                <w:szCs w:val="22"/>
                <w:u w:val="single"/>
              </w:rPr>
              <w:t xml:space="preserve"> (a) edible underground parts, such as roots, tubers, and bulbs; (b) edible above ground parts, such as stems, leaves, and flowers; and (c) edible fruits and seeds, such as usually unripe fruits and seeds. </w:t>
            </w:r>
          </w:p>
        </w:tc>
      </w:tr>
    </w:tbl>
    <w:p w14:paraId="4977AC87" w14:textId="77777777" w:rsidR="000076D9" w:rsidRDefault="000076D9" w:rsidP="00A94B54">
      <w:pPr>
        <w:keepNext/>
        <w:suppressLineNumbers/>
        <w:spacing w:after="0"/>
        <w:rPr>
          <w:b/>
        </w:rPr>
      </w:pPr>
    </w:p>
    <w:p w14:paraId="67D67289" w14:textId="77777777" w:rsidR="000076D9" w:rsidRDefault="000076D9" w:rsidP="00A94B54">
      <w:pPr>
        <w:keepNext/>
        <w:suppressLineNumbers/>
        <w:spacing w:after="0"/>
        <w:rPr>
          <w:b/>
        </w:rPr>
      </w:pPr>
    </w:p>
    <w:p w14:paraId="26513310" w14:textId="77777777" w:rsidR="00F3666E" w:rsidRDefault="00F3666E" w:rsidP="006540E5">
      <w:pPr>
        <w:keepNext/>
        <w:spacing w:after="0"/>
        <w:rPr>
          <w:b/>
        </w:rPr>
      </w:pPr>
    </w:p>
    <w:p w14:paraId="38E3FAC4" w14:textId="09A8A867" w:rsidR="006540E5" w:rsidRPr="00AB010B" w:rsidRDefault="006540E5" w:rsidP="006540E5">
      <w:pPr>
        <w:keepNext/>
        <w:spacing w:after="0"/>
        <w:rPr>
          <w:b/>
        </w:rPr>
      </w:pPr>
      <w:r w:rsidRPr="00AB010B">
        <w:rPr>
          <w:b/>
        </w:rPr>
        <w:t>Original Justification:</w:t>
      </w:r>
    </w:p>
    <w:p w14:paraId="1D17F7CA" w14:textId="4F022100" w:rsidR="006540E5" w:rsidRPr="006B28C1" w:rsidRDefault="006540E5" w:rsidP="006B28C1">
      <w:r w:rsidRPr="006B28C1">
        <w:t>The revisions to Handbook 133 being presented for consideration reflect modern supply chains and sales practices as it concerns fresh produce. While several products such as meat, poultry, flour, pasta and even cannabis are provided a “moisture allowance,” produce is not. Yet fruits and vegetables are generally more than 80 percent water. Moisture loss is a scientifically recognized, inevitable process during storage and distribution of produce due to its perishable and hydrophilic nature. Failing to account for this natural variability imposes an unfair compliance burden on industry and does not reflect the true intent of fair packaging and labeling practices.</w:t>
      </w:r>
    </w:p>
    <w:p w14:paraId="264ABC1E" w14:textId="2E99FA8C" w:rsidR="003C3D8E" w:rsidRPr="006B28C1" w:rsidRDefault="003C3D8E" w:rsidP="006B28C1">
      <w:r w:rsidRPr="006B28C1">
        <w:t>The submitter acknowledges that some may argue that the moisture loss requested is too high as compared to other products.</w:t>
      </w:r>
    </w:p>
    <w:p w14:paraId="6C2E21CF" w14:textId="26FA0023" w:rsidR="003C3D8E" w:rsidRPr="006B28C1" w:rsidRDefault="003C3D8E" w:rsidP="006B28C1">
      <w:r w:rsidRPr="006B28C1">
        <w:t>The submitter requested Voting status in 2026.</w:t>
      </w:r>
    </w:p>
    <w:p w14:paraId="3B89B7E8" w14:textId="77777777" w:rsidR="006540E5" w:rsidRPr="002A7C3B" w:rsidRDefault="006540E5" w:rsidP="006540E5">
      <w:pPr>
        <w:keepNext/>
        <w:rPr>
          <w:b/>
        </w:rPr>
      </w:pPr>
      <w:r>
        <w:rPr>
          <w:b/>
        </w:rPr>
        <w:lastRenderedPageBreak/>
        <w:t>Comments</w:t>
      </w:r>
      <w:r w:rsidRPr="002A7C3B">
        <w:rPr>
          <w:b/>
        </w:rPr>
        <w:t xml:space="preserve"> in Favor:</w:t>
      </w:r>
    </w:p>
    <w:p w14:paraId="2D61099D" w14:textId="0A17382B" w:rsidR="006540E5" w:rsidRPr="002A7C3B" w:rsidRDefault="0042639E" w:rsidP="006540E5">
      <w:pPr>
        <w:keepNext/>
        <w:spacing w:after="0"/>
        <w:ind w:left="720"/>
        <w:rPr>
          <w:b/>
        </w:rPr>
      </w:pPr>
      <w:r>
        <w:rPr>
          <w:b/>
        </w:rPr>
        <w:t>Weights and Measures Officials</w:t>
      </w:r>
      <w:r w:rsidR="006540E5" w:rsidRPr="002A7C3B">
        <w:rPr>
          <w:b/>
        </w:rPr>
        <w:t>:</w:t>
      </w:r>
    </w:p>
    <w:p w14:paraId="7EBA86B3" w14:textId="0BACAC8C" w:rsidR="006540E5" w:rsidRPr="002A7C3B" w:rsidRDefault="00BF47F7" w:rsidP="006540E5">
      <w:pPr>
        <w:pStyle w:val="ListParagraph"/>
        <w:numPr>
          <w:ilvl w:val="0"/>
          <w:numId w:val="26"/>
        </w:numPr>
        <w:spacing w:after="0" w:line="259" w:lineRule="auto"/>
        <w:contextualSpacing/>
        <w:jc w:val="left"/>
      </w:pPr>
      <w:r>
        <w:t>None</w:t>
      </w:r>
    </w:p>
    <w:p w14:paraId="54CE89D8" w14:textId="77777777" w:rsidR="006540E5" w:rsidRPr="002A7C3B" w:rsidRDefault="006540E5" w:rsidP="006540E5">
      <w:pPr>
        <w:spacing w:before="240" w:after="0"/>
        <w:ind w:left="720"/>
        <w:rPr>
          <w:b/>
        </w:rPr>
      </w:pPr>
      <w:r w:rsidRPr="002A7C3B">
        <w:rPr>
          <w:b/>
        </w:rPr>
        <w:t>Industry:</w:t>
      </w:r>
    </w:p>
    <w:p w14:paraId="128B1763" w14:textId="47A9D663" w:rsidR="006540E5" w:rsidRPr="002A7C3B" w:rsidRDefault="00774F1D" w:rsidP="006540E5">
      <w:pPr>
        <w:pStyle w:val="ListParagraph"/>
        <w:numPr>
          <w:ilvl w:val="0"/>
          <w:numId w:val="26"/>
        </w:numPr>
        <w:spacing w:after="0" w:line="259" w:lineRule="auto"/>
        <w:contextualSpacing/>
        <w:jc w:val="left"/>
      </w:pPr>
      <w:r>
        <w:t>None</w:t>
      </w:r>
    </w:p>
    <w:p w14:paraId="7D0CE45D" w14:textId="77777777" w:rsidR="006540E5" w:rsidRPr="002A7C3B" w:rsidRDefault="006540E5" w:rsidP="006540E5">
      <w:pPr>
        <w:spacing w:before="240" w:after="0"/>
        <w:ind w:left="720"/>
        <w:rPr>
          <w:b/>
        </w:rPr>
      </w:pPr>
      <w:r w:rsidRPr="002A7C3B">
        <w:rPr>
          <w:b/>
        </w:rPr>
        <w:t>Advisory:</w:t>
      </w:r>
    </w:p>
    <w:p w14:paraId="72A1B4D9" w14:textId="072895A6" w:rsidR="006540E5" w:rsidRPr="002A7C3B" w:rsidRDefault="00774F1D" w:rsidP="006540E5">
      <w:pPr>
        <w:pStyle w:val="ListParagraph"/>
        <w:numPr>
          <w:ilvl w:val="0"/>
          <w:numId w:val="26"/>
        </w:numPr>
        <w:spacing w:after="0" w:line="259" w:lineRule="auto"/>
        <w:contextualSpacing/>
        <w:jc w:val="left"/>
      </w:pPr>
      <w:r>
        <w:t>None</w:t>
      </w:r>
    </w:p>
    <w:p w14:paraId="40A3ECC8" w14:textId="77777777" w:rsidR="006540E5" w:rsidRPr="002A7C3B" w:rsidRDefault="006540E5" w:rsidP="006540E5">
      <w:pPr>
        <w:spacing w:before="240"/>
        <w:rPr>
          <w:b/>
        </w:rPr>
      </w:pPr>
      <w:r>
        <w:rPr>
          <w:b/>
        </w:rPr>
        <w:t>Comments</w:t>
      </w:r>
      <w:r w:rsidRPr="002A7C3B">
        <w:rPr>
          <w:b/>
        </w:rPr>
        <w:t xml:space="preserve"> Against:</w:t>
      </w:r>
    </w:p>
    <w:p w14:paraId="6BBF898C" w14:textId="37D286C3" w:rsidR="006540E5" w:rsidRPr="002A7C3B" w:rsidRDefault="0042639E" w:rsidP="006540E5">
      <w:pPr>
        <w:spacing w:after="0"/>
        <w:ind w:left="720"/>
        <w:rPr>
          <w:b/>
        </w:rPr>
      </w:pPr>
      <w:r>
        <w:rPr>
          <w:b/>
        </w:rPr>
        <w:t>Weights and Measures Officials</w:t>
      </w:r>
      <w:r w:rsidR="006540E5" w:rsidRPr="002A7C3B">
        <w:rPr>
          <w:b/>
        </w:rPr>
        <w:t>:</w:t>
      </w:r>
    </w:p>
    <w:p w14:paraId="2E0CB858" w14:textId="6CE6A161" w:rsidR="006540E5" w:rsidRPr="002A7C3B" w:rsidRDefault="002812FC" w:rsidP="00AD2867">
      <w:pPr>
        <w:pStyle w:val="ListParagraph"/>
        <w:numPr>
          <w:ilvl w:val="0"/>
          <w:numId w:val="27"/>
        </w:numPr>
        <w:spacing w:after="0" w:line="259" w:lineRule="auto"/>
        <w:contextualSpacing/>
        <w:jc w:val="left"/>
      </w:pPr>
      <w:r>
        <w:t xml:space="preserve">Multiple </w:t>
      </w:r>
      <w:r w:rsidR="001B29F9">
        <w:t>w</w:t>
      </w:r>
      <w:r w:rsidRPr="001B29F9">
        <w:t xml:space="preserve">eights and </w:t>
      </w:r>
      <w:r w:rsidR="001B29F9">
        <w:t>m</w:t>
      </w:r>
      <w:r w:rsidRPr="001B29F9">
        <w:t xml:space="preserve">easures </w:t>
      </w:r>
      <w:r w:rsidR="006D1E9C" w:rsidRPr="001B29F9">
        <w:t>officials</w:t>
      </w:r>
      <w:r>
        <w:t xml:space="preserve"> opposed the item citing insufficient data to support the requested moisture allowance and a broad categorization system which would group products with greatly different moisture loss profiles.  They recommended withdrawing the item, although appreciation was expressed for the submitters’ efforts and they were invited to resubmit with data provided for specific or narrowly categorized commodities.</w:t>
      </w:r>
    </w:p>
    <w:p w14:paraId="3908E4CE" w14:textId="77777777" w:rsidR="006540E5" w:rsidRPr="002A7C3B" w:rsidRDefault="006540E5" w:rsidP="006540E5">
      <w:pPr>
        <w:spacing w:before="240" w:after="0"/>
        <w:ind w:left="720"/>
        <w:rPr>
          <w:b/>
        </w:rPr>
      </w:pPr>
      <w:r w:rsidRPr="002A7C3B">
        <w:rPr>
          <w:b/>
        </w:rPr>
        <w:t>Industry:</w:t>
      </w:r>
    </w:p>
    <w:p w14:paraId="253E8EB3" w14:textId="3EADBF20" w:rsidR="006540E5" w:rsidRPr="002A7C3B" w:rsidRDefault="00D80656" w:rsidP="006540E5">
      <w:pPr>
        <w:pStyle w:val="ListParagraph"/>
        <w:numPr>
          <w:ilvl w:val="0"/>
          <w:numId w:val="27"/>
        </w:numPr>
        <w:spacing w:after="0" w:line="259" w:lineRule="auto"/>
        <w:contextualSpacing/>
        <w:jc w:val="left"/>
      </w:pPr>
      <w:r>
        <w:t>None</w:t>
      </w:r>
    </w:p>
    <w:p w14:paraId="6BF53706" w14:textId="77777777" w:rsidR="006540E5" w:rsidRPr="00AC5B86" w:rsidRDefault="006540E5" w:rsidP="006540E5">
      <w:pPr>
        <w:spacing w:before="240" w:after="0"/>
        <w:ind w:left="720"/>
        <w:rPr>
          <w:b/>
        </w:rPr>
      </w:pPr>
      <w:r w:rsidRPr="002A7C3B">
        <w:rPr>
          <w:b/>
        </w:rPr>
        <w:t>Advisory:</w:t>
      </w:r>
    </w:p>
    <w:p w14:paraId="394CE4C1" w14:textId="7FC4427B" w:rsidR="006540E5" w:rsidRDefault="00D07FB7" w:rsidP="00D07FB7">
      <w:pPr>
        <w:pStyle w:val="ListParagraph"/>
        <w:numPr>
          <w:ilvl w:val="0"/>
          <w:numId w:val="27"/>
        </w:numPr>
        <w:spacing w:after="0" w:line="259" w:lineRule="auto"/>
        <w:contextualSpacing/>
        <w:jc w:val="left"/>
      </w:pPr>
      <w:r>
        <w:t>A NIST OWM advisor suggested the item should be withdrawn due to insufficient data and an overly broad categorization system.</w:t>
      </w:r>
    </w:p>
    <w:p w14:paraId="55F09874" w14:textId="77777777" w:rsidR="006540E5" w:rsidRPr="002A7C3B" w:rsidRDefault="006540E5" w:rsidP="006540E5">
      <w:pPr>
        <w:spacing w:before="240"/>
        <w:rPr>
          <w:b/>
        </w:rPr>
      </w:pPr>
      <w:r>
        <w:rPr>
          <w:b/>
        </w:rPr>
        <w:t>Neutral Comments</w:t>
      </w:r>
      <w:r w:rsidRPr="002A7C3B">
        <w:rPr>
          <w:b/>
        </w:rPr>
        <w:t>:</w:t>
      </w:r>
    </w:p>
    <w:p w14:paraId="0A1579E7" w14:textId="7AA0B7F3" w:rsidR="006540E5" w:rsidRPr="002A7C3B" w:rsidRDefault="0042639E" w:rsidP="006540E5">
      <w:pPr>
        <w:spacing w:after="0"/>
        <w:ind w:left="720"/>
        <w:rPr>
          <w:b/>
        </w:rPr>
      </w:pPr>
      <w:r>
        <w:rPr>
          <w:b/>
        </w:rPr>
        <w:t>Weights and Measures Officials</w:t>
      </w:r>
      <w:r w:rsidR="006540E5" w:rsidRPr="002A7C3B">
        <w:rPr>
          <w:b/>
        </w:rPr>
        <w:t>:</w:t>
      </w:r>
    </w:p>
    <w:p w14:paraId="74F24BA3" w14:textId="32513CA6" w:rsidR="006540E5" w:rsidRPr="002A7C3B" w:rsidRDefault="00D80656" w:rsidP="006540E5">
      <w:pPr>
        <w:pStyle w:val="ListParagraph"/>
        <w:numPr>
          <w:ilvl w:val="0"/>
          <w:numId w:val="27"/>
        </w:numPr>
        <w:spacing w:after="0" w:line="259" w:lineRule="auto"/>
        <w:contextualSpacing/>
        <w:jc w:val="left"/>
      </w:pPr>
      <w:r>
        <w:t>None</w:t>
      </w:r>
    </w:p>
    <w:p w14:paraId="0E4C9950" w14:textId="77777777" w:rsidR="006540E5" w:rsidRPr="002A7C3B" w:rsidRDefault="006540E5" w:rsidP="006540E5">
      <w:pPr>
        <w:spacing w:before="240" w:after="0"/>
        <w:ind w:left="720"/>
        <w:rPr>
          <w:b/>
        </w:rPr>
      </w:pPr>
      <w:r w:rsidRPr="002A7C3B">
        <w:rPr>
          <w:b/>
        </w:rPr>
        <w:t>Industry:</w:t>
      </w:r>
    </w:p>
    <w:p w14:paraId="2BA25786" w14:textId="7277FEBA" w:rsidR="006540E5" w:rsidRPr="002A7C3B" w:rsidRDefault="00D02002" w:rsidP="00D02002">
      <w:pPr>
        <w:pStyle w:val="ListParagraph"/>
        <w:numPr>
          <w:ilvl w:val="0"/>
          <w:numId w:val="27"/>
        </w:numPr>
        <w:spacing w:after="0" w:line="259" w:lineRule="auto"/>
        <w:contextualSpacing/>
        <w:jc w:val="left"/>
      </w:pPr>
      <w:r>
        <w:t xml:space="preserve">The original submitter acknowledged the lack of data to support the requested moisture allowance and need for more narrowly defined </w:t>
      </w:r>
      <w:r w:rsidR="00195193">
        <w:t>categories but</w:t>
      </w:r>
      <w:r>
        <w:t xml:space="preserve"> suggested assigning the item to a Work Group for further research.</w:t>
      </w:r>
    </w:p>
    <w:p w14:paraId="0E0471C5" w14:textId="77777777" w:rsidR="006540E5" w:rsidRPr="002A7C3B" w:rsidRDefault="006540E5" w:rsidP="006540E5">
      <w:pPr>
        <w:spacing w:before="240" w:after="0"/>
        <w:ind w:left="720"/>
        <w:rPr>
          <w:b/>
        </w:rPr>
      </w:pPr>
      <w:r w:rsidRPr="002A7C3B">
        <w:rPr>
          <w:b/>
        </w:rPr>
        <w:t>Advisory:</w:t>
      </w:r>
    </w:p>
    <w:p w14:paraId="5B8D4DFC" w14:textId="6089C948" w:rsidR="006540E5" w:rsidRDefault="00732CC7" w:rsidP="006540E5">
      <w:pPr>
        <w:pStyle w:val="ListParagraph"/>
        <w:numPr>
          <w:ilvl w:val="0"/>
          <w:numId w:val="27"/>
        </w:numPr>
        <w:spacing w:after="0" w:line="259" w:lineRule="auto"/>
        <w:contextualSpacing/>
        <w:jc w:val="left"/>
      </w:pPr>
      <w:r>
        <w:t>None</w:t>
      </w:r>
    </w:p>
    <w:p w14:paraId="56F597F5" w14:textId="77777777" w:rsidR="006540E5" w:rsidRPr="00E025F9" w:rsidRDefault="006540E5" w:rsidP="006540E5">
      <w:pPr>
        <w:spacing w:before="240" w:after="0"/>
        <w:rPr>
          <w:b/>
        </w:rPr>
      </w:pPr>
      <w:r w:rsidRPr="002A7C3B">
        <w:rPr>
          <w:b/>
        </w:rPr>
        <w:t>Item Develop</w:t>
      </w:r>
      <w:r w:rsidRPr="00E025F9">
        <w:rPr>
          <w:b/>
        </w:rPr>
        <w:t>ment:</w:t>
      </w:r>
    </w:p>
    <w:p w14:paraId="26D382EC" w14:textId="3E63122A" w:rsidR="006540E5" w:rsidRDefault="003C3D8E" w:rsidP="006540E5">
      <w:r>
        <w:t>New Proposal</w:t>
      </w:r>
      <w:r w:rsidR="00384BD9">
        <w:t xml:space="preserve"> 2026</w:t>
      </w:r>
    </w:p>
    <w:p w14:paraId="6BF94588" w14:textId="06165FD8" w:rsidR="009C33DD" w:rsidRPr="009C33DD" w:rsidRDefault="009C33DD" w:rsidP="006540E5">
      <w:pPr>
        <w:rPr>
          <w:u w:val="single"/>
        </w:rPr>
      </w:pPr>
      <w:r w:rsidRPr="009C33DD">
        <w:rPr>
          <w:u w:val="single"/>
        </w:rPr>
        <w:t>NCWM Interim 2026:</w:t>
      </w:r>
      <w:r w:rsidR="00215960" w:rsidRPr="00195193">
        <w:t xml:space="preserve">  The Committee, hearing </w:t>
      </w:r>
      <w:r w:rsidR="00D75739" w:rsidRPr="00195193">
        <w:t>no support for this item withdrew it.</w:t>
      </w:r>
    </w:p>
    <w:p w14:paraId="1B526750" w14:textId="77777777" w:rsidR="006540E5" w:rsidRPr="00E025F9" w:rsidRDefault="006540E5" w:rsidP="006540E5">
      <w:pPr>
        <w:spacing w:after="0"/>
        <w:rPr>
          <w:b/>
        </w:rPr>
      </w:pPr>
      <w:r w:rsidRPr="00E025F9">
        <w:rPr>
          <w:b/>
        </w:rPr>
        <w:t>Regional Associations’ Comments:</w:t>
      </w:r>
    </w:p>
    <w:p w14:paraId="2C0586D0" w14:textId="6D65E553" w:rsidR="00B55C17" w:rsidRDefault="000714DD" w:rsidP="00C918BF">
      <w:pPr>
        <w:spacing w:before="240"/>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62A7D6E3" w14:textId="36FE22C9" w:rsidR="003A3CE3" w:rsidRDefault="003A3CE3" w:rsidP="00C918BF">
      <w:pPr>
        <w:rPr>
          <w:rFonts w:eastAsia="Times New Roman"/>
          <w:szCs w:val="24"/>
        </w:rPr>
      </w:pPr>
      <w:r>
        <w:rPr>
          <w:rFonts w:eastAsia="Times New Roman"/>
          <w:szCs w:val="24"/>
        </w:rPr>
        <w:t xml:space="preserve">Mr. Austin Shepherd (County of San Diego, California) spoke to discussions which occurred at the NCWM Annual Meeting regarding moisture loss and that the percentages in the table were based upon supporting data which was </w:t>
      </w:r>
      <w:r>
        <w:rPr>
          <w:rFonts w:eastAsia="Times New Roman"/>
          <w:szCs w:val="24"/>
        </w:rPr>
        <w:lastRenderedPageBreak/>
        <w:t>provided by industry. Because the submitter provided no data for this proposal, he recommended a developing status or that the item be withdrawn.</w:t>
      </w:r>
    </w:p>
    <w:p w14:paraId="79BF938E" w14:textId="209DA31B" w:rsidR="003A3CE3" w:rsidRDefault="003A3CE3" w:rsidP="00C918BF">
      <w:pPr>
        <w:rPr>
          <w:rFonts w:eastAsia="Times New Roman"/>
          <w:szCs w:val="24"/>
        </w:rPr>
      </w:pPr>
      <w:r>
        <w:rPr>
          <w:rFonts w:eastAsia="Times New Roman"/>
          <w:szCs w:val="24"/>
        </w:rPr>
        <w:t>Mr. Jose Arriaga (County of Orange, California) stated that the descriptions in the proposal are broad and agreed with Mr. Shepherd. He clarified that using the botanical descriptions might not be appropriate and suggested that the submitter works with USDA to classify products.</w:t>
      </w:r>
    </w:p>
    <w:p w14:paraId="428A3C93" w14:textId="23AC012E" w:rsidR="003A3CE3" w:rsidRDefault="003A3CE3" w:rsidP="00C918BF">
      <w:pPr>
        <w:rPr>
          <w:rFonts w:eastAsia="Times New Roman"/>
          <w:szCs w:val="24"/>
        </w:rPr>
      </w:pPr>
      <w:r w:rsidRPr="006D1AE8">
        <w:rPr>
          <w:rFonts w:eastAsia="Times New Roman"/>
          <w:szCs w:val="24"/>
        </w:rPr>
        <w:t>Ms. Wendy Hahn (County of Stanislaus, California)</w:t>
      </w:r>
      <w:r>
        <w:rPr>
          <w:rFonts w:eastAsia="Times New Roman"/>
          <w:szCs w:val="24"/>
        </w:rPr>
        <w:t xml:space="preserve"> stated that fruits and vegetables are much more perishable than other products and that the range in moisture loss for given fruits or vegetables may be broad.</w:t>
      </w:r>
    </w:p>
    <w:p w14:paraId="3766F964" w14:textId="13110076" w:rsidR="003A3CE3" w:rsidRDefault="003A3CE3" w:rsidP="00C918BF">
      <w:pPr>
        <w:rPr>
          <w:rFonts w:eastAsia="Times New Roman"/>
          <w:szCs w:val="24"/>
        </w:rPr>
      </w:pPr>
      <w:r>
        <w:rPr>
          <w:rFonts w:eastAsia="Times New Roman"/>
          <w:szCs w:val="24"/>
        </w:rPr>
        <w:t xml:space="preserve">Mr. Aaron Yanker </w:t>
      </w:r>
      <w:r w:rsidRPr="005D61E3">
        <w:rPr>
          <w:rFonts w:eastAsia="Times New Roman"/>
          <w:szCs w:val="24"/>
        </w:rPr>
        <w:t>(Colorado Department</w:t>
      </w:r>
      <w:r>
        <w:rPr>
          <w:rFonts w:eastAsia="Times New Roman"/>
          <w:szCs w:val="24"/>
        </w:rPr>
        <w:t xml:space="preserve"> </w:t>
      </w:r>
      <w:r w:rsidRPr="005D61E3">
        <w:rPr>
          <w:rFonts w:eastAsia="Times New Roman"/>
          <w:szCs w:val="24"/>
        </w:rPr>
        <w:t>of Agriculture, Weights and Measures)</w:t>
      </w:r>
      <w:r>
        <w:rPr>
          <w:rFonts w:eastAsia="Times New Roman"/>
          <w:szCs w:val="24"/>
        </w:rPr>
        <w:t xml:space="preserve"> stated that he did not recognize the intent or see the merit in the item and recommended that the item be withdrawn. He also recognized that there is a Moisture Allowance Task Group addressing moisture loss for all items.</w:t>
      </w:r>
    </w:p>
    <w:p w14:paraId="62046967" w14:textId="2D640B4A" w:rsidR="003A3CE3" w:rsidRDefault="003A3CE3" w:rsidP="00C918BF">
      <w:pPr>
        <w:rPr>
          <w:rFonts w:eastAsia="Times New Roman"/>
          <w:szCs w:val="24"/>
        </w:rPr>
      </w:pPr>
      <w:r>
        <w:rPr>
          <w:rFonts w:eastAsia="Times New Roman"/>
          <w:szCs w:val="24"/>
        </w:rPr>
        <w:t>Mr. Matt Douglas (California Division of Measurement Standards) recognized that t</w:t>
      </w:r>
      <w:r w:rsidRPr="00444CC1">
        <w:rPr>
          <w:rFonts w:eastAsia="Times New Roman"/>
          <w:szCs w:val="24"/>
        </w:rPr>
        <w:t>here are already items on the agenda and a work group assessing the applicability of moisture loss.</w:t>
      </w:r>
      <w:r>
        <w:rPr>
          <w:rFonts w:eastAsia="Times New Roman"/>
          <w:szCs w:val="24"/>
        </w:rPr>
        <w:t xml:space="preserve"> He r</w:t>
      </w:r>
      <w:r w:rsidRPr="00444CC1">
        <w:rPr>
          <w:rFonts w:eastAsia="Times New Roman"/>
          <w:szCs w:val="24"/>
        </w:rPr>
        <w:t>ecommend</w:t>
      </w:r>
      <w:r>
        <w:rPr>
          <w:rFonts w:eastAsia="Times New Roman"/>
          <w:szCs w:val="24"/>
        </w:rPr>
        <w:t>ed that</w:t>
      </w:r>
      <w:r w:rsidRPr="00444CC1">
        <w:rPr>
          <w:rFonts w:eastAsia="Times New Roman"/>
          <w:szCs w:val="24"/>
        </w:rPr>
        <w:t xml:space="preserve"> this item be withdrawn pending the results of the workgroup.</w:t>
      </w:r>
      <w:r>
        <w:rPr>
          <w:rFonts w:eastAsia="Times New Roman"/>
          <w:szCs w:val="24"/>
        </w:rPr>
        <w:t xml:space="preserve"> He stated that if the item stays on the agenda </w:t>
      </w:r>
      <w:r>
        <w:t>the submitter should work with NIST and/or the workgroup to identify how to develop the item including providing data, or that the</w:t>
      </w:r>
      <w:r w:rsidRPr="00271565">
        <w:t xml:space="preserve"> item </w:t>
      </w:r>
      <w:r>
        <w:t xml:space="preserve">should </w:t>
      </w:r>
      <w:r w:rsidRPr="00271565">
        <w:t>be assigned to the moisture allowance task group to evaluate whether the item is necessary, and whether the proposed percentages and descriptions are appropriate.</w:t>
      </w:r>
    </w:p>
    <w:p w14:paraId="3A56104A" w14:textId="1C62204E" w:rsidR="003A3CE3" w:rsidRPr="00A43BF4" w:rsidRDefault="003A3CE3" w:rsidP="00C918BF">
      <w:pPr>
        <w:rPr>
          <w:rFonts w:eastAsia="Times New Roman"/>
          <w:szCs w:val="24"/>
        </w:rPr>
      </w:pPr>
      <w:r>
        <w:rPr>
          <w:rFonts w:eastAsia="Times New Roman"/>
          <w:szCs w:val="24"/>
        </w:rPr>
        <w:t>Mr. Kurt Floren (County of Los Angeles, California) spoke to concerns about the item as presented including the percentage of moisture loss identified, the lack of data, and the broadness of the categories to which this moisture loss would apply. However, he expressed support for the idea in principle and encouraged the council to engage with industry, noting that it was unusual for industry to reach out and ask for this. He suggested the creation of a task group to work with industry to seek additional data and develop these moisture loss “allowances”.</w:t>
      </w:r>
    </w:p>
    <w:p w14:paraId="1375C295" w14:textId="3E6464C2" w:rsidR="000714DD" w:rsidRPr="00A43BF4" w:rsidRDefault="003A3CE3" w:rsidP="00C918BF">
      <w:pPr>
        <w:rPr>
          <w:rFonts w:eastAsia="Times New Roman"/>
          <w:szCs w:val="24"/>
        </w:rPr>
      </w:pPr>
      <w:r>
        <w:rPr>
          <w:rFonts w:eastAsia="Times New Roman"/>
          <w:szCs w:val="24"/>
        </w:rPr>
        <w:t>The WWMA L&amp;R Committee recommends that this item be assigned to a new task group.</w:t>
      </w:r>
    </w:p>
    <w:p w14:paraId="27B67E4F" w14:textId="44CB3613" w:rsidR="000714DD" w:rsidRDefault="000714DD" w:rsidP="000714DD">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4149B1">
        <w:rPr>
          <w:rFonts w:eastAsia="Times New Roman"/>
          <w:szCs w:val="24"/>
          <w:u w:val="single"/>
        </w:rPr>
        <w:t>Interim</w:t>
      </w:r>
      <w:r w:rsidRPr="0051426D">
        <w:rPr>
          <w:rFonts w:eastAsia="Times New Roman"/>
          <w:szCs w:val="24"/>
          <w:u w:val="single"/>
        </w:rPr>
        <w:t xml:space="preserve"> Meeting:</w:t>
      </w:r>
    </w:p>
    <w:p w14:paraId="0015A88E" w14:textId="77777777" w:rsidR="00C918BF" w:rsidRDefault="00637F9B" w:rsidP="00C918BF">
      <w:pPr>
        <w:rPr>
          <w:rFonts w:eastAsia="Times New Roman"/>
          <w:szCs w:val="24"/>
        </w:rPr>
      </w:pPr>
      <w:r>
        <w:rPr>
          <w:rFonts w:eastAsia="Times New Roman"/>
          <w:szCs w:val="24"/>
        </w:rPr>
        <w:t xml:space="preserve">Several regulators and a retired individual were opposed to this item and recommended withdrawal. A NIST representative had no official position but would likely not support the item. </w:t>
      </w:r>
    </w:p>
    <w:p w14:paraId="0BF6A091" w14:textId="699479E8" w:rsidR="00C918BF" w:rsidRDefault="00637F9B" w:rsidP="00C918BF">
      <w:pPr>
        <w:rPr>
          <w:rFonts w:eastAsia="Times New Roman"/>
          <w:szCs w:val="24"/>
        </w:rPr>
      </w:pPr>
      <w:r>
        <w:rPr>
          <w:rFonts w:eastAsia="Times New Roman"/>
          <w:szCs w:val="24"/>
        </w:rPr>
        <w:t>No data was included to support this item.</w:t>
      </w:r>
    </w:p>
    <w:p w14:paraId="1302D16B" w14:textId="2691382C" w:rsidR="00CC0A1B" w:rsidRPr="00637F9B" w:rsidRDefault="00CC0A1B" w:rsidP="00C918BF">
      <w:pPr>
        <w:rPr>
          <w:rFonts w:eastAsia="Times New Roman"/>
          <w:szCs w:val="24"/>
        </w:rPr>
      </w:pPr>
      <w:r>
        <w:rPr>
          <w:rFonts w:eastAsia="Times New Roman"/>
          <w:szCs w:val="24"/>
        </w:rPr>
        <w:t xml:space="preserve">The CWMA L&amp;R Committee Recommends a withdrawn status for this item. </w:t>
      </w:r>
    </w:p>
    <w:p w14:paraId="056AD8EF" w14:textId="77777777" w:rsidR="00DA0537" w:rsidRDefault="000714DD" w:rsidP="000714DD">
      <w:pPr>
        <w:jc w:val="left"/>
        <w:rPr>
          <w:u w:val="single"/>
        </w:rPr>
      </w:pPr>
      <w:r w:rsidRPr="006C7BFB">
        <w:rPr>
          <w:u w:val="single"/>
        </w:rPr>
        <w:t>NEWMA 202</w:t>
      </w:r>
      <w:r>
        <w:rPr>
          <w:u w:val="single"/>
        </w:rPr>
        <w:t>5</w:t>
      </w:r>
      <w:r w:rsidRPr="006C7BFB">
        <w:rPr>
          <w:u w:val="single"/>
        </w:rPr>
        <w:t xml:space="preserve"> Interim Meeting:</w:t>
      </w:r>
    </w:p>
    <w:p w14:paraId="761C9D1B" w14:textId="2CC1AA0F" w:rsidR="00DA0537" w:rsidRDefault="00DA0537" w:rsidP="00C918BF">
      <w:pPr>
        <w:rPr>
          <w:rFonts w:eastAsia="Times New Roman"/>
          <w:szCs w:val="24"/>
        </w:rPr>
      </w:pPr>
      <w:r>
        <w:rPr>
          <w:rFonts w:eastAsia="Times New Roman"/>
          <w:szCs w:val="24"/>
        </w:rPr>
        <w:t xml:space="preserve">A representative from Gibbons, P.C., on behalf of the New Jersey Food Council (NJFC), gave a presentation regarding the letter they submitted as a supporting document that appears on the NEWMA website.  They commented that sales practices for produce have changed over the years and most produce products are shipped in from other state or countries.  He also commented that produce has high moisture content and gave the following examples: romaine lettuce 95%, blueberries and strawberries 90%, and blueberries have up to 14% moisture loss.  The request for 6% is because of the nature of the products being so complex and full of water, they felt that doubling the 3% consideration for other listed products was appropriate.  A regulator from New York commented that in the justification of the item, “fresh produce” is mentioned, however, in the table “fresh” does not appear, meaning this would apply to all produce; canned, dried, cooked, etc.  The regulator also commented that moisture loss is not a require allowance, but a consideration.  He also indicated that if this item moves forward, it could be group within Block 4.  A regulator from Westchester County, NY commented that he has concerns that this item, as written, would also apply to cut produce that is prepared instore or elsewhere.  The representative on behalf of the NJFC indicated that this item was intended for fresh whole produce only.  A regulator from Connecticut commented that misters could be used to solve the moisture issue at retail, and the representative on behalf of the NJFC indicated that misters present slip and fall liability so they have largely been discontinued.  A regulator from New Jersey commented that the taxonomic definitions of vegetables </w:t>
      </w:r>
      <w:r>
        <w:rPr>
          <w:rFonts w:eastAsia="Times New Roman"/>
          <w:szCs w:val="24"/>
        </w:rPr>
        <w:lastRenderedPageBreak/>
        <w:t>and fruits left out fungi, such as mushrooms, which is a form of produce.  He also commented that the submitter has not provided any data regarding moisture loss for any specific product and a blanket 6% is not appropriate.  He also commented that while the Supreme Court ruled that we must consider variation in product weight, those considerations are already in place with Maximum Allowable Variations.  To consider additional variations, data would need to be provided on a case-by-case basis.  New Jersey recommended this item be withdrawn.  A regulator from Vermont commented that he has performed a lot of package weighing over the years and 6% without a study is arbitrary and recommends a withdrawn status.  The representative on behalf of the NJFC pointed to the studies that were referenced in the supporting document letter.  A regulator from Westchester County, NY commented that if a comparison was to be made from produce to a commodity in the Table, it would be cannabis.  The representative on behalf of the NJFC indicated that cannabis is still a federally illegal substance and should not be compared to produce.  A regulator from New York echoed the comments made by New Jersey and Vermont and recommended a withdrawn status.</w:t>
      </w:r>
    </w:p>
    <w:p w14:paraId="4C8C9420" w14:textId="25CA8F4C" w:rsidR="00C918BF" w:rsidRDefault="00DA0537" w:rsidP="00C918BF">
      <w:pPr>
        <w:spacing w:before="240"/>
        <w:jc w:val="left"/>
        <w:rPr>
          <w:u w:val="single"/>
        </w:rPr>
      </w:pPr>
      <w:r>
        <w:rPr>
          <w:rFonts w:eastAsia="Times New Roman"/>
          <w:szCs w:val="24"/>
        </w:rPr>
        <w:t>After hearing comments from the floor and reviewing the supporting documents, the committee recommended a Withdrawn status, and the body concurred.</w:t>
      </w:r>
    </w:p>
    <w:p w14:paraId="7743A15F" w14:textId="083EFCB5" w:rsidR="00736499" w:rsidRDefault="000714DD" w:rsidP="00C918BF">
      <w:pPr>
        <w:spacing w:before="240"/>
        <w:jc w:val="left"/>
        <w:rPr>
          <w:u w:val="single"/>
        </w:rPr>
      </w:pPr>
      <w:r>
        <w:rPr>
          <w:u w:val="single"/>
        </w:rPr>
        <w:t>S</w:t>
      </w:r>
      <w:r w:rsidRPr="00EF1ACC">
        <w:rPr>
          <w:u w:val="single"/>
        </w:rPr>
        <w:t>WMA 202</w:t>
      </w:r>
      <w:r>
        <w:rPr>
          <w:u w:val="single"/>
        </w:rPr>
        <w:t>5</w:t>
      </w:r>
      <w:r w:rsidRPr="00EF1ACC">
        <w:rPr>
          <w:u w:val="single"/>
        </w:rPr>
        <w:t xml:space="preserve"> </w:t>
      </w:r>
      <w:r w:rsidR="004149B1">
        <w:rPr>
          <w:u w:val="single"/>
        </w:rPr>
        <w:t>Annual</w:t>
      </w:r>
      <w:r w:rsidRPr="00EF1ACC">
        <w:rPr>
          <w:u w:val="single"/>
        </w:rPr>
        <w:t xml:space="preserve"> Meeting</w:t>
      </w:r>
      <w:r>
        <w:rPr>
          <w:u w:val="single"/>
        </w:rPr>
        <w:t>:</w:t>
      </w:r>
    </w:p>
    <w:p w14:paraId="7FCB9156" w14:textId="085E8DD9" w:rsidR="0097450B" w:rsidRDefault="0097450B" w:rsidP="00C918BF">
      <w:pPr>
        <w:rPr>
          <w:rFonts w:eastAsia="Times New Roman"/>
          <w:szCs w:val="24"/>
        </w:rPr>
      </w:pPr>
      <w:r>
        <w:rPr>
          <w:rFonts w:eastAsia="Times New Roman"/>
          <w:szCs w:val="24"/>
        </w:rPr>
        <w:t xml:space="preserve">Mr. Tory Brewer with the State of West Virgina questions where the proposer gets the 6% value from. There is no supporting data for this value and recommends a Withdraw status. </w:t>
      </w:r>
    </w:p>
    <w:p w14:paraId="1B94D1AD" w14:textId="0050B475" w:rsidR="0097450B" w:rsidRDefault="0097450B" w:rsidP="0097450B">
      <w:pPr>
        <w:spacing w:after="0"/>
        <w:rPr>
          <w:rFonts w:eastAsia="Times New Roman"/>
          <w:szCs w:val="24"/>
        </w:rPr>
      </w:pPr>
      <w:r>
        <w:rPr>
          <w:rFonts w:eastAsia="Times New Roman"/>
          <w:szCs w:val="24"/>
        </w:rPr>
        <w:t xml:space="preserve">The Committee heard comments from Dr. </w:t>
      </w:r>
      <w:r w:rsidRPr="006E4EF6">
        <w:rPr>
          <w:rFonts w:eastAsia="Times New Roman"/>
          <w:szCs w:val="24"/>
        </w:rPr>
        <w:t xml:space="preserve">Matthew Curran, Florida – </w:t>
      </w:r>
      <w:r>
        <w:rPr>
          <w:rFonts w:eastAsia="Times New Roman"/>
          <w:szCs w:val="24"/>
        </w:rPr>
        <w:t>He</w:t>
      </w:r>
      <w:r w:rsidRPr="006E4EF6">
        <w:rPr>
          <w:rFonts w:eastAsia="Times New Roman"/>
          <w:szCs w:val="24"/>
        </w:rPr>
        <w:t xml:space="preserve"> recommend not forwarding this to the NCWM as we do not believe it has merit. Fruits and vegetables have a wide range of moisture contents, some moist and some dry, so a blanket 6% allowance sets the table for inequitable sales and fraud in the worst. Further, no scientific data has been presented to justify any specific moisture allowance.</w:t>
      </w:r>
    </w:p>
    <w:p w14:paraId="2D3C6A54" w14:textId="7F122B5A" w:rsidR="0097450B" w:rsidRDefault="0097450B" w:rsidP="00C918BF">
      <w:pPr>
        <w:rPr>
          <w:rFonts w:eastAsia="Times New Roman"/>
          <w:szCs w:val="24"/>
        </w:rPr>
      </w:pPr>
      <w:r>
        <w:rPr>
          <w:rFonts w:eastAsia="Times New Roman"/>
          <w:szCs w:val="24"/>
        </w:rPr>
        <w:t xml:space="preserve">Several other state representatives echoed the state of West Virgina and Florida and recommended a Withdraw status. </w:t>
      </w:r>
    </w:p>
    <w:p w14:paraId="1DCF10AE" w14:textId="55F40FC2" w:rsidR="00736499" w:rsidRPr="00DA0537" w:rsidRDefault="0097450B" w:rsidP="00C918BF">
      <w:pPr>
        <w:rPr>
          <w:rFonts w:eastAsia="Times New Roman"/>
          <w:szCs w:val="24"/>
        </w:rPr>
      </w:pPr>
      <w:r>
        <w:rPr>
          <w:rFonts w:eastAsia="Times New Roman"/>
          <w:szCs w:val="24"/>
        </w:rPr>
        <w:t>Based on the comments received from the floor the Committee recommends a Withdraw status.</w:t>
      </w:r>
    </w:p>
    <w:p w14:paraId="1FB8E0D7" w14:textId="3F679545" w:rsidR="006540E5" w:rsidRDefault="006540E5" w:rsidP="006540E5">
      <w:r>
        <w:t xml:space="preserve">Additional letters, presentation and data may have been submitted for consideration with this item.  Please refer to </w:t>
      </w:r>
      <w:hyperlink r:id="rId41" w:history="1">
        <w:r w:rsidRPr="002A1164">
          <w:rPr>
            <w:rStyle w:val="Hyperlink"/>
          </w:rPr>
          <w:t>https://www.ncwm.com/publication-15</w:t>
        </w:r>
      </w:hyperlink>
      <w:r>
        <w:t xml:space="preserve"> to review these documents.</w:t>
      </w:r>
    </w:p>
    <w:p w14:paraId="10305244" w14:textId="4B150D90" w:rsidR="00AE42A9" w:rsidRPr="008401BB" w:rsidRDefault="008401BB" w:rsidP="004C7E52">
      <w:pPr>
        <w:pStyle w:val="Heading1"/>
      </w:pPr>
      <w:bookmarkStart w:id="299" w:name="_Toc224019630"/>
      <w:bookmarkEnd w:id="12"/>
      <w:bookmarkEnd w:id="13"/>
      <w:bookmarkEnd w:id="14"/>
      <w:bookmarkEnd w:id="15"/>
      <w:bookmarkEnd w:id="16"/>
      <w:bookmarkEnd w:id="17"/>
      <w:bookmarkEnd w:id="18"/>
      <w:bookmarkEnd w:id="19"/>
      <w:bookmarkEnd w:id="287"/>
      <w:r w:rsidRPr="00C0174F">
        <w:t>ITEM Block 4 (B4)</w:t>
      </w:r>
      <w:r w:rsidR="00AE42A9" w:rsidRPr="00C0174F">
        <w:t xml:space="preserve"> </w:t>
      </w:r>
      <w:r w:rsidR="00AE42A9" w:rsidRPr="00C0174F">
        <w:tab/>
      </w:r>
      <w:r w:rsidRPr="00C0174F">
        <w:t xml:space="preserve">MOISTURE ALLOWANCE </w:t>
      </w:r>
      <w:r w:rsidRPr="00C0174F">
        <w:rPr>
          <w:u w:val="single"/>
        </w:rPr>
        <w:t>CONSIDERATION</w:t>
      </w:r>
      <w:bookmarkEnd w:id="299"/>
      <w:r w:rsidR="00AE42A9" w:rsidRPr="008401BB">
        <w:t xml:space="preserve"> </w:t>
      </w:r>
    </w:p>
    <w:p w14:paraId="1A5A3B02" w14:textId="77777777" w:rsidR="00F4289C" w:rsidRPr="00E025F9" w:rsidRDefault="00F4289C" w:rsidP="004C7E52">
      <w:pPr>
        <w:keepNext/>
        <w:keepLines/>
        <w:spacing w:after="0"/>
        <w:rPr>
          <w:b/>
        </w:rPr>
      </w:pPr>
      <w:r w:rsidRPr="00E025F9">
        <w:rPr>
          <w:b/>
        </w:rPr>
        <w:t>Source:</w:t>
      </w:r>
    </w:p>
    <w:p w14:paraId="1296847C" w14:textId="77777777" w:rsidR="00F4289C" w:rsidRDefault="00F4289C" w:rsidP="004C7E52">
      <w:pPr>
        <w:keepNext/>
        <w:keepLines/>
      </w:pPr>
      <w:r>
        <w:t>Michigan Department of Agriculture &amp; Rural Development</w:t>
      </w:r>
    </w:p>
    <w:p w14:paraId="33654AD6" w14:textId="77777777" w:rsidR="00F4289C" w:rsidRPr="00E025F9" w:rsidRDefault="00F4289C" w:rsidP="004C7E52">
      <w:pPr>
        <w:keepNext/>
        <w:keepLines/>
        <w:spacing w:after="0"/>
        <w:rPr>
          <w:b/>
        </w:rPr>
      </w:pPr>
      <w:r w:rsidRPr="00E025F9">
        <w:rPr>
          <w:b/>
        </w:rPr>
        <w:t>Purpose:</w:t>
      </w:r>
    </w:p>
    <w:p w14:paraId="4FF4B9A6" w14:textId="77777777" w:rsidR="00F4289C" w:rsidRPr="00497532" w:rsidRDefault="00F4289C" w:rsidP="004C7E52">
      <w:pPr>
        <w:keepNext/>
        <w:keepLines/>
      </w:pPr>
      <w:r w:rsidRPr="00497532">
        <w:rPr>
          <w:spacing w:val="-2"/>
          <w:w w:val="110"/>
        </w:rPr>
        <w:t>Change</w:t>
      </w:r>
      <w:r w:rsidRPr="00497532">
        <w:rPr>
          <w:spacing w:val="-7"/>
          <w:w w:val="110"/>
        </w:rPr>
        <w:t xml:space="preserve"> </w:t>
      </w:r>
      <w:r w:rsidRPr="00497532">
        <w:rPr>
          <w:spacing w:val="-2"/>
          <w:w w:val="110"/>
        </w:rPr>
        <w:t>the</w:t>
      </w:r>
      <w:r w:rsidRPr="00497532">
        <w:rPr>
          <w:spacing w:val="-7"/>
          <w:w w:val="110"/>
        </w:rPr>
        <w:t xml:space="preserve"> </w:t>
      </w:r>
      <w:r w:rsidRPr="00497532">
        <w:rPr>
          <w:spacing w:val="-2"/>
          <w:w w:val="110"/>
        </w:rPr>
        <w:t>language</w:t>
      </w:r>
      <w:r w:rsidRPr="00497532">
        <w:rPr>
          <w:spacing w:val="-7"/>
          <w:w w:val="110"/>
        </w:rPr>
        <w:t xml:space="preserve"> </w:t>
      </w:r>
      <w:r w:rsidRPr="00497532">
        <w:rPr>
          <w:spacing w:val="-2"/>
          <w:w w:val="110"/>
        </w:rPr>
        <w:t>for</w:t>
      </w:r>
      <w:r w:rsidRPr="00497532">
        <w:rPr>
          <w:spacing w:val="-7"/>
          <w:w w:val="110"/>
        </w:rPr>
        <w:t xml:space="preserve"> </w:t>
      </w:r>
      <w:r w:rsidRPr="00497532">
        <w:rPr>
          <w:spacing w:val="-2"/>
          <w:w w:val="110"/>
        </w:rPr>
        <w:t>the</w:t>
      </w:r>
      <w:r w:rsidRPr="00497532">
        <w:rPr>
          <w:spacing w:val="-7"/>
          <w:w w:val="110"/>
        </w:rPr>
        <w:t xml:space="preserve"> </w:t>
      </w:r>
      <w:r w:rsidRPr="00497532">
        <w:rPr>
          <w:spacing w:val="-2"/>
          <w:w w:val="110"/>
        </w:rPr>
        <w:t>moisture</w:t>
      </w:r>
      <w:r w:rsidRPr="00497532">
        <w:rPr>
          <w:spacing w:val="-7"/>
          <w:w w:val="110"/>
        </w:rPr>
        <w:t xml:space="preserve"> </w:t>
      </w:r>
      <w:r w:rsidRPr="00497532">
        <w:rPr>
          <w:spacing w:val="-2"/>
          <w:w w:val="110"/>
        </w:rPr>
        <w:t>gray</w:t>
      </w:r>
      <w:r w:rsidRPr="00497532">
        <w:rPr>
          <w:spacing w:val="-7"/>
          <w:w w:val="110"/>
        </w:rPr>
        <w:t xml:space="preserve"> </w:t>
      </w:r>
      <w:r w:rsidRPr="00497532">
        <w:rPr>
          <w:spacing w:val="-2"/>
          <w:w w:val="110"/>
        </w:rPr>
        <w:t>area</w:t>
      </w:r>
      <w:r w:rsidRPr="00497532">
        <w:rPr>
          <w:spacing w:val="-7"/>
          <w:w w:val="110"/>
        </w:rPr>
        <w:t xml:space="preserve"> </w:t>
      </w:r>
      <w:r w:rsidRPr="00497532">
        <w:rPr>
          <w:spacing w:val="-2"/>
          <w:w w:val="110"/>
        </w:rPr>
        <w:t>from</w:t>
      </w:r>
      <w:r w:rsidRPr="00497532">
        <w:rPr>
          <w:spacing w:val="-7"/>
          <w:w w:val="110"/>
        </w:rPr>
        <w:t xml:space="preserve"> </w:t>
      </w:r>
      <w:r w:rsidRPr="00497532">
        <w:rPr>
          <w:spacing w:val="-2"/>
          <w:w w:val="110"/>
        </w:rPr>
        <w:t>"moisture</w:t>
      </w:r>
      <w:r w:rsidRPr="00497532">
        <w:rPr>
          <w:spacing w:val="-7"/>
          <w:w w:val="110"/>
        </w:rPr>
        <w:t xml:space="preserve"> </w:t>
      </w:r>
      <w:r w:rsidRPr="00497532">
        <w:rPr>
          <w:spacing w:val="-2"/>
          <w:w w:val="110"/>
        </w:rPr>
        <w:t>allowance"</w:t>
      </w:r>
      <w:r w:rsidRPr="00497532">
        <w:rPr>
          <w:spacing w:val="-7"/>
          <w:w w:val="110"/>
        </w:rPr>
        <w:t xml:space="preserve"> </w:t>
      </w:r>
      <w:r w:rsidRPr="00497532">
        <w:rPr>
          <w:spacing w:val="-2"/>
          <w:w w:val="110"/>
        </w:rPr>
        <w:t>to</w:t>
      </w:r>
      <w:r w:rsidRPr="00497532">
        <w:rPr>
          <w:spacing w:val="-7"/>
          <w:w w:val="110"/>
        </w:rPr>
        <w:t xml:space="preserve"> </w:t>
      </w:r>
      <w:r w:rsidRPr="00497532">
        <w:rPr>
          <w:spacing w:val="-2"/>
          <w:w w:val="110"/>
        </w:rPr>
        <w:t>"moisture</w:t>
      </w:r>
      <w:r w:rsidRPr="00497532">
        <w:rPr>
          <w:spacing w:val="-7"/>
          <w:w w:val="110"/>
        </w:rPr>
        <w:t xml:space="preserve"> </w:t>
      </w:r>
      <w:r w:rsidRPr="00497532">
        <w:rPr>
          <w:spacing w:val="-2"/>
          <w:w w:val="110"/>
        </w:rPr>
        <w:t>consideration."</w:t>
      </w:r>
    </w:p>
    <w:p w14:paraId="5C96CBE1" w14:textId="77777777" w:rsidR="00F4289C" w:rsidRDefault="00F4289C" w:rsidP="004C7E52">
      <w:pPr>
        <w:keepNext/>
        <w:keepLines/>
        <w:spacing w:after="0"/>
      </w:pPr>
      <w:r w:rsidRPr="00E025F9">
        <w:rPr>
          <w:b/>
        </w:rPr>
        <w:t xml:space="preserve">Previous </w:t>
      </w:r>
      <w:r>
        <w:rPr>
          <w:b/>
        </w:rPr>
        <w:t>Status</w:t>
      </w:r>
      <w:r w:rsidRPr="00E025F9">
        <w:rPr>
          <w:b/>
        </w:rPr>
        <w:t>:</w:t>
      </w:r>
    </w:p>
    <w:p w14:paraId="2CA9F245" w14:textId="177E7346" w:rsidR="00F962D0" w:rsidRDefault="00F4289C" w:rsidP="004D22C3">
      <w:pPr>
        <w:keepNext/>
        <w:keepLines/>
        <w:ind w:firstLine="720"/>
      </w:pPr>
      <w:r>
        <w:t xml:space="preserve">2025: New Proposal </w:t>
      </w:r>
      <w:r w:rsidR="00F962D0">
        <w:t xml:space="preserve">Assigned to </w:t>
      </w:r>
      <w:r w:rsidR="004D22C3">
        <w:t>Work Group after 2025 Annual Meeting</w:t>
      </w:r>
    </w:p>
    <w:p w14:paraId="62D4AD09" w14:textId="77777777" w:rsidR="00F4289C" w:rsidRPr="00AB010B" w:rsidRDefault="00F4289C" w:rsidP="00F4289C">
      <w:pPr>
        <w:keepNext/>
        <w:spacing w:after="0"/>
        <w:rPr>
          <w:b/>
        </w:rPr>
      </w:pPr>
      <w:r w:rsidRPr="00AB010B">
        <w:rPr>
          <w:b/>
        </w:rPr>
        <w:t>Original Justification:</w:t>
      </w:r>
    </w:p>
    <w:p w14:paraId="13FF1BFF" w14:textId="77777777" w:rsidR="00F4289C" w:rsidRPr="00497532" w:rsidRDefault="00F4289C" w:rsidP="00497532">
      <w:r w:rsidRPr="00497532">
        <w:t>This is a companion item to those changes requested for HB133.</w:t>
      </w:r>
    </w:p>
    <w:p w14:paraId="3CE1C46D" w14:textId="77777777" w:rsidR="00F4289C" w:rsidRPr="00497532" w:rsidRDefault="00F4289C" w:rsidP="00497532">
      <w:r w:rsidRPr="00497532">
        <w:t>In speaking with both weights and measures officials and industry, quite often both interpret the language "moisture allowance" to mean "tolerance" which should automatically be given to inspection results when a lot is found short. Changing the wording to "moisture consideration" should be more clear that "Further information is required to determine lot compliance or noncompliance", as stated in the glossary.</w:t>
      </w:r>
    </w:p>
    <w:p w14:paraId="5D31DB57" w14:textId="087A521B" w:rsidR="00F4289C" w:rsidRPr="00497532" w:rsidRDefault="00F4289C" w:rsidP="00497532">
      <w:r w:rsidRPr="00497532">
        <w:t>Some industries m</w:t>
      </w:r>
      <w:r w:rsidR="00FD0D2C" w:rsidRPr="00497532">
        <w:t>a</w:t>
      </w:r>
      <w:r w:rsidRPr="00497532">
        <w:t>y believe "moisture allowance" should be used as a tolerance and have always used it as same. There may also be enforcement jurisdictions that want to continue to use it as a tolerance rather than conducting additional investigations into the root cause of shortages found in those packages that allow moisture consideration.</w:t>
      </w:r>
    </w:p>
    <w:p w14:paraId="5CB875BD" w14:textId="77777777" w:rsidR="00F4289C" w:rsidRDefault="00F4289C" w:rsidP="00F4289C">
      <w:pPr>
        <w:keepNext/>
        <w:spacing w:after="0"/>
      </w:pPr>
      <w:r w:rsidRPr="00E025F9">
        <w:rPr>
          <w:b/>
        </w:rPr>
        <w:lastRenderedPageBreak/>
        <w:t xml:space="preserve">Previous </w:t>
      </w:r>
      <w:r>
        <w:rPr>
          <w:b/>
        </w:rPr>
        <w:t>Status</w:t>
      </w:r>
      <w:r w:rsidRPr="00E025F9">
        <w:rPr>
          <w:b/>
        </w:rPr>
        <w:t>:</w:t>
      </w:r>
    </w:p>
    <w:p w14:paraId="2B89CB66" w14:textId="77777777" w:rsidR="00F4289C" w:rsidRDefault="00F4289C" w:rsidP="0022672C">
      <w:r>
        <w:t xml:space="preserve">2025: New Proposal </w:t>
      </w:r>
    </w:p>
    <w:p w14:paraId="0FE9293B" w14:textId="03B59C36" w:rsidR="00F4289C" w:rsidRPr="003C355F" w:rsidRDefault="00126165" w:rsidP="00F4289C">
      <w:pPr>
        <w:pStyle w:val="ItemHeading"/>
      </w:pPr>
      <w:bookmarkStart w:id="300" w:name="_Toc224019631"/>
      <w:r>
        <w:t xml:space="preserve">B4: </w:t>
      </w:r>
      <w:r w:rsidR="00F4289C">
        <w:t>POL-25.1</w:t>
      </w:r>
      <w:r w:rsidR="00F4289C" w:rsidRPr="003C355F">
        <w:tab/>
      </w:r>
      <w:r w:rsidR="00194CFF">
        <w:t>A</w:t>
      </w:r>
      <w:r w:rsidR="00F4289C" w:rsidRPr="003C355F">
        <w:tab/>
      </w:r>
      <w:r w:rsidR="00F4289C">
        <w:t>2.6.12. Point-of-Pack Inspection Guidelines.</w:t>
      </w:r>
      <w:bookmarkEnd w:id="300"/>
    </w:p>
    <w:p w14:paraId="7EDF67E3" w14:textId="77777777" w:rsidR="00F4289C" w:rsidRPr="00E025F9" w:rsidRDefault="00F4289C" w:rsidP="00F4289C">
      <w:pPr>
        <w:spacing w:after="0"/>
        <w:rPr>
          <w:b/>
        </w:rPr>
      </w:pPr>
      <w:r w:rsidRPr="00E025F9">
        <w:rPr>
          <w:b/>
        </w:rPr>
        <w:t>Item under Consideration:</w:t>
      </w:r>
    </w:p>
    <w:p w14:paraId="5BA17D27" w14:textId="77777777" w:rsidR="00F4289C" w:rsidRDefault="00F4289C" w:rsidP="00F4289C">
      <w:r>
        <w:t>Amend Handbook 130 NCWM Policy, Interpretations, and Guidelines as follows:</w:t>
      </w:r>
    </w:p>
    <w:p w14:paraId="5D4B2D96" w14:textId="77777777" w:rsidR="00F4289C" w:rsidRPr="00E74729" w:rsidRDefault="00F4289C" w:rsidP="00F4289C">
      <w:pPr>
        <w:tabs>
          <w:tab w:val="left" w:pos="6887"/>
        </w:tabs>
        <w:ind w:left="270"/>
        <w:rPr>
          <w:b/>
          <w:bCs/>
          <w:color w:val="000000"/>
          <w:szCs w:val="20"/>
        </w:rPr>
      </w:pPr>
      <w:r w:rsidRPr="00E74729">
        <w:rPr>
          <w:b/>
          <w:bCs/>
          <w:color w:val="000000"/>
          <w:szCs w:val="20"/>
        </w:rPr>
        <w:t xml:space="preserve">2.6.12. Point-of-Pack Inspection Guidelines. </w:t>
      </w:r>
    </w:p>
    <w:p w14:paraId="2820CD54" w14:textId="77777777" w:rsidR="00F4289C" w:rsidRPr="00E74729" w:rsidRDefault="00F4289C" w:rsidP="00F4289C">
      <w:pPr>
        <w:ind w:left="720"/>
        <w:rPr>
          <w:b/>
          <w:bCs/>
          <w:color w:val="000000"/>
          <w:szCs w:val="20"/>
        </w:rPr>
      </w:pPr>
      <w:r w:rsidRPr="00E74729">
        <w:rPr>
          <w:b/>
          <w:bCs/>
          <w:color w:val="000000"/>
          <w:szCs w:val="20"/>
        </w:rPr>
        <w:t xml:space="preserve">A. Weights and Measures Officials’ Responsibilities. </w:t>
      </w:r>
    </w:p>
    <w:p w14:paraId="38A4473E" w14:textId="132B8BB3" w:rsidR="00F4289C" w:rsidRPr="00E74729" w:rsidRDefault="00F4289C" w:rsidP="009D2986">
      <w:pPr>
        <w:tabs>
          <w:tab w:val="left" w:pos="990"/>
        </w:tabs>
        <w:spacing w:after="0"/>
        <w:rPr>
          <w:color w:val="000000"/>
          <w:szCs w:val="20"/>
        </w:rPr>
      </w:pPr>
      <w:r>
        <w:rPr>
          <w:b/>
          <w:bCs/>
          <w:color w:val="000000"/>
          <w:szCs w:val="20"/>
        </w:rPr>
        <w:t>.</w:t>
      </w:r>
      <w:r w:rsidR="009D2986">
        <w:rPr>
          <w:b/>
          <w:bCs/>
          <w:color w:val="000000"/>
          <w:szCs w:val="20"/>
        </w:rPr>
        <w:t>.</w:t>
      </w:r>
      <w:r>
        <w:rPr>
          <w:b/>
          <w:bCs/>
          <w:color w:val="000000"/>
          <w:szCs w:val="20"/>
        </w:rPr>
        <w:t>.</w:t>
      </w:r>
      <w:r>
        <w:rPr>
          <w:color w:val="000000"/>
          <w:szCs w:val="20"/>
        </w:rPr>
        <w:tab/>
      </w:r>
    </w:p>
    <w:p w14:paraId="5504FF73" w14:textId="114DE254" w:rsidR="00F4289C" w:rsidRDefault="00F4289C" w:rsidP="001475E9">
      <w:r>
        <w:tab/>
      </w:r>
      <w:r w:rsidRPr="00E74729">
        <w:t>vi. Apply moisture</w:t>
      </w:r>
      <w:r w:rsidRPr="00FD0D2C">
        <w:t xml:space="preserve"> allowance</w:t>
      </w:r>
      <w:r w:rsidRPr="004A7E28">
        <w:rPr>
          <w:strike/>
        </w:rPr>
        <w:t>s</w:t>
      </w:r>
      <w:r w:rsidRPr="00E74729">
        <w:t xml:space="preserve"> </w:t>
      </w:r>
      <w:r w:rsidRPr="00E74729">
        <w:rPr>
          <w:b/>
          <w:bCs/>
          <w:u w:val="single"/>
        </w:rPr>
        <w:t>considerations</w:t>
      </w:r>
      <w:r w:rsidRPr="00E74729">
        <w:t>, if applicable.</w:t>
      </w:r>
    </w:p>
    <w:p w14:paraId="7D4304B0" w14:textId="72E2A5E0" w:rsidR="00D0707F" w:rsidRPr="005E73F6" w:rsidRDefault="00D0707F" w:rsidP="005E73F6">
      <w:pPr>
        <w:rPr>
          <w:b/>
        </w:rPr>
      </w:pPr>
      <w:r w:rsidRPr="00E025F9">
        <w:rPr>
          <w:b/>
        </w:rPr>
        <w:t>Regional Associations’ Comments:</w:t>
      </w:r>
    </w:p>
    <w:p w14:paraId="6DC4A73A" w14:textId="6BFEDC2C" w:rsidR="00B55C17" w:rsidRDefault="00D0707F" w:rsidP="005E73F6">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2E8650C0" w14:textId="735566E3" w:rsidR="001A754C" w:rsidRDefault="001A754C" w:rsidP="005E73F6">
      <w:pPr>
        <w:rPr>
          <w:rFonts w:eastAsia="Times New Roman"/>
          <w:szCs w:val="24"/>
        </w:rPr>
      </w:pPr>
      <w:r>
        <w:rPr>
          <w:rFonts w:eastAsia="Times New Roman"/>
          <w:szCs w:val="24"/>
        </w:rPr>
        <w:t>The WWMA L&amp;R Committee heard comments on this item as part of Block 4 rather than as an individual item, so these comments apply to the whole block.</w:t>
      </w:r>
    </w:p>
    <w:p w14:paraId="038CD1A2" w14:textId="79B3B940" w:rsidR="001A754C" w:rsidRDefault="001A754C" w:rsidP="001A754C">
      <w:pPr>
        <w:spacing w:after="0"/>
        <w:rPr>
          <w:rFonts w:eastAsia="Times New Roman"/>
          <w:szCs w:val="24"/>
        </w:rPr>
      </w:pPr>
      <w:r>
        <w:rPr>
          <w:rFonts w:eastAsia="Times New Roman"/>
          <w:szCs w:val="24"/>
        </w:rPr>
        <w:t>Mr. Kurt Floren (County of Los Angeles, California) stated that he w</w:t>
      </w:r>
      <w:r w:rsidRPr="004762F4">
        <w:rPr>
          <w:rFonts w:eastAsia="Times New Roman"/>
          <w:szCs w:val="24"/>
        </w:rPr>
        <w:t xml:space="preserve">as </w:t>
      </w:r>
      <w:r>
        <w:rPr>
          <w:rFonts w:eastAsia="Times New Roman"/>
          <w:szCs w:val="24"/>
        </w:rPr>
        <w:t>a</w:t>
      </w:r>
      <w:r w:rsidRPr="004762F4">
        <w:rPr>
          <w:rFonts w:eastAsia="Times New Roman"/>
          <w:szCs w:val="24"/>
        </w:rPr>
        <w:t xml:space="preserve"> </w:t>
      </w:r>
      <w:r>
        <w:rPr>
          <w:rFonts w:eastAsia="Times New Roman"/>
          <w:szCs w:val="24"/>
        </w:rPr>
        <w:t>member</w:t>
      </w:r>
      <w:r w:rsidRPr="004762F4">
        <w:rPr>
          <w:rFonts w:eastAsia="Times New Roman"/>
          <w:szCs w:val="24"/>
        </w:rPr>
        <w:t xml:space="preserve"> of the</w:t>
      </w:r>
      <w:r>
        <w:rPr>
          <w:rFonts w:eastAsia="Times New Roman"/>
          <w:szCs w:val="24"/>
        </w:rPr>
        <w:t xml:space="preserve"> Moisture Allowance</w:t>
      </w:r>
      <w:r w:rsidRPr="004762F4">
        <w:rPr>
          <w:rFonts w:eastAsia="Times New Roman"/>
          <w:szCs w:val="24"/>
        </w:rPr>
        <w:t xml:space="preserve"> </w:t>
      </w:r>
      <w:r>
        <w:rPr>
          <w:rFonts w:eastAsia="Times New Roman"/>
          <w:szCs w:val="24"/>
        </w:rPr>
        <w:t>Task</w:t>
      </w:r>
      <w:r w:rsidRPr="004762F4">
        <w:rPr>
          <w:rFonts w:eastAsia="Times New Roman"/>
          <w:szCs w:val="24"/>
        </w:rPr>
        <w:t xml:space="preserve"> </w:t>
      </w:r>
      <w:r>
        <w:rPr>
          <w:rFonts w:eastAsia="Times New Roman"/>
          <w:szCs w:val="24"/>
        </w:rPr>
        <w:t>G</w:t>
      </w:r>
      <w:r w:rsidRPr="004762F4">
        <w:rPr>
          <w:rFonts w:eastAsia="Times New Roman"/>
          <w:szCs w:val="24"/>
        </w:rPr>
        <w:t xml:space="preserve">roup. </w:t>
      </w:r>
      <w:r>
        <w:rPr>
          <w:rFonts w:eastAsia="Times New Roman"/>
          <w:szCs w:val="24"/>
        </w:rPr>
        <w:t>This proposal is being considered b</w:t>
      </w:r>
      <w:r w:rsidRPr="004762F4">
        <w:rPr>
          <w:rFonts w:eastAsia="Times New Roman"/>
          <w:szCs w:val="24"/>
        </w:rPr>
        <w:t xml:space="preserve">ecause federal laws </w:t>
      </w:r>
      <w:r>
        <w:rPr>
          <w:rFonts w:eastAsia="Times New Roman"/>
          <w:szCs w:val="24"/>
        </w:rPr>
        <w:t xml:space="preserve">require regulators to consider moisture loss when applying tolerances. </w:t>
      </w:r>
      <w:r w:rsidRPr="004762F4">
        <w:rPr>
          <w:rFonts w:eastAsia="Times New Roman"/>
          <w:szCs w:val="24"/>
        </w:rPr>
        <w:t xml:space="preserve">Variations </w:t>
      </w:r>
      <w:r>
        <w:rPr>
          <w:rFonts w:eastAsia="Times New Roman"/>
          <w:szCs w:val="24"/>
        </w:rPr>
        <w:t xml:space="preserve">in net weight </w:t>
      </w:r>
      <w:r w:rsidRPr="004762F4">
        <w:rPr>
          <w:rFonts w:eastAsia="Times New Roman"/>
          <w:szCs w:val="24"/>
        </w:rPr>
        <w:t>occur</w:t>
      </w:r>
      <w:r>
        <w:rPr>
          <w:rFonts w:eastAsia="Times New Roman"/>
          <w:szCs w:val="24"/>
        </w:rPr>
        <w:t xml:space="preserve"> due to fluctuations </w:t>
      </w:r>
      <w:r w:rsidRPr="004762F4">
        <w:rPr>
          <w:rFonts w:eastAsia="Times New Roman"/>
          <w:szCs w:val="24"/>
        </w:rPr>
        <w:t>in</w:t>
      </w:r>
      <w:r>
        <w:rPr>
          <w:rFonts w:eastAsia="Times New Roman"/>
          <w:szCs w:val="24"/>
        </w:rPr>
        <w:t xml:space="preserve"> moisture even with</w:t>
      </w:r>
      <w:r w:rsidRPr="004762F4">
        <w:rPr>
          <w:rFonts w:eastAsia="Times New Roman"/>
          <w:szCs w:val="24"/>
        </w:rPr>
        <w:t xml:space="preserve"> good distribution practice</w:t>
      </w:r>
      <w:r>
        <w:rPr>
          <w:rFonts w:eastAsia="Times New Roman"/>
          <w:szCs w:val="24"/>
        </w:rPr>
        <w:t>s</w:t>
      </w:r>
      <w:r w:rsidRPr="004762F4">
        <w:rPr>
          <w:rFonts w:eastAsia="Times New Roman"/>
          <w:szCs w:val="24"/>
        </w:rPr>
        <w:t>.</w:t>
      </w:r>
      <w:r>
        <w:rPr>
          <w:rFonts w:eastAsia="Times New Roman"/>
          <w:szCs w:val="24"/>
        </w:rPr>
        <w:t xml:space="preserve"> The language the task group will be developing will be based upon the language in </w:t>
      </w:r>
      <w:r w:rsidRPr="004762F4">
        <w:rPr>
          <w:rFonts w:eastAsia="Times New Roman"/>
          <w:szCs w:val="24"/>
        </w:rPr>
        <w:t xml:space="preserve">Federal law </w:t>
      </w:r>
      <w:r>
        <w:rPr>
          <w:rFonts w:eastAsia="Times New Roman"/>
          <w:szCs w:val="24"/>
        </w:rPr>
        <w:t xml:space="preserve">which </w:t>
      </w:r>
      <w:r w:rsidRPr="004762F4">
        <w:rPr>
          <w:rFonts w:eastAsia="Times New Roman"/>
          <w:szCs w:val="24"/>
        </w:rPr>
        <w:t>speak</w:t>
      </w:r>
      <w:r>
        <w:rPr>
          <w:rFonts w:eastAsia="Times New Roman"/>
          <w:szCs w:val="24"/>
        </w:rPr>
        <w:t>s to</w:t>
      </w:r>
      <w:r w:rsidRPr="004762F4">
        <w:rPr>
          <w:rFonts w:eastAsia="Times New Roman"/>
          <w:szCs w:val="24"/>
        </w:rPr>
        <w:t xml:space="preserve"> </w:t>
      </w:r>
      <w:r>
        <w:rPr>
          <w:rFonts w:eastAsia="Times New Roman"/>
          <w:szCs w:val="24"/>
        </w:rPr>
        <w:t>“</w:t>
      </w:r>
      <w:r w:rsidRPr="004762F4">
        <w:rPr>
          <w:rFonts w:eastAsia="Times New Roman"/>
          <w:szCs w:val="24"/>
        </w:rPr>
        <w:t>reasonable variation</w:t>
      </w:r>
      <w:r>
        <w:rPr>
          <w:rFonts w:eastAsia="Times New Roman"/>
          <w:szCs w:val="24"/>
        </w:rPr>
        <w:t>”</w:t>
      </w:r>
      <w:r w:rsidRPr="004762F4">
        <w:rPr>
          <w:rFonts w:eastAsia="Times New Roman"/>
          <w:szCs w:val="24"/>
        </w:rPr>
        <w:t xml:space="preserve">. </w:t>
      </w:r>
    </w:p>
    <w:p w14:paraId="2153AC47" w14:textId="40A33BA1" w:rsidR="001A754C" w:rsidRPr="00A43BF4" w:rsidRDefault="001A754C" w:rsidP="005E73F6">
      <w:pPr>
        <w:rPr>
          <w:rFonts w:eastAsia="Times New Roman"/>
          <w:szCs w:val="24"/>
        </w:rPr>
      </w:pPr>
      <w:r w:rsidRPr="008B1174">
        <w:rPr>
          <w:rFonts w:eastAsia="Times New Roman"/>
          <w:szCs w:val="24"/>
        </w:rPr>
        <w:t>Mr. Aaron Yanker (Colorado Department of Agriculture, Weights and Measures)</w:t>
      </w:r>
      <w:r>
        <w:rPr>
          <w:rFonts w:eastAsia="Times New Roman"/>
          <w:szCs w:val="24"/>
        </w:rPr>
        <w:t xml:space="preserve">, Mr. Austin Shepherd (County of San Diego, California), and </w:t>
      </w:r>
      <w:r w:rsidRPr="000A0675">
        <w:rPr>
          <w:rFonts w:eastAsia="Times New Roman"/>
          <w:szCs w:val="24"/>
        </w:rPr>
        <w:t xml:space="preserve">Mr. Matt Douglas </w:t>
      </w:r>
      <w:r>
        <w:rPr>
          <w:rFonts w:eastAsia="Times New Roman"/>
          <w:szCs w:val="24"/>
        </w:rPr>
        <w:t>(</w:t>
      </w:r>
      <w:r w:rsidRPr="000A0675">
        <w:rPr>
          <w:rFonts w:eastAsia="Times New Roman"/>
          <w:szCs w:val="24"/>
        </w:rPr>
        <w:t>California</w:t>
      </w:r>
      <w:r>
        <w:rPr>
          <w:rFonts w:eastAsia="Times New Roman"/>
          <w:szCs w:val="24"/>
        </w:rPr>
        <w:t xml:space="preserve"> Division of Measurement Standards) expressed support for the task group and the comments made by Mr. Floren.</w:t>
      </w:r>
    </w:p>
    <w:p w14:paraId="219F6168" w14:textId="448A838B" w:rsidR="00D0707F" w:rsidRPr="00A43BF4" w:rsidRDefault="001A754C" w:rsidP="005E73F6">
      <w:pPr>
        <w:rPr>
          <w:rFonts w:eastAsia="Times New Roman"/>
          <w:szCs w:val="24"/>
        </w:rPr>
      </w:pPr>
      <w:r>
        <w:rPr>
          <w:rFonts w:eastAsia="Times New Roman"/>
          <w:szCs w:val="24"/>
        </w:rPr>
        <w:t>The WWMA L&amp;R Committee recommends this item remain assigned.</w:t>
      </w:r>
    </w:p>
    <w:p w14:paraId="7A68916B" w14:textId="1C4BD63C" w:rsidR="00D0707F" w:rsidRDefault="00D0707F" w:rsidP="00D0707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151371">
        <w:rPr>
          <w:rFonts w:eastAsia="Times New Roman"/>
          <w:szCs w:val="24"/>
          <w:u w:val="single"/>
        </w:rPr>
        <w:t>Interim</w:t>
      </w:r>
      <w:r w:rsidRPr="0051426D">
        <w:rPr>
          <w:rFonts w:eastAsia="Times New Roman"/>
          <w:szCs w:val="24"/>
          <w:u w:val="single"/>
        </w:rPr>
        <w:t xml:space="preserve"> Meeting:</w:t>
      </w:r>
    </w:p>
    <w:p w14:paraId="36A37C60" w14:textId="77777777" w:rsidR="005E73F6" w:rsidRDefault="00F85220" w:rsidP="00F85220">
      <w:pPr>
        <w:jc w:val="left"/>
        <w:rPr>
          <w:rFonts w:eastAsia="Times New Roman"/>
          <w:szCs w:val="24"/>
        </w:rPr>
      </w:pPr>
      <w:r>
        <w:rPr>
          <w:rFonts w:eastAsia="Times New Roman"/>
          <w:szCs w:val="24"/>
        </w:rPr>
        <w:t>One regulator recommended withdrawal while another regulator recommend assigned status.  Concerns were raised regarding the definitions of “Allowances Considerations”.</w:t>
      </w:r>
    </w:p>
    <w:p w14:paraId="1010A96B" w14:textId="532E69F3" w:rsidR="00C57A8A" w:rsidRDefault="00F85220" w:rsidP="00F85220">
      <w:pPr>
        <w:jc w:val="left"/>
        <w:rPr>
          <w:rFonts w:eastAsia="Times New Roman"/>
          <w:szCs w:val="24"/>
          <w:u w:val="single"/>
        </w:rPr>
      </w:pPr>
      <w:r w:rsidRPr="00526679">
        <w:rPr>
          <w:rFonts w:eastAsia="Times New Roman"/>
          <w:szCs w:val="24"/>
        </w:rPr>
        <w:t xml:space="preserve">The CWMA L&amp;R Committee recommends </w:t>
      </w:r>
      <w:r w:rsidR="00526679" w:rsidRPr="00526679">
        <w:rPr>
          <w:rFonts w:eastAsia="Times New Roman"/>
          <w:szCs w:val="24"/>
        </w:rPr>
        <w:t xml:space="preserve">this item remains assigned. </w:t>
      </w:r>
    </w:p>
    <w:p w14:paraId="48701A6C" w14:textId="77777777" w:rsidR="00EE0428" w:rsidRDefault="00D0707F" w:rsidP="00D0707F">
      <w:pPr>
        <w:jc w:val="left"/>
        <w:rPr>
          <w:u w:val="single"/>
        </w:rPr>
      </w:pPr>
      <w:r w:rsidRPr="006C7BFB">
        <w:rPr>
          <w:u w:val="single"/>
        </w:rPr>
        <w:t>NEWMA 202</w:t>
      </w:r>
      <w:r>
        <w:rPr>
          <w:u w:val="single"/>
        </w:rPr>
        <w:t>5</w:t>
      </w:r>
      <w:r w:rsidRPr="006C7BFB">
        <w:rPr>
          <w:u w:val="single"/>
        </w:rPr>
        <w:t xml:space="preserve"> Interim Meeting:</w:t>
      </w:r>
    </w:p>
    <w:p w14:paraId="19AFD178" w14:textId="61A4CCEC" w:rsidR="00EE0428" w:rsidRDefault="00EE0428" w:rsidP="005E73F6">
      <w:pPr>
        <w:rPr>
          <w:rFonts w:eastAsia="Times New Roman"/>
          <w:szCs w:val="24"/>
        </w:rPr>
      </w:pPr>
      <w:r>
        <w:rPr>
          <w:rFonts w:eastAsia="Times New Roman"/>
          <w:szCs w:val="24"/>
        </w:rPr>
        <w:t>Comments were heard together on all items in Block 4.  All comments heard apply to each item in this Block 4.</w:t>
      </w:r>
    </w:p>
    <w:p w14:paraId="699B7AD0" w14:textId="2720A8EA" w:rsidR="00EE0428" w:rsidRDefault="00EE0428" w:rsidP="005E73F6">
      <w:pPr>
        <w:rPr>
          <w:rFonts w:eastAsia="Times New Roman"/>
          <w:szCs w:val="24"/>
        </w:rPr>
      </w:pPr>
      <w:r>
        <w:rPr>
          <w:rFonts w:eastAsia="Times New Roman"/>
          <w:szCs w:val="24"/>
        </w:rPr>
        <w:t>A regulator from New York (and member of the Moisture Task Group) gave an update.  He commented that the task group met on October 7, 2025 and will be meeting monthly.  They are looking to align the language with federal language.  A regulator from New Jersey commented they are looking forward to the work of the task group and recommended an Assigned status.</w:t>
      </w:r>
    </w:p>
    <w:p w14:paraId="27D4AD46" w14:textId="77777777" w:rsidR="005E73F6" w:rsidRDefault="00EE0428" w:rsidP="00EE0428">
      <w:pPr>
        <w:spacing w:after="0"/>
        <w:rPr>
          <w:rFonts w:eastAsia="Times New Roman"/>
          <w:szCs w:val="24"/>
        </w:rPr>
      </w:pPr>
      <w:r>
        <w:rPr>
          <w:rFonts w:eastAsia="Times New Roman"/>
          <w:szCs w:val="24"/>
        </w:rPr>
        <w:t>After hearing comments from the floor, the committee recommended an Assigned status, and the body concurred.</w:t>
      </w:r>
    </w:p>
    <w:p w14:paraId="4FB9818B" w14:textId="6375A4F7" w:rsidR="00CE57D8" w:rsidRDefault="00D0707F" w:rsidP="005E73F6">
      <w:pPr>
        <w:spacing w:before="240"/>
        <w:rPr>
          <w:u w:val="single"/>
        </w:rPr>
      </w:pPr>
      <w:r>
        <w:rPr>
          <w:u w:val="single"/>
        </w:rPr>
        <w:t>S</w:t>
      </w:r>
      <w:r w:rsidRPr="00EF1ACC">
        <w:rPr>
          <w:u w:val="single"/>
        </w:rPr>
        <w:t>WMA 202</w:t>
      </w:r>
      <w:r>
        <w:rPr>
          <w:u w:val="single"/>
        </w:rPr>
        <w:t>5</w:t>
      </w:r>
      <w:r w:rsidRPr="00EF1ACC">
        <w:rPr>
          <w:u w:val="single"/>
        </w:rPr>
        <w:t xml:space="preserve"> </w:t>
      </w:r>
      <w:r w:rsidR="00151371">
        <w:rPr>
          <w:u w:val="single"/>
        </w:rPr>
        <w:t>Annual</w:t>
      </w:r>
      <w:r w:rsidRPr="00EF1ACC">
        <w:rPr>
          <w:u w:val="single"/>
        </w:rPr>
        <w:t xml:space="preserve"> Meeting</w:t>
      </w:r>
      <w:r>
        <w:rPr>
          <w:u w:val="single"/>
        </w:rPr>
        <w:t>:</w:t>
      </w:r>
    </w:p>
    <w:p w14:paraId="1CEC23AD" w14:textId="3C865638" w:rsidR="00CE57D8" w:rsidRDefault="00CE57D8" w:rsidP="005E73F6">
      <w:pPr>
        <w:rPr>
          <w:rFonts w:eastAsia="Times New Roman"/>
          <w:szCs w:val="24"/>
        </w:rPr>
      </w:pPr>
      <w:r>
        <w:rPr>
          <w:rFonts w:eastAsia="Times New Roman"/>
          <w:szCs w:val="24"/>
        </w:rPr>
        <w:lastRenderedPageBreak/>
        <w:t xml:space="preserve">Mr. Tory Brewer, moisture allowance task group chair, commented that the moisture allowance task group has met only once and has decided to rewrite the entire moisture allowance section. The group will meet again in November and plans on having a tentative draft that will be presented in January at the NCWM 2026 interim. </w:t>
      </w:r>
    </w:p>
    <w:p w14:paraId="19A5D20D" w14:textId="2E2C6332" w:rsidR="00CE57D8" w:rsidRPr="00EE0428" w:rsidRDefault="00CE57D8" w:rsidP="00EE0428">
      <w:pPr>
        <w:spacing w:after="0"/>
        <w:rPr>
          <w:rFonts w:eastAsia="Times New Roman"/>
          <w:szCs w:val="24"/>
        </w:rPr>
      </w:pPr>
      <w:r>
        <w:rPr>
          <w:rFonts w:eastAsia="Times New Roman"/>
          <w:szCs w:val="24"/>
        </w:rPr>
        <w:t>The Committee recommends this item remain Assigned. This applies to all items in Block 4.</w:t>
      </w:r>
    </w:p>
    <w:p w14:paraId="5232F9BF" w14:textId="36ECBFF9" w:rsidR="00F4289C" w:rsidRPr="004E72B6" w:rsidRDefault="00126165" w:rsidP="00F4289C">
      <w:pPr>
        <w:pStyle w:val="ItemHeading"/>
        <w:rPr>
          <w:u w:val="single"/>
        </w:rPr>
      </w:pPr>
      <w:bookmarkStart w:id="301" w:name="_Toc224019632"/>
      <w:r>
        <w:t xml:space="preserve">B4: </w:t>
      </w:r>
      <w:r w:rsidR="00F4289C">
        <w:t>NET-25.1</w:t>
      </w:r>
      <w:r w:rsidR="00F4289C" w:rsidRPr="003C355F">
        <w:tab/>
      </w:r>
      <w:r w:rsidR="00194CFF">
        <w:t>A</w:t>
      </w:r>
      <w:r w:rsidR="00F4289C" w:rsidRPr="003C355F">
        <w:tab/>
      </w:r>
      <w:r w:rsidR="00F4289C">
        <w:t xml:space="preserve">1.2.6.1. Applying a Moisture </w:t>
      </w:r>
      <w:r w:rsidR="00F4289C" w:rsidRPr="009F745D">
        <w:t>Allowance</w:t>
      </w:r>
      <w:r w:rsidR="00E3312C" w:rsidRPr="009F745D">
        <w:t xml:space="preserve"> </w:t>
      </w:r>
      <w:r w:rsidR="00F4289C">
        <w:rPr>
          <w:u w:val="single"/>
        </w:rPr>
        <w:t>Consideration,</w:t>
      </w:r>
      <w:r w:rsidR="00F4289C">
        <w:t xml:space="preserve"> 2.3.8. Moisture </w:t>
      </w:r>
      <w:r w:rsidR="00F4289C" w:rsidRPr="00003E9C">
        <w:t>Allowance</w:t>
      </w:r>
      <w:r w:rsidR="00F4289C" w:rsidRPr="004A7E28">
        <w:rPr>
          <w:strike/>
        </w:rPr>
        <w:t>s</w:t>
      </w:r>
      <w:r w:rsidR="00E3312C" w:rsidRPr="00003E9C">
        <w:t xml:space="preserve"> </w:t>
      </w:r>
      <w:r w:rsidR="00F4289C">
        <w:rPr>
          <w:u w:val="single"/>
        </w:rPr>
        <w:t>Considerations</w:t>
      </w:r>
      <w:r w:rsidR="00F4289C">
        <w:t xml:space="preserve">, </w:t>
      </w:r>
      <w:r w:rsidR="00F4289C" w:rsidRPr="00B530E4">
        <w:rPr>
          <w:strike/>
        </w:rPr>
        <w:t xml:space="preserve">4.10.2.2. </w:t>
      </w:r>
      <w:bookmarkStart w:id="302" w:name="_Hlk205282193"/>
      <w:r w:rsidR="00F4289C" w:rsidRPr="00B530E4">
        <w:rPr>
          <w:strike/>
        </w:rPr>
        <w:t>Moisture Shrinkage Allowance</w:t>
      </w:r>
      <w:r w:rsidR="00E3312C" w:rsidRPr="00B530E4">
        <w:rPr>
          <w:strike/>
        </w:rPr>
        <w:t xml:space="preserve"> </w:t>
      </w:r>
      <w:r w:rsidR="00F4289C" w:rsidRPr="00B530E4">
        <w:rPr>
          <w:strike/>
          <w:u w:val="single"/>
        </w:rPr>
        <w:t>Consideration</w:t>
      </w:r>
      <w:r w:rsidR="00F4289C" w:rsidRPr="004D22C3">
        <w:rPr>
          <w:strike/>
        </w:rPr>
        <w:t xml:space="preserve"> for Structural Plywood and Wood-based Structural Panels,</w:t>
      </w:r>
      <w:r w:rsidR="00F4289C">
        <w:t xml:space="preserve"> </w:t>
      </w:r>
      <w:bookmarkEnd w:id="302"/>
      <w:r w:rsidR="00F4289C" w:rsidRPr="00195193">
        <w:rPr>
          <w:strike/>
        </w:rPr>
        <w:t>4.11.2.1.</w:t>
      </w:r>
      <w:r w:rsidR="00F4289C">
        <w:t xml:space="preserve"> </w:t>
      </w:r>
      <w:r w:rsidR="00F4289C" w:rsidRPr="00195193">
        <w:rPr>
          <w:strike/>
        </w:rPr>
        <w:t>Shrinking Allowance</w:t>
      </w:r>
      <w:r w:rsidR="00E3312C" w:rsidRPr="00195193">
        <w:rPr>
          <w:strike/>
        </w:rPr>
        <w:t xml:space="preserve"> </w:t>
      </w:r>
      <w:r w:rsidR="00F4289C" w:rsidRPr="00195193">
        <w:rPr>
          <w:strike/>
          <w:u w:val="single"/>
        </w:rPr>
        <w:t>Consideration</w:t>
      </w:r>
      <w:bookmarkEnd w:id="301"/>
    </w:p>
    <w:p w14:paraId="08A3F0C7" w14:textId="77777777" w:rsidR="00F4289C" w:rsidRPr="00E025F9" w:rsidRDefault="00F4289C" w:rsidP="00F4289C">
      <w:pPr>
        <w:spacing w:after="0"/>
        <w:rPr>
          <w:b/>
        </w:rPr>
      </w:pPr>
      <w:r w:rsidRPr="00E025F9">
        <w:rPr>
          <w:b/>
        </w:rPr>
        <w:t>Source:</w:t>
      </w:r>
    </w:p>
    <w:p w14:paraId="1458B459" w14:textId="77777777" w:rsidR="00F4289C" w:rsidRDefault="00F4289C" w:rsidP="00F4289C">
      <w:r>
        <w:t>Michigan Department of Agriculture &amp; Rural Development</w:t>
      </w:r>
    </w:p>
    <w:p w14:paraId="2A0B7AB2" w14:textId="77777777" w:rsidR="00F4289C" w:rsidRPr="00E025F9" w:rsidRDefault="00F4289C" w:rsidP="00F4289C">
      <w:pPr>
        <w:spacing w:after="0"/>
        <w:rPr>
          <w:b/>
        </w:rPr>
      </w:pPr>
      <w:r w:rsidRPr="00E025F9">
        <w:rPr>
          <w:b/>
        </w:rPr>
        <w:t>Purpose:</w:t>
      </w:r>
    </w:p>
    <w:p w14:paraId="156ED9A1" w14:textId="77777777" w:rsidR="00F4289C" w:rsidRPr="00DE64D5" w:rsidRDefault="00F4289C" w:rsidP="00F4289C">
      <w:r w:rsidRPr="00DE64D5">
        <w:rPr>
          <w:spacing w:val="-2"/>
          <w:w w:val="110"/>
        </w:rPr>
        <w:t>Change</w:t>
      </w:r>
      <w:r w:rsidRPr="00DE64D5">
        <w:rPr>
          <w:spacing w:val="-11"/>
          <w:w w:val="110"/>
        </w:rPr>
        <w:t xml:space="preserve"> </w:t>
      </w:r>
      <w:r w:rsidRPr="00DE64D5">
        <w:rPr>
          <w:spacing w:val="-2"/>
          <w:w w:val="110"/>
        </w:rPr>
        <w:t>the</w:t>
      </w:r>
      <w:r w:rsidRPr="00DE64D5">
        <w:rPr>
          <w:spacing w:val="-10"/>
          <w:w w:val="110"/>
        </w:rPr>
        <w:t xml:space="preserve"> </w:t>
      </w:r>
      <w:r w:rsidRPr="00DE64D5">
        <w:rPr>
          <w:spacing w:val="-2"/>
          <w:w w:val="110"/>
        </w:rPr>
        <w:t>language</w:t>
      </w:r>
      <w:r w:rsidRPr="00DE64D5">
        <w:rPr>
          <w:spacing w:val="-10"/>
          <w:w w:val="110"/>
        </w:rPr>
        <w:t xml:space="preserve"> </w:t>
      </w:r>
      <w:r w:rsidRPr="00DE64D5">
        <w:rPr>
          <w:spacing w:val="-2"/>
          <w:w w:val="110"/>
        </w:rPr>
        <w:t>for</w:t>
      </w:r>
      <w:r w:rsidRPr="00DE64D5">
        <w:rPr>
          <w:spacing w:val="-10"/>
          <w:w w:val="110"/>
        </w:rPr>
        <w:t xml:space="preserve"> </w:t>
      </w:r>
      <w:r w:rsidRPr="00DE64D5">
        <w:rPr>
          <w:spacing w:val="-2"/>
          <w:w w:val="110"/>
        </w:rPr>
        <w:t>the</w:t>
      </w:r>
      <w:r w:rsidRPr="00DE64D5">
        <w:rPr>
          <w:spacing w:val="-10"/>
          <w:w w:val="110"/>
        </w:rPr>
        <w:t xml:space="preserve"> </w:t>
      </w:r>
      <w:r w:rsidRPr="00DE64D5">
        <w:rPr>
          <w:spacing w:val="-2"/>
          <w:w w:val="110"/>
        </w:rPr>
        <w:t>moisture</w:t>
      </w:r>
      <w:r w:rsidRPr="00DE64D5">
        <w:rPr>
          <w:spacing w:val="-10"/>
          <w:w w:val="110"/>
        </w:rPr>
        <w:t xml:space="preserve"> </w:t>
      </w:r>
      <w:r w:rsidRPr="00DE64D5">
        <w:rPr>
          <w:spacing w:val="-2"/>
          <w:w w:val="110"/>
        </w:rPr>
        <w:t>gray</w:t>
      </w:r>
      <w:r w:rsidRPr="00DE64D5">
        <w:rPr>
          <w:spacing w:val="-10"/>
          <w:w w:val="110"/>
        </w:rPr>
        <w:t xml:space="preserve"> </w:t>
      </w:r>
      <w:r w:rsidRPr="00DE64D5">
        <w:rPr>
          <w:spacing w:val="-2"/>
          <w:w w:val="110"/>
        </w:rPr>
        <w:t>area</w:t>
      </w:r>
      <w:r w:rsidRPr="00DE64D5">
        <w:rPr>
          <w:spacing w:val="-10"/>
          <w:w w:val="110"/>
        </w:rPr>
        <w:t xml:space="preserve"> </w:t>
      </w:r>
      <w:r w:rsidRPr="00DE64D5">
        <w:rPr>
          <w:spacing w:val="-2"/>
          <w:w w:val="110"/>
        </w:rPr>
        <w:t>from</w:t>
      </w:r>
      <w:r w:rsidRPr="00DE64D5">
        <w:rPr>
          <w:spacing w:val="-11"/>
          <w:w w:val="110"/>
        </w:rPr>
        <w:t xml:space="preserve"> </w:t>
      </w:r>
      <w:r w:rsidRPr="00DE64D5">
        <w:rPr>
          <w:spacing w:val="-2"/>
          <w:w w:val="110"/>
        </w:rPr>
        <w:t>"moisture</w:t>
      </w:r>
      <w:r w:rsidRPr="00DE64D5">
        <w:rPr>
          <w:spacing w:val="-10"/>
          <w:w w:val="110"/>
        </w:rPr>
        <w:t xml:space="preserve"> </w:t>
      </w:r>
      <w:r w:rsidRPr="00DE64D5">
        <w:rPr>
          <w:spacing w:val="-2"/>
          <w:w w:val="110"/>
        </w:rPr>
        <w:t>allowance"</w:t>
      </w:r>
      <w:r w:rsidRPr="00DE64D5">
        <w:rPr>
          <w:spacing w:val="-10"/>
          <w:w w:val="110"/>
        </w:rPr>
        <w:t xml:space="preserve"> </w:t>
      </w:r>
      <w:r w:rsidRPr="00DE64D5">
        <w:rPr>
          <w:spacing w:val="-2"/>
          <w:w w:val="110"/>
        </w:rPr>
        <w:t>to</w:t>
      </w:r>
      <w:r w:rsidRPr="00DE64D5">
        <w:rPr>
          <w:spacing w:val="-10"/>
          <w:w w:val="110"/>
        </w:rPr>
        <w:t xml:space="preserve"> </w:t>
      </w:r>
      <w:r w:rsidRPr="00DE64D5">
        <w:rPr>
          <w:spacing w:val="-2"/>
          <w:w w:val="110"/>
        </w:rPr>
        <w:t>"moisture</w:t>
      </w:r>
      <w:r w:rsidRPr="00DE64D5">
        <w:rPr>
          <w:spacing w:val="-10"/>
          <w:w w:val="110"/>
        </w:rPr>
        <w:t xml:space="preserve"> </w:t>
      </w:r>
      <w:r w:rsidRPr="00DE64D5">
        <w:rPr>
          <w:spacing w:val="-2"/>
          <w:w w:val="110"/>
        </w:rPr>
        <w:t>consideration."</w:t>
      </w:r>
    </w:p>
    <w:p w14:paraId="589FBC98" w14:textId="77777777" w:rsidR="00F4289C" w:rsidRPr="00E025F9" w:rsidRDefault="00F4289C" w:rsidP="00F4289C">
      <w:pPr>
        <w:spacing w:after="0"/>
        <w:rPr>
          <w:b/>
        </w:rPr>
      </w:pPr>
      <w:r w:rsidRPr="00E025F9">
        <w:rPr>
          <w:b/>
        </w:rPr>
        <w:t>Item under Consideration:</w:t>
      </w:r>
    </w:p>
    <w:p w14:paraId="0312FB86" w14:textId="77777777" w:rsidR="00F4289C" w:rsidRDefault="00F4289C" w:rsidP="00F4289C">
      <w:r>
        <w:t>Amend Handbook 133 Checking the Net Contents of Packaged Goods as follows:</w:t>
      </w:r>
    </w:p>
    <w:p w14:paraId="70632A2E"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1.2.6.1. Applying a Moisture Allowance</w:t>
      </w:r>
    </w:p>
    <w:p w14:paraId="27560F63" w14:textId="77777777" w:rsidR="002D3213" w:rsidRPr="002D3213" w:rsidRDefault="002D3213" w:rsidP="002D3213">
      <w:pPr>
        <w:spacing w:before="100" w:beforeAutospacing="1" w:after="100" w:afterAutospacing="1"/>
        <w:jc w:val="left"/>
        <w:rPr>
          <w:rFonts w:eastAsia="Times New Roman"/>
          <w:b/>
          <w:bCs/>
          <w:color w:val="000000"/>
          <w:szCs w:val="20"/>
          <w:u w:val="single"/>
        </w:rPr>
      </w:pPr>
      <w:r w:rsidRPr="002D3213">
        <w:rPr>
          <w:rFonts w:eastAsia="Times New Roman"/>
          <w:b/>
          <w:bCs/>
          <w:color w:val="000000"/>
          <w:szCs w:val="20"/>
          <w:u w:val="single"/>
        </w:rPr>
        <w:t>Test procedures for flour, some meat, and poultry are based on the concept of a “moisture allowance consideration” also known as a “gray area” or “no decision” area (see Section 2.3.8. “Moisture Allowance</w:t>
      </w:r>
      <w:r w:rsidRPr="002D3213">
        <w:rPr>
          <w:rFonts w:eastAsia="Times New Roman"/>
          <w:b/>
          <w:bCs/>
          <w:strike/>
          <w:color w:val="000000"/>
          <w:szCs w:val="20"/>
          <w:u w:val="single"/>
        </w:rPr>
        <w:t>s</w:t>
      </w:r>
      <w:r w:rsidRPr="002D3213">
        <w:rPr>
          <w:rFonts w:eastAsia="Times New Roman"/>
          <w:b/>
          <w:bCs/>
          <w:color w:val="000000"/>
          <w:szCs w:val="20"/>
          <w:u w:val="single"/>
        </w:rPr>
        <w:t xml:space="preserve"> Considerations”).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Appropriate enforcement should be taken on packages found short weight and outside of the “moisture allowance consideration” or “gray area.”</w:t>
      </w:r>
    </w:p>
    <w:p w14:paraId="2B99195D"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w:t>
      </w:r>
      <w:r w:rsidRPr="002D3213">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considerations</w:t>
      </w:r>
      <w:r w:rsidRPr="002D3213">
        <w:rPr>
          <w:rFonts w:eastAsia="Times New Roman"/>
          <w:color w:val="000000"/>
          <w:szCs w:val="20"/>
        </w:rPr>
        <w:t xml:space="preserve"> may be applied before or after the package errors are determined.</w:t>
      </w:r>
    </w:p>
    <w:p w14:paraId="2B6EDACE"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To apply a</w:t>
      </w:r>
      <w:r w:rsidRPr="002D3213">
        <w:rPr>
          <w:rFonts w:eastAsia="Times New Roman"/>
          <w:strike/>
          <w:color w:val="000000"/>
          <w:szCs w:val="20"/>
        </w:rPr>
        <w:t>n</w:t>
      </w:r>
      <w:r w:rsidRPr="002D3213">
        <w:rPr>
          <w:rFonts w:eastAsia="Times New Roman"/>
          <w:color w:val="000000"/>
          <w:szCs w:val="20"/>
        </w:rPr>
        <w:t xml:space="preserve"> allowance </w:t>
      </w:r>
      <w:r w:rsidRPr="002D3213">
        <w:rPr>
          <w:rFonts w:eastAsia="Times New Roman"/>
          <w:b/>
          <w:bCs/>
          <w:color w:val="000000"/>
          <w:szCs w:val="20"/>
          <w:u w:val="single"/>
        </w:rPr>
        <w:t>consideration</w:t>
      </w:r>
      <w:r w:rsidRPr="002D3213">
        <w:rPr>
          <w:rFonts w:eastAsia="Times New Roman"/>
          <w:color w:val="000000"/>
          <w:szCs w:val="20"/>
        </w:rPr>
        <w:t xml:space="preserve"> before determining package errors, adjust the Nominal Gross Weight (see Section 2.3.6. “Determine Nominal Gross Weight and Package Errors”), so the package errors are increased by an amount equal to the moisture allowance </w:t>
      </w:r>
      <w:r w:rsidRPr="002D3213">
        <w:rPr>
          <w:rFonts w:eastAsia="Times New Roman"/>
          <w:b/>
          <w:bCs/>
          <w:color w:val="000000"/>
          <w:szCs w:val="20"/>
          <w:u w:val="single"/>
        </w:rPr>
        <w:t>consideration</w:t>
      </w:r>
      <w:r w:rsidRPr="002D3213">
        <w:rPr>
          <w:rFonts w:eastAsia="Times New Roman"/>
          <w:color w:val="000000"/>
          <w:szCs w:val="20"/>
        </w:rPr>
        <w:t>. This approach is used to account for moisture loss in both the average and individual package errors.</w:t>
      </w:r>
    </w:p>
    <w:p w14:paraId="56CCD864"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It is also permissible to apply the moisture allowance</w:t>
      </w:r>
      <w:r w:rsidRPr="002D3213">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 xml:space="preserve">considerations </w:t>
      </w:r>
      <w:r w:rsidRPr="002D3213">
        <w:rPr>
          <w:rFonts w:eastAsia="Times New Roman"/>
          <w:color w:val="000000"/>
          <w:szCs w:val="20"/>
        </w:rPr>
        <w:t>after individual package errors and average errors are determined.</w:t>
      </w:r>
    </w:p>
    <w:p w14:paraId="0B966014" w14:textId="77777777" w:rsidR="002D3213" w:rsidRPr="002D3213" w:rsidRDefault="002D3213" w:rsidP="002D3213">
      <w:pPr>
        <w:spacing w:before="100" w:beforeAutospacing="1" w:after="0"/>
        <w:ind w:firstLine="720"/>
        <w:jc w:val="left"/>
        <w:rPr>
          <w:rFonts w:eastAsia="Times New Roman"/>
          <w:b/>
          <w:bCs/>
          <w:color w:val="000000"/>
          <w:szCs w:val="20"/>
        </w:rPr>
      </w:pPr>
      <w:r w:rsidRPr="002D3213">
        <w:rPr>
          <w:rFonts w:eastAsia="Times New Roman"/>
          <w:b/>
          <w:bCs/>
          <w:color w:val="000000"/>
          <w:szCs w:val="20"/>
        </w:rPr>
        <w:t>Example:</w:t>
      </w:r>
    </w:p>
    <w:p w14:paraId="22F09A63" w14:textId="77777777" w:rsidR="002D3213" w:rsidRPr="002D3213" w:rsidRDefault="002D3213" w:rsidP="002D3213">
      <w:pPr>
        <w:spacing w:before="100" w:beforeAutospacing="1" w:after="100" w:afterAutospacing="1"/>
        <w:ind w:left="720"/>
        <w:jc w:val="left"/>
        <w:rPr>
          <w:rFonts w:eastAsia="Times New Roman"/>
          <w:i/>
          <w:iCs/>
          <w:color w:val="000000"/>
          <w:szCs w:val="20"/>
        </w:rPr>
      </w:pPr>
      <w:r w:rsidRPr="002D3213">
        <w:rPr>
          <w:rFonts w:eastAsia="Times New Roman"/>
          <w:i/>
          <w:iCs/>
          <w:color w:val="000000"/>
          <w:szCs w:val="20"/>
        </w:rPr>
        <w:t xml:space="preserve">A sample of a product that could be subject to moisture loss might fail because the average error is minus or the error in several of the sample packages are found to be unreasonable errors (i.e., the package error is greater than the Maximum Allowable Variation </w:t>
      </w:r>
      <w:r w:rsidRPr="002D3213">
        <w:rPr>
          <w:rFonts w:eastAsia="Times New Roman"/>
          <w:b/>
          <w:bCs/>
          <w:i/>
          <w:iCs/>
          <w:color w:val="000000"/>
          <w:szCs w:val="20"/>
          <w:u w:val="single"/>
        </w:rPr>
        <w:t xml:space="preserve">Consideration </w:t>
      </w:r>
      <w:r w:rsidRPr="002D3213">
        <w:rPr>
          <w:rFonts w:eastAsia="Times New Roman"/>
          <w:i/>
          <w:iCs/>
          <w:color w:val="000000"/>
          <w:szCs w:val="20"/>
        </w:rPr>
        <w:t>(MAV) permitted for the package’s labeled quantity).</w:t>
      </w:r>
    </w:p>
    <w:p w14:paraId="035F8782"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lastRenderedPageBreak/>
        <w:t>A sample of a product that could be subject to moisture loss might fail because the average error is minus or the error in several of the sample packages are found to be unreasonable errors (i.e., the package error is greater than the Maximum Allowable Variation (MAV) permitted for the package’s labeled quantity).</w:t>
      </w:r>
    </w:p>
    <w:p w14:paraId="02DE3AE8" w14:textId="7F46F27D"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 xml:space="preserve">You may apply a moisture allowance </w:t>
      </w:r>
      <w:r w:rsidRPr="002D3213">
        <w:rPr>
          <w:rFonts w:eastAsia="Times New Roman"/>
          <w:b/>
          <w:bCs/>
          <w:color w:val="000000"/>
          <w:szCs w:val="20"/>
          <w:u w:val="single"/>
        </w:rPr>
        <w:t>consideration</w:t>
      </w:r>
      <w:r w:rsidRPr="002D3213">
        <w:rPr>
          <w:rFonts w:eastAsia="Times New Roman"/>
          <w:color w:val="000000"/>
          <w:szCs w:val="20"/>
        </w:rPr>
        <w:t xml:space="preserve"> after determining the package errors by adding the allowance to the Sample Error Limit (SEL) and </w:t>
      </w:r>
      <w:r w:rsidR="00A7009C" w:rsidRPr="002D3213">
        <w:rPr>
          <w:rFonts w:eastAsia="Times New Roman"/>
          <w:color w:val="000000"/>
          <w:szCs w:val="20"/>
        </w:rPr>
        <w:t>then</w:t>
      </w:r>
      <w:r w:rsidRPr="002D3213">
        <w:rPr>
          <w:rFonts w:eastAsia="Times New Roman"/>
          <w:color w:val="000000"/>
          <w:szCs w:val="20"/>
        </w:rPr>
        <w:t xml:space="preserve"> comparing the average error to the SEL to determine compliance. The moisture allowance must be added to the MAV before evaluating sample errors to identify unreasonable minus errors.</w:t>
      </w:r>
    </w:p>
    <w:p w14:paraId="22867DFF" w14:textId="77777777" w:rsidR="002D3213" w:rsidRPr="002D3213" w:rsidRDefault="002D3213" w:rsidP="002D3213">
      <w:pPr>
        <w:spacing w:before="100" w:beforeAutospacing="1" w:after="100" w:afterAutospacing="1"/>
        <w:jc w:val="left"/>
        <w:rPr>
          <w:rFonts w:eastAsia="Times New Roman"/>
          <w:strike/>
          <w:color w:val="000000"/>
          <w:szCs w:val="20"/>
        </w:rPr>
      </w:pPr>
      <w:r w:rsidRPr="002D3213">
        <w:rPr>
          <w:rFonts w:eastAsia="Times New Roman"/>
          <w:strike/>
          <w:color w:val="000000"/>
          <w:szCs w:val="20"/>
        </w:rPr>
        <w:t>(Amended 2010)</w:t>
      </w:r>
    </w:p>
    <w:p w14:paraId="1C9C5D75"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This handbook provides “moisture allowance</w:t>
      </w:r>
      <w:r w:rsidRPr="002D3213">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considerations</w:t>
      </w:r>
      <w:r w:rsidRPr="002D3213">
        <w:rPr>
          <w:rFonts w:eastAsia="Times New Roman"/>
          <w:color w:val="000000"/>
          <w:szCs w:val="20"/>
        </w:rPr>
        <w:t xml:space="preserve">” for some meat and poultry products, flour, pasta, </w:t>
      </w:r>
      <w:r w:rsidRPr="002D3213">
        <w:rPr>
          <w:rFonts w:eastAsia="Times New Roman"/>
          <w:i/>
          <w:iCs/>
          <w:color w:val="000000"/>
          <w:szCs w:val="20"/>
        </w:rPr>
        <w:t>Cannabis</w:t>
      </w:r>
      <w:r w:rsidRPr="002D3213">
        <w:rPr>
          <w:rFonts w:eastAsia="Times New Roman"/>
          <w:color w:val="000000"/>
          <w:szCs w:val="20"/>
        </w:rPr>
        <w:t xml:space="preserve"> (this only includes plant material but does not include products containing </w:t>
      </w:r>
      <w:r w:rsidRPr="002D3213">
        <w:rPr>
          <w:rFonts w:eastAsia="Times New Roman"/>
          <w:i/>
          <w:iCs/>
          <w:color w:val="000000"/>
          <w:szCs w:val="20"/>
        </w:rPr>
        <w:t>Cannabis</w:t>
      </w:r>
      <w:r w:rsidRPr="002D3213">
        <w:rPr>
          <w:rFonts w:eastAsia="Times New Roman"/>
          <w:color w:val="000000"/>
          <w:szCs w:val="20"/>
        </w:rPr>
        <w:t>) and dry pet food. (see Chapter 2, Table 2-3. “Moisture Allowance</w:t>
      </w:r>
      <w:r w:rsidRPr="002D3213">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considerations</w:t>
      </w:r>
      <w:r w:rsidRPr="002D3213">
        <w:rPr>
          <w:rFonts w:eastAsia="Times New Roman"/>
          <w:color w:val="000000"/>
          <w:szCs w:val="20"/>
        </w:rPr>
        <w:t>”) These allowances are based on the premise that when the average net weight of a sample is found to be less than the labeled weight, but not by an amount that exceeds the allowable limit, either the lot is declared to be within the moisture allowance consideration or more information must be collected before deciding lot compliance or noncompliance.</w:t>
      </w:r>
    </w:p>
    <w:p w14:paraId="35BA165D" w14:textId="77777777" w:rsidR="002D3213" w:rsidRPr="002D3213" w:rsidRDefault="002D3213" w:rsidP="002D3213">
      <w:pPr>
        <w:spacing w:before="100" w:beforeAutospacing="1" w:after="100" w:afterAutospacing="1"/>
        <w:jc w:val="left"/>
        <w:rPr>
          <w:rFonts w:eastAsia="Times New Roman"/>
          <w:strike/>
          <w:color w:val="000000"/>
          <w:szCs w:val="20"/>
        </w:rPr>
      </w:pPr>
      <w:r w:rsidRPr="002D3213">
        <w:rPr>
          <w:rFonts w:eastAsia="Times New Roman"/>
          <w:strike/>
          <w:color w:val="000000"/>
          <w:szCs w:val="20"/>
        </w:rPr>
        <w:t>(Amended 2024)</w:t>
      </w:r>
    </w:p>
    <w:p w14:paraId="3EF8C4DA" w14:textId="77777777" w:rsidR="002D3213" w:rsidRPr="002D3213" w:rsidRDefault="002D3213" w:rsidP="002D3213">
      <w:pPr>
        <w:spacing w:before="100" w:beforeAutospacing="1" w:after="100" w:afterAutospacing="1"/>
        <w:jc w:val="left"/>
        <w:rPr>
          <w:rFonts w:eastAsia="Times New Roman"/>
          <w:strike/>
          <w:color w:val="000000"/>
          <w:szCs w:val="20"/>
        </w:rPr>
      </w:pPr>
      <w:r w:rsidRPr="002D3213">
        <w:rPr>
          <w:rFonts w:eastAsia="Times New Roman"/>
          <w:strike/>
          <w:color w:val="000000"/>
          <w:szCs w:val="20"/>
        </w:rPr>
        <w:t>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Appropriate enforcement should be taken on packages found short weight and outside of the “moisture allowance” or “gray area.”</w:t>
      </w:r>
    </w:p>
    <w:p w14:paraId="68A4BB94" w14:textId="77777777" w:rsidR="002D3213" w:rsidRPr="002D3213" w:rsidRDefault="002D3213" w:rsidP="002D3213">
      <w:pPr>
        <w:spacing w:before="100" w:beforeAutospacing="1" w:after="100" w:afterAutospacing="1"/>
        <w:jc w:val="left"/>
        <w:rPr>
          <w:rFonts w:eastAsia="Times New Roman"/>
          <w:color w:val="000000"/>
          <w:szCs w:val="20"/>
        </w:rPr>
      </w:pPr>
      <w:r w:rsidRPr="002D3213">
        <w:rPr>
          <w:rFonts w:eastAsia="Times New Roman"/>
          <w:color w:val="000000"/>
          <w:szCs w:val="20"/>
        </w:rPr>
        <w:t xml:space="preserve">(Amended 2010. 2024 </w:t>
      </w:r>
      <w:r w:rsidRPr="002D3213">
        <w:rPr>
          <w:rFonts w:eastAsia="Times New Roman"/>
          <w:b/>
          <w:bCs/>
          <w:color w:val="000000"/>
          <w:szCs w:val="20"/>
          <w:u w:val="single"/>
        </w:rPr>
        <w:t>and 20XX</w:t>
      </w:r>
      <w:r w:rsidRPr="002D3213">
        <w:rPr>
          <w:rFonts w:eastAsia="Times New Roman"/>
          <w:color w:val="000000"/>
          <w:szCs w:val="20"/>
        </w:rPr>
        <w:t>)</w:t>
      </w:r>
    </w:p>
    <w:p w14:paraId="12BD1B8C" w14:textId="77777777" w:rsidR="002D3213" w:rsidRPr="002D3213" w:rsidRDefault="002D3213" w:rsidP="002D3213">
      <w:pPr>
        <w:spacing w:after="160" w:line="259" w:lineRule="auto"/>
        <w:jc w:val="left"/>
        <w:rPr>
          <w:rFonts w:eastAsia="Aptos"/>
          <w:kern w:val="2"/>
          <w:szCs w:val="20"/>
          <w14:ligatures w14:val="standardContextual"/>
        </w:rPr>
      </w:pPr>
      <w:bookmarkStart w:id="303" w:name="_Toc446212220"/>
      <w:bookmarkStart w:id="304" w:name="_Toc486756332"/>
      <w:bookmarkStart w:id="305" w:name="_Toc487504873"/>
      <w:bookmarkStart w:id="306" w:name="_Toc237353858"/>
      <w:bookmarkStart w:id="307" w:name="_Toc237415646"/>
      <w:bookmarkStart w:id="308" w:name="_Toc237416620"/>
      <w:bookmarkStart w:id="309" w:name="_Toc237428912"/>
      <w:bookmarkStart w:id="310" w:name="_Toc325575161"/>
      <w:bookmarkStart w:id="311" w:name="_Toc464111586"/>
      <w:bookmarkStart w:id="312" w:name="_Toc464123813"/>
      <w:bookmarkStart w:id="313" w:name="_Toc111622723"/>
      <w:bookmarkStart w:id="314" w:name="_Toc176937681"/>
      <w:r w:rsidRPr="002D3213">
        <w:rPr>
          <w:rFonts w:eastAsia="Aptos"/>
          <w:kern w:val="2"/>
          <w:szCs w:val="20"/>
          <w14:ligatures w14:val="standardContextual"/>
        </w:rPr>
        <w:t xml:space="preserve">2.3.7 </w:t>
      </w:r>
      <w:r w:rsidRPr="002D3213">
        <w:rPr>
          <w:rFonts w:eastAsia="Aptos"/>
          <w:kern w:val="2"/>
          <w:szCs w:val="20"/>
          <w14:ligatures w14:val="standardContextual"/>
        </w:rPr>
        <w:tab/>
        <w:t>Evaluat</w:t>
      </w:r>
      <w:bookmarkEnd w:id="303"/>
      <w:bookmarkEnd w:id="304"/>
      <w:bookmarkEnd w:id="305"/>
      <w:bookmarkEnd w:id="306"/>
      <w:bookmarkEnd w:id="307"/>
      <w:bookmarkEnd w:id="308"/>
      <w:bookmarkEnd w:id="309"/>
      <w:r w:rsidRPr="002D3213">
        <w:rPr>
          <w:rFonts w:eastAsia="Aptos"/>
          <w:kern w:val="2"/>
          <w:szCs w:val="20"/>
          <w14:ligatures w14:val="standardContextual"/>
        </w:rPr>
        <w:t>e for Compliance</w:t>
      </w:r>
      <w:bookmarkEnd w:id="310"/>
      <w:bookmarkEnd w:id="311"/>
      <w:bookmarkEnd w:id="312"/>
      <w:bookmarkEnd w:id="313"/>
      <w:bookmarkEnd w:id="314"/>
      <w:r w:rsidRPr="002D3213">
        <w:rPr>
          <w:rFonts w:eastAsia="Aptos"/>
          <w:kern w:val="2"/>
          <w:szCs w:val="20"/>
          <w14:ligatures w14:val="standardContextual"/>
        </w:rPr>
        <w:t xml:space="preserve"> </w:t>
      </w:r>
      <w:r w:rsidRPr="002D3213">
        <w:rPr>
          <w:rFonts w:eastAsia="Aptos"/>
          <w:kern w:val="2"/>
          <w:szCs w:val="20"/>
          <w14:ligatures w14:val="standardContextual"/>
        </w:rPr>
        <w:fldChar w:fldCharType="begin"/>
      </w:r>
      <w:r w:rsidRPr="002D3213">
        <w:rPr>
          <w:rFonts w:eastAsia="Aptos"/>
          <w:kern w:val="2"/>
          <w:szCs w:val="20"/>
          <w14:ligatures w14:val="standardContextual"/>
        </w:rPr>
        <w:instrText xml:space="preserve"> XE "Evaluating Results:Compliance" </w:instrText>
      </w:r>
      <w:r w:rsidRPr="002D3213">
        <w:rPr>
          <w:rFonts w:eastAsia="Aptos"/>
          <w:kern w:val="2"/>
          <w:szCs w:val="20"/>
          <w14:ligatures w14:val="standardContextual"/>
        </w:rPr>
        <w:fldChar w:fldCharType="end"/>
      </w:r>
    </w:p>
    <w:p w14:paraId="7BD68A38" w14:textId="09ED32C2" w:rsidR="002D3213" w:rsidRPr="002D3213" w:rsidRDefault="002D3213" w:rsidP="002D3213">
      <w:pPr>
        <w:ind w:left="360"/>
        <w:rPr>
          <w:rFonts w:eastAsia="Times New Roman"/>
          <w:color w:val="000000"/>
          <w:sz w:val="22"/>
          <w:szCs w:val="20"/>
        </w:rPr>
      </w:pPr>
      <w:r w:rsidRPr="002D3213">
        <w:rPr>
          <w:rFonts w:eastAsia="Times New Roman"/>
          <w:color w:val="000000"/>
          <w:szCs w:val="20"/>
        </w:rPr>
        <w:t xml:space="preserve">This inspection lot will pass or fail based on the sample test results.  The following steps lead the inspector through the process to determine if a sample passes or fails.  If the product is </w:t>
      </w:r>
      <w:r w:rsidR="000E65C2" w:rsidRPr="002D3213">
        <w:rPr>
          <w:rFonts w:eastAsia="Times New Roman"/>
          <w:color w:val="000000"/>
          <w:szCs w:val="20"/>
        </w:rPr>
        <w:t>subject to</w:t>
      </w:r>
      <w:r w:rsidRPr="002D3213">
        <w:rPr>
          <w:rFonts w:eastAsia="Times New Roman"/>
          <w:color w:val="000000"/>
          <w:szCs w:val="20"/>
        </w:rPr>
        <w:t xml:space="preserve"> a moisture allowance consideration, follow the procedures under Section 2.3.8. “Moisture Allowances” to correct the MAV.</w:t>
      </w:r>
      <w:bookmarkStart w:id="315" w:name="_Toc291667223"/>
      <w:bookmarkStart w:id="316" w:name="_Toc446212222"/>
      <w:bookmarkStart w:id="317" w:name="_Toc486756334"/>
      <w:bookmarkStart w:id="318" w:name="_Toc237353860"/>
      <w:bookmarkStart w:id="319" w:name="_Toc237428914"/>
      <w:bookmarkStart w:id="320" w:name="_Toc325575162"/>
      <w:bookmarkStart w:id="321" w:name="_Toc464123814"/>
      <w:bookmarkStart w:id="322" w:name="_Toc111622724"/>
      <w:r w:rsidRPr="002D3213">
        <w:rPr>
          <w:rFonts w:eastAsia="Times New Roman"/>
          <w:b/>
          <w:bCs/>
          <w:color w:val="000000"/>
          <w:szCs w:val="20"/>
        </w:rPr>
        <w:t>2.3.7.1.</w:t>
      </w:r>
      <w:r w:rsidRPr="002D3213">
        <w:rPr>
          <w:rFonts w:eastAsia="Times New Roman"/>
          <w:color w:val="000000"/>
          <w:sz w:val="22"/>
          <w:szCs w:val="20"/>
        </w:rPr>
        <w:t xml:space="preserve">    </w:t>
      </w:r>
      <w:r w:rsidRPr="002D3213">
        <w:rPr>
          <w:rFonts w:eastAsia="Times New Roman"/>
          <w:b/>
          <w:bCs/>
          <w:color w:val="000000"/>
          <w:szCs w:val="20"/>
        </w:rPr>
        <w:t>Maximum Allowable Variation</w:t>
      </w:r>
      <w:bookmarkEnd w:id="315"/>
      <w:r w:rsidRPr="002D3213">
        <w:rPr>
          <w:rFonts w:eastAsia="Times New Roman"/>
          <w:b/>
          <w:bCs/>
          <w:color w:val="000000"/>
          <w:szCs w:val="20"/>
        </w:rPr>
        <w:fldChar w:fldCharType="begin"/>
      </w:r>
      <w:r w:rsidRPr="002D3213">
        <w:rPr>
          <w:rFonts w:eastAsia="Times New Roman"/>
          <w:b/>
          <w:bCs/>
          <w:color w:val="000000"/>
          <w:szCs w:val="20"/>
        </w:rPr>
        <w:instrText xml:space="preserve"> XE "Maximum Allowable Variation (MAV)" </w:instrText>
      </w:r>
      <w:r w:rsidRPr="002D3213">
        <w:rPr>
          <w:rFonts w:eastAsia="Times New Roman"/>
          <w:b/>
          <w:bCs/>
          <w:color w:val="000000"/>
          <w:szCs w:val="20"/>
        </w:rPr>
        <w:fldChar w:fldCharType="end"/>
      </w:r>
      <w:r w:rsidRPr="002D3213">
        <w:rPr>
          <w:rFonts w:eastAsia="Times New Roman"/>
          <w:b/>
          <w:bCs/>
          <w:color w:val="000000"/>
          <w:szCs w:val="20"/>
        </w:rPr>
        <w:t xml:space="preserve"> (MAV) Requirement</w:t>
      </w:r>
      <w:bookmarkEnd w:id="316"/>
      <w:bookmarkEnd w:id="317"/>
      <w:bookmarkEnd w:id="318"/>
      <w:bookmarkEnd w:id="319"/>
      <w:bookmarkEnd w:id="320"/>
      <w:bookmarkEnd w:id="321"/>
      <w:bookmarkEnd w:id="322"/>
    </w:p>
    <w:p w14:paraId="708187AB" w14:textId="77777777" w:rsidR="002D3213" w:rsidRPr="002D3213" w:rsidRDefault="002D3213" w:rsidP="002D3213">
      <w:pPr>
        <w:spacing w:after="160" w:line="259" w:lineRule="auto"/>
        <w:ind w:left="1440" w:hanging="360"/>
        <w:jc w:val="left"/>
        <w:rPr>
          <w:rFonts w:eastAsia="Times New Roman"/>
          <w:color w:val="000000"/>
          <w:szCs w:val="20"/>
        </w:rPr>
      </w:pPr>
      <w:r w:rsidRPr="002D3213">
        <w:rPr>
          <w:rFonts w:eastAsia="Times New Roman"/>
          <w:color w:val="000000"/>
          <w:szCs w:val="20"/>
        </w:rPr>
        <w:t>Compare each minus package error</w:t>
      </w:r>
      <w:r w:rsidRPr="002D3213">
        <w:rPr>
          <w:rFonts w:eastAsia="Times New Roman"/>
          <w:color w:val="000000"/>
          <w:szCs w:val="20"/>
        </w:rPr>
        <w:fldChar w:fldCharType="begin"/>
      </w:r>
      <w:r w:rsidRPr="002D3213">
        <w:rPr>
          <w:rFonts w:eastAsia="Times New Roman"/>
          <w:color w:val="000000"/>
          <w:szCs w:val="20"/>
        </w:rPr>
        <w:instrText xml:space="preserve"> XE “Packages:Errors” </w:instrText>
      </w:r>
      <w:r w:rsidRPr="002D3213">
        <w:rPr>
          <w:rFonts w:eastAsia="Times New Roman"/>
          <w:color w:val="000000"/>
          <w:szCs w:val="20"/>
        </w:rPr>
        <w:fldChar w:fldCharType="end"/>
      </w:r>
      <w:r w:rsidRPr="002D3213">
        <w:rPr>
          <w:rFonts w:eastAsia="Times New Roman"/>
          <w:color w:val="000000"/>
          <w:szCs w:val="20"/>
        </w:rPr>
        <w:t xml:space="preserve"> with the MAV recorded in Box 3 or Box 4 (if using dimensionless units</w:t>
      </w:r>
      <w:r w:rsidRPr="002D3213">
        <w:rPr>
          <w:rFonts w:eastAsia="Times New Roman"/>
          <w:color w:val="000000"/>
          <w:szCs w:val="20"/>
        </w:rPr>
        <w:fldChar w:fldCharType="begin"/>
      </w:r>
      <w:r w:rsidRPr="002D3213">
        <w:rPr>
          <w:rFonts w:eastAsia="Times New Roman"/>
          <w:color w:val="000000"/>
          <w:szCs w:val="20"/>
        </w:rPr>
        <w:instrText xml:space="preserve"> XE "Dimensionless Units" </w:instrText>
      </w:r>
      <w:r w:rsidRPr="002D3213">
        <w:rPr>
          <w:rFonts w:eastAsia="Times New Roman"/>
          <w:color w:val="000000"/>
          <w:szCs w:val="20"/>
        </w:rPr>
        <w:fldChar w:fldCharType="end"/>
      </w:r>
      <w:r w:rsidRPr="002D3213">
        <w:rPr>
          <w:rFonts w:eastAsia="Times New Roman"/>
          <w:color w:val="000000"/>
          <w:szCs w:val="20"/>
        </w:rPr>
        <w:t>).  Circle the package errors that exceed the MAV.  These are “Unreasonable Minus Errors.”  Record the number of unreasonable minus errors found in the sample in Box 16.</w:t>
      </w:r>
    </w:p>
    <w:p w14:paraId="343E98BE" w14:textId="77777777" w:rsidR="002D3213" w:rsidRPr="002D3213" w:rsidRDefault="002D3213" w:rsidP="002D3213">
      <w:pPr>
        <w:ind w:left="1440" w:hanging="360"/>
        <w:jc w:val="left"/>
        <w:rPr>
          <w:rFonts w:eastAsia="Times New Roman"/>
          <w:color w:val="000000"/>
          <w:szCs w:val="20"/>
        </w:rPr>
      </w:pPr>
      <w:r w:rsidRPr="002D3213">
        <w:rPr>
          <w:rFonts w:eastAsia="Times New Roman"/>
          <w:color w:val="000000"/>
          <w:szCs w:val="20"/>
        </w:rPr>
        <w:t>Compare the number in Box 16 with the number of unreasonable errors allowed (recorded in Box 8).  If the number found exceeds the allowed number, the lot fails.  Record in Box 17 whether the number of unreasonable errors found is less or more than allowed.</w:t>
      </w:r>
    </w:p>
    <w:p w14:paraId="607680F8" w14:textId="28F296B0" w:rsidR="002D3213" w:rsidRPr="002D3213" w:rsidRDefault="002D3213" w:rsidP="002D3213">
      <w:pPr>
        <w:spacing w:after="0"/>
        <w:ind w:left="1080"/>
        <w:rPr>
          <w:rFonts w:eastAsia="Times New Roman"/>
          <w:color w:val="000000"/>
          <w:szCs w:val="20"/>
        </w:rPr>
      </w:pPr>
      <w:bookmarkStart w:id="323" w:name="_Hlk105937129"/>
      <w:r w:rsidRPr="002D3213">
        <w:rPr>
          <w:rFonts w:eastAsia="Times New Roman"/>
          <w:b/>
          <w:bCs/>
          <w:color w:val="000000"/>
          <w:szCs w:val="20"/>
        </w:rPr>
        <w:t>Note</w:t>
      </w:r>
      <w:r w:rsidRPr="002D3213">
        <w:rPr>
          <w:rFonts w:eastAsia="Times New Roman"/>
          <w:color w:val="000000"/>
          <w:szCs w:val="20"/>
        </w:rPr>
        <w:t>: If a total quantity declaration on a multiunit or variety package is being verified, and the MAV applied is not based on a percent of the labeled quantity (see Section 1.2.4.1. “Total Quantity MAV for Multiunit and Variety Packages).</w:t>
      </w:r>
    </w:p>
    <w:p w14:paraId="3D3EA307" w14:textId="77777777" w:rsidR="002D3213" w:rsidRPr="002D3213" w:rsidRDefault="002D3213" w:rsidP="002D3213">
      <w:pPr>
        <w:spacing w:before="60"/>
        <w:ind w:left="1080"/>
        <w:rPr>
          <w:rFonts w:eastAsia="Times New Roman"/>
          <w:color w:val="000000"/>
          <w:szCs w:val="20"/>
        </w:rPr>
      </w:pPr>
      <w:r w:rsidRPr="002D3213">
        <w:rPr>
          <w:rFonts w:eastAsia="Times New Roman"/>
          <w:color w:val="000000"/>
          <w:szCs w:val="20"/>
        </w:rPr>
        <w:t>(Note Added 2022)</w:t>
      </w:r>
    </w:p>
    <w:p w14:paraId="270123D4" w14:textId="77777777" w:rsidR="002D3213" w:rsidRPr="002D3213" w:rsidRDefault="002D3213" w:rsidP="002D3213">
      <w:pPr>
        <w:spacing w:after="160" w:line="259" w:lineRule="auto"/>
        <w:ind w:firstLine="720"/>
        <w:jc w:val="left"/>
        <w:rPr>
          <w:rFonts w:eastAsia="Aptos"/>
          <w:b/>
          <w:bCs/>
          <w:kern w:val="2"/>
          <w:szCs w:val="20"/>
          <w14:ligatures w14:val="standardContextual"/>
        </w:rPr>
      </w:pPr>
      <w:bookmarkStart w:id="324" w:name="_Toc446212224"/>
      <w:bookmarkStart w:id="325" w:name="_Toc486756336"/>
      <w:bookmarkStart w:id="326" w:name="_Toc237353862"/>
      <w:bookmarkStart w:id="327" w:name="_Toc237428916"/>
      <w:bookmarkStart w:id="328" w:name="_Toc325575163"/>
      <w:bookmarkStart w:id="329" w:name="_Toc464123815"/>
      <w:bookmarkStart w:id="330" w:name="_Toc111622725"/>
      <w:bookmarkEnd w:id="323"/>
      <w:r w:rsidRPr="002D3213">
        <w:rPr>
          <w:rFonts w:eastAsia="Aptos"/>
          <w:b/>
          <w:bCs/>
          <w:kern w:val="2"/>
          <w:szCs w:val="20"/>
          <w14:ligatures w14:val="standardContextual"/>
        </w:rPr>
        <w:t>2.3.7.2.     Average Requirement</w:t>
      </w:r>
      <w:bookmarkEnd w:id="324"/>
      <w:bookmarkEnd w:id="325"/>
      <w:bookmarkEnd w:id="326"/>
      <w:bookmarkEnd w:id="327"/>
      <w:bookmarkEnd w:id="328"/>
      <w:bookmarkEnd w:id="329"/>
      <w:bookmarkEnd w:id="330"/>
    </w:p>
    <w:p w14:paraId="42D4D8AC" w14:textId="78EDAA01" w:rsidR="001E01A5" w:rsidRPr="00AA1087" w:rsidRDefault="009D2986" w:rsidP="009D2986">
      <w:pPr>
        <w:spacing w:after="0" w:line="259" w:lineRule="auto"/>
        <w:jc w:val="left"/>
        <w:rPr>
          <w:rFonts w:eastAsia="Times New Roman"/>
          <w:b/>
          <w:bCs/>
          <w:color w:val="000000"/>
          <w:szCs w:val="20"/>
        </w:rPr>
      </w:pPr>
      <w:r>
        <w:rPr>
          <w:rFonts w:eastAsia="Times New Roman"/>
          <w:b/>
          <w:bCs/>
          <w:color w:val="000000"/>
          <w:szCs w:val="20"/>
        </w:rPr>
        <w:t>…</w:t>
      </w:r>
      <w:bookmarkStart w:id="331" w:name="_Hlk191881677"/>
    </w:p>
    <w:bookmarkEnd w:id="331"/>
    <w:p w14:paraId="71C83F26" w14:textId="24A78C59" w:rsidR="002D3213" w:rsidRDefault="001E01A5" w:rsidP="002D3213">
      <w:pPr>
        <w:spacing w:after="160" w:line="259" w:lineRule="auto"/>
        <w:ind w:left="1800" w:hanging="360"/>
        <w:jc w:val="left"/>
        <w:rPr>
          <w:rFonts w:eastAsia="Times New Roman"/>
          <w:color w:val="000000"/>
          <w:szCs w:val="20"/>
        </w:rPr>
      </w:pPr>
      <w:r>
        <w:rPr>
          <w:rFonts w:eastAsia="Times New Roman"/>
          <w:color w:val="000000"/>
          <w:szCs w:val="20"/>
        </w:rPr>
        <w:t xml:space="preserve">4. </w:t>
      </w:r>
      <w:r w:rsidR="002D3213" w:rsidRPr="002D3213">
        <w:rPr>
          <w:rFonts w:eastAsia="Times New Roman"/>
          <w:color w:val="000000"/>
          <w:szCs w:val="20"/>
        </w:rPr>
        <w:t>Compliance Evaluation of the Average Error:</w:t>
      </w:r>
    </w:p>
    <w:p w14:paraId="16EDCEE9" w14:textId="4507AAD2" w:rsidR="00C51763" w:rsidRPr="00421C06" w:rsidRDefault="009D2986" w:rsidP="009D2986">
      <w:pPr>
        <w:spacing w:after="0" w:line="259" w:lineRule="auto"/>
        <w:jc w:val="left"/>
        <w:rPr>
          <w:rFonts w:eastAsia="Times New Roman"/>
          <w:b/>
          <w:bCs/>
          <w:color w:val="000000"/>
          <w:szCs w:val="20"/>
        </w:rPr>
      </w:pPr>
      <w:r>
        <w:rPr>
          <w:rFonts w:eastAsia="Times New Roman"/>
          <w:b/>
          <w:bCs/>
          <w:color w:val="000000"/>
          <w:szCs w:val="20"/>
        </w:rPr>
        <w:t>…</w:t>
      </w:r>
    </w:p>
    <w:p w14:paraId="2A2B8B6B" w14:textId="3717E76E" w:rsidR="002D3213" w:rsidRPr="006E0510" w:rsidRDefault="002D3213" w:rsidP="0076491B">
      <w:pPr>
        <w:pStyle w:val="ListParagraph"/>
        <w:numPr>
          <w:ilvl w:val="0"/>
          <w:numId w:val="44"/>
        </w:numPr>
        <w:spacing w:after="0"/>
        <w:rPr>
          <w:rFonts w:eastAsia="Times New Roman"/>
          <w:color w:val="000000"/>
          <w:szCs w:val="20"/>
        </w:rPr>
      </w:pPr>
      <w:r w:rsidRPr="006E0510">
        <w:rPr>
          <w:rFonts w:eastAsia="Times New Roman"/>
          <w:color w:val="000000"/>
          <w:szCs w:val="20"/>
        </w:rPr>
        <w:lastRenderedPageBreak/>
        <w:t>If the value of the Average Error (disregarding the sign) (Box 18) is larger than the Sample Error Limit (Box 23), the sample fails.  However, if the product is subject to moisture loss, the sample does not necessarily fail.  Follow the procedures under “Moisture Allowance</w:t>
      </w:r>
      <w:r w:rsidRPr="00882707">
        <w:rPr>
          <w:rFonts w:eastAsia="Times New Roman"/>
          <w:strike/>
          <w:color w:val="000000"/>
          <w:szCs w:val="20"/>
        </w:rPr>
        <w:t>s</w:t>
      </w:r>
      <w:r w:rsidRPr="006E0510">
        <w:rPr>
          <w:rFonts w:eastAsia="Times New Roman"/>
          <w:color w:val="000000"/>
          <w:szCs w:val="20"/>
        </w:rPr>
        <w:t xml:space="preserve"> </w:t>
      </w:r>
      <w:r w:rsidRPr="006E0510">
        <w:rPr>
          <w:rFonts w:eastAsia="Times New Roman"/>
          <w:b/>
          <w:bCs/>
          <w:color w:val="000000"/>
          <w:szCs w:val="20"/>
          <w:u w:val="single"/>
        </w:rPr>
        <w:t>Considerations</w:t>
      </w:r>
      <w:r w:rsidRPr="006E0510">
        <w:rPr>
          <w:rFonts w:eastAsia="Times New Roman"/>
          <w:color w:val="000000"/>
          <w:szCs w:val="20"/>
        </w:rPr>
        <w:t>” in this chapter.</w:t>
      </w:r>
    </w:p>
    <w:p w14:paraId="325AF350" w14:textId="23AE6F0E" w:rsidR="002D3213" w:rsidRPr="002D3213" w:rsidRDefault="002D3213" w:rsidP="002D3213">
      <w:pPr>
        <w:spacing w:before="60" w:after="0"/>
        <w:ind w:left="720"/>
        <w:rPr>
          <w:rFonts w:eastAsia="Times New Roman"/>
          <w:color w:val="000000"/>
          <w:szCs w:val="20"/>
        </w:rPr>
      </w:pPr>
      <w:r w:rsidRPr="002D3213">
        <w:rPr>
          <w:rFonts w:eastAsia="Times New Roman"/>
          <w:color w:val="000000"/>
          <w:szCs w:val="20"/>
        </w:rPr>
        <w:t xml:space="preserve">(Amended </w:t>
      </w:r>
      <w:r w:rsidR="00AA1087">
        <w:rPr>
          <w:rFonts w:eastAsia="Times New Roman"/>
          <w:color w:val="000000"/>
          <w:szCs w:val="20"/>
        </w:rPr>
        <w:t xml:space="preserve">2018, </w:t>
      </w:r>
      <w:r w:rsidRPr="002D3213">
        <w:rPr>
          <w:rFonts w:eastAsia="Times New Roman"/>
          <w:color w:val="000000"/>
          <w:szCs w:val="20"/>
        </w:rPr>
        <w:t xml:space="preserve">2022 and 20XX) </w:t>
      </w:r>
    </w:p>
    <w:p w14:paraId="66350493" w14:textId="77777777" w:rsidR="002D3213" w:rsidRPr="002D3213" w:rsidRDefault="002D3213" w:rsidP="002D3213">
      <w:pPr>
        <w:spacing w:before="60" w:after="0"/>
        <w:ind w:left="720"/>
        <w:rPr>
          <w:rFonts w:eastAsia="Times New Roman"/>
          <w:color w:val="000000"/>
          <w:szCs w:val="20"/>
        </w:rPr>
      </w:pPr>
    </w:p>
    <w:p w14:paraId="1AFD644E" w14:textId="77777777" w:rsidR="002D3213" w:rsidRPr="002D3213" w:rsidRDefault="002D3213" w:rsidP="002D3213">
      <w:pPr>
        <w:spacing w:after="160" w:line="259" w:lineRule="auto"/>
        <w:ind w:firstLine="360"/>
        <w:jc w:val="left"/>
        <w:rPr>
          <w:rFonts w:eastAsia="Aptos"/>
          <w:b/>
          <w:bCs/>
          <w:kern w:val="2"/>
          <w:szCs w:val="20"/>
          <w14:ligatures w14:val="standardContextual"/>
        </w:rPr>
      </w:pPr>
      <w:bookmarkStart w:id="332" w:name="_Toc487504874"/>
      <w:bookmarkStart w:id="333" w:name="_Toc237353863"/>
      <w:bookmarkStart w:id="334" w:name="_Toc237415649"/>
      <w:bookmarkStart w:id="335" w:name="_Toc237416623"/>
      <w:bookmarkStart w:id="336" w:name="_Toc237428919"/>
      <w:bookmarkStart w:id="337" w:name="_Toc325575164"/>
      <w:bookmarkStart w:id="338" w:name="_Toc291667226"/>
      <w:bookmarkStart w:id="339" w:name="_Toc464111587"/>
      <w:bookmarkStart w:id="340" w:name="_Toc464123816"/>
      <w:bookmarkStart w:id="341" w:name="_Toc111622726"/>
      <w:bookmarkStart w:id="342" w:name="_Toc176937682"/>
      <w:bookmarkStart w:id="343" w:name="_Toc446212226"/>
      <w:bookmarkStart w:id="344" w:name="_Toc486756338"/>
      <w:r w:rsidRPr="002D3213">
        <w:rPr>
          <w:rFonts w:eastAsia="Aptos"/>
          <w:b/>
          <w:bCs/>
          <w:kern w:val="2"/>
          <w:szCs w:val="20"/>
          <w14:ligatures w14:val="standardContextual"/>
        </w:rPr>
        <w:t>2.3.8. Moisture Allowances</w:t>
      </w:r>
      <w:bookmarkEnd w:id="332"/>
      <w:bookmarkEnd w:id="333"/>
      <w:bookmarkEnd w:id="334"/>
      <w:bookmarkEnd w:id="335"/>
      <w:bookmarkEnd w:id="336"/>
      <w:bookmarkEnd w:id="337"/>
      <w:bookmarkEnd w:id="338"/>
      <w:bookmarkEnd w:id="339"/>
      <w:bookmarkEnd w:id="340"/>
      <w:bookmarkEnd w:id="341"/>
      <w:bookmarkEnd w:id="342"/>
      <w:r w:rsidRPr="002D3213">
        <w:rPr>
          <w:rFonts w:eastAsia="Aptos"/>
          <w:b/>
          <w:bCs/>
          <w:kern w:val="2"/>
          <w:szCs w:val="20"/>
          <w14:ligatures w14:val="standardContextual"/>
        </w:rPr>
        <w:fldChar w:fldCharType="begin"/>
      </w:r>
      <w:r w:rsidRPr="002D3213">
        <w:rPr>
          <w:rFonts w:eastAsia="Aptos"/>
          <w:b/>
          <w:bCs/>
          <w:kern w:val="2"/>
          <w:szCs w:val="20"/>
          <w14:ligatures w14:val="standardContextual"/>
        </w:rPr>
        <w:instrText xml:space="preserve"> XE "Moisture Allowances" </w:instrText>
      </w:r>
      <w:r w:rsidRPr="002D3213">
        <w:rPr>
          <w:rFonts w:eastAsia="Aptos"/>
          <w:b/>
          <w:bCs/>
          <w:kern w:val="2"/>
          <w:szCs w:val="20"/>
          <w14:ligatures w14:val="standardContextual"/>
        </w:rPr>
        <w:fldChar w:fldCharType="end"/>
      </w:r>
    </w:p>
    <w:p w14:paraId="05FDC334" w14:textId="77777777" w:rsidR="002D3213" w:rsidRPr="002D3213" w:rsidRDefault="002D3213" w:rsidP="002D3213">
      <w:pPr>
        <w:spacing w:after="0"/>
        <w:ind w:left="360"/>
        <w:rPr>
          <w:rFonts w:eastAsia="Times New Roman"/>
          <w:iCs/>
          <w:color w:val="000000"/>
          <w:szCs w:val="20"/>
        </w:rPr>
      </w:pPr>
      <w:r w:rsidRPr="002D3213">
        <w:rPr>
          <w:rFonts w:eastAsia="Times New Roman"/>
          <w:iCs/>
          <w:color w:val="000000"/>
          <w:szCs w:val="20"/>
        </w:rPr>
        <w:t xml:space="preserve">When no predetermined allowance is found in NIST Handbook 133, the potential for moisture loss must be considered.  Inspectors should follow their jurisdiction’s guidance for making their determination on an acceptable moisture allowance </w:t>
      </w:r>
      <w:r w:rsidRPr="002D3213">
        <w:rPr>
          <w:rFonts w:eastAsia="Times New Roman"/>
          <w:b/>
          <w:bCs/>
          <w:iCs/>
          <w:color w:val="000000"/>
          <w:szCs w:val="20"/>
          <w:u w:val="single"/>
        </w:rPr>
        <w:t>consideration</w:t>
      </w:r>
      <w:r w:rsidRPr="002D3213">
        <w:rPr>
          <w:rFonts w:eastAsia="Times New Roman"/>
          <w:iCs/>
          <w:color w:val="000000"/>
          <w:szCs w:val="20"/>
        </w:rPr>
        <w:t>.</w:t>
      </w:r>
    </w:p>
    <w:p w14:paraId="73366493" w14:textId="77777777" w:rsidR="002D3213" w:rsidRPr="002D3213" w:rsidRDefault="002D3213" w:rsidP="002D3213">
      <w:pPr>
        <w:spacing w:before="60"/>
        <w:ind w:left="360"/>
        <w:rPr>
          <w:rFonts w:eastAsia="Times New Roman"/>
          <w:color w:val="000000"/>
          <w:szCs w:val="20"/>
        </w:rPr>
      </w:pPr>
      <w:r w:rsidRPr="002D3213">
        <w:rPr>
          <w:rFonts w:eastAsia="Times New Roman"/>
          <w:color w:val="000000"/>
          <w:szCs w:val="20"/>
        </w:rPr>
        <w:t xml:space="preserve">(Added 2010) </w:t>
      </w:r>
      <w:r w:rsidRPr="002D3213">
        <w:rPr>
          <w:rFonts w:eastAsia="Times New Roman"/>
          <w:b/>
          <w:bCs/>
          <w:color w:val="000000"/>
          <w:szCs w:val="20"/>
          <w:u w:val="single"/>
        </w:rPr>
        <w:t>(Amended 20XX)</w:t>
      </w:r>
    </w:p>
    <w:p w14:paraId="08BD4E92" w14:textId="77777777" w:rsidR="002D3213" w:rsidRPr="002D3213" w:rsidRDefault="002D3213" w:rsidP="002D3213">
      <w:pPr>
        <w:ind w:left="360"/>
        <w:rPr>
          <w:rFonts w:eastAsia="Times New Roman"/>
          <w:color w:val="000000"/>
          <w:szCs w:val="20"/>
        </w:rPr>
      </w:pPr>
      <w:r w:rsidRPr="002D3213">
        <w:rPr>
          <w:rFonts w:eastAsia="Times New Roman"/>
          <w:color w:val="000000"/>
          <w:szCs w:val="20"/>
        </w:rPr>
        <w:t>If the product tested is subject to moisture loss, provide for the moisture allowance by following one of the two procedures listed below.</w:t>
      </w:r>
      <w:bookmarkEnd w:id="343"/>
      <w:bookmarkEnd w:id="344"/>
    </w:p>
    <w:p w14:paraId="617BF18E" w14:textId="37FDD182" w:rsidR="002D3213" w:rsidRPr="002D3213" w:rsidRDefault="002D3213" w:rsidP="002D3213">
      <w:pPr>
        <w:spacing w:after="160" w:line="259" w:lineRule="auto"/>
        <w:jc w:val="left"/>
        <w:rPr>
          <w:rFonts w:eastAsia="Aptos"/>
          <w:b/>
          <w:bCs/>
          <w:kern w:val="2"/>
          <w:szCs w:val="20"/>
          <w:u w:val="single"/>
          <w14:ligatures w14:val="standardContextual"/>
        </w:rPr>
      </w:pPr>
      <w:bookmarkStart w:id="345" w:name="_Toc325575165"/>
      <w:bookmarkStart w:id="346" w:name="_Toc464123817"/>
      <w:bookmarkStart w:id="347" w:name="_Toc111622727"/>
      <w:r w:rsidRPr="002D3213">
        <w:rPr>
          <w:rFonts w:eastAsia="Aptos"/>
          <w:b/>
          <w:bCs/>
          <w:kern w:val="2"/>
          <w:szCs w:val="20"/>
          <w:u w:val="single"/>
          <w14:ligatures w14:val="standardContextual"/>
        </w:rPr>
        <w:t>2.3</w:t>
      </w:r>
      <w:r w:rsidR="00232946">
        <w:rPr>
          <w:rFonts w:eastAsia="Aptos"/>
          <w:b/>
          <w:bCs/>
          <w:kern w:val="2"/>
          <w:szCs w:val="20"/>
          <w:u w:val="single"/>
          <w14:ligatures w14:val="standardContextual"/>
        </w:rPr>
        <w:t>.</w:t>
      </w:r>
      <w:r w:rsidRPr="002D3213">
        <w:rPr>
          <w:rFonts w:eastAsia="Aptos"/>
          <w:b/>
          <w:bCs/>
          <w:kern w:val="2"/>
          <w:szCs w:val="20"/>
          <w:u w:val="single"/>
          <w14:ligatures w14:val="standardContextual"/>
        </w:rPr>
        <w:t>8.1 Applying Moisture Loss before Determining Package Errors</w:t>
      </w:r>
      <w:bookmarkEnd w:id="345"/>
      <w:bookmarkEnd w:id="346"/>
      <w:bookmarkEnd w:id="347"/>
    </w:p>
    <w:p w14:paraId="6AEECF77" w14:textId="77777777" w:rsidR="002D3213" w:rsidRPr="002D3213" w:rsidRDefault="002D3213" w:rsidP="002D3213">
      <w:pPr>
        <w:spacing w:after="160" w:line="259" w:lineRule="auto"/>
        <w:ind w:left="1800" w:hanging="360"/>
        <w:jc w:val="left"/>
        <w:rPr>
          <w:rFonts w:eastAsia="Times New Roman"/>
          <w:color w:val="000000"/>
          <w:szCs w:val="20"/>
        </w:rPr>
      </w:pPr>
      <w:r w:rsidRPr="002D3213">
        <w:rPr>
          <w:rFonts w:eastAsia="Times New Roman"/>
          <w:color w:val="000000"/>
          <w:szCs w:val="20"/>
        </w:rPr>
        <w:t>Determine the percent value of the moisture allowance if the product is listed below</w:t>
      </w:r>
      <w:r w:rsidRPr="002D3213">
        <w:rPr>
          <w:rFonts w:eastAsia="Times New Roman"/>
          <w:color w:val="000000"/>
          <w:szCs w:val="20"/>
        </w:rPr>
        <w:fldChar w:fldCharType="begin"/>
      </w:r>
      <w:r w:rsidRPr="002D3213">
        <w:rPr>
          <w:rFonts w:eastAsia="Times New Roman"/>
          <w:color w:val="000000"/>
          <w:szCs w:val="20"/>
        </w:rPr>
        <w:instrText xml:space="preserve"> XE "Packages:Errors" </w:instrText>
      </w:r>
      <w:r w:rsidRPr="002D3213">
        <w:rPr>
          <w:rFonts w:eastAsia="Times New Roman"/>
          <w:color w:val="000000"/>
          <w:szCs w:val="20"/>
        </w:rPr>
        <w:fldChar w:fldCharType="end"/>
      </w:r>
      <w:r w:rsidRPr="002D3213">
        <w:rPr>
          <w:rFonts w:eastAsia="Times New Roman"/>
          <w:color w:val="000000"/>
          <w:szCs w:val="20"/>
        </w:rPr>
        <w:t>.  (see Table 2-3. “Moisture Allowance</w:t>
      </w:r>
      <w:r w:rsidRPr="002D3213">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Considerations</w:t>
      </w:r>
      <w:r w:rsidRPr="002D3213">
        <w:rPr>
          <w:rFonts w:eastAsia="Times New Roman"/>
          <w:color w:val="000000"/>
          <w:szCs w:val="20"/>
        </w:rPr>
        <w:t>.”)</w:t>
      </w:r>
    </w:p>
    <w:tbl>
      <w:tblPr>
        <w:tblW w:w="9360" w:type="dxa"/>
        <w:tblInd w:w="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43" w:type="dxa"/>
          <w:bottom w:w="43" w:type="dxa"/>
        </w:tblCellMar>
        <w:tblLook w:val="01E0" w:firstRow="1" w:lastRow="1" w:firstColumn="1" w:lastColumn="1" w:noHBand="0" w:noVBand="0"/>
        <w:tblCaption w:val="Table 2-3.  Moisture Allowances"/>
        <w:tblDescription w:val="Table provides moisture allowances for various commodities for example, flour, dry pet food, Borax, fresh poultry, frank/hot dogs/ bacon, fresh sausage, and luncheon meats. "/>
      </w:tblPr>
      <w:tblGrid>
        <w:gridCol w:w="2160"/>
        <w:gridCol w:w="1710"/>
        <w:gridCol w:w="5490"/>
      </w:tblGrid>
      <w:tr w:rsidR="002D3213" w:rsidRPr="002D3213" w14:paraId="736BD504" w14:textId="77777777" w:rsidTr="00A906A7">
        <w:trPr>
          <w:trHeight w:val="452"/>
          <w:tblHeader/>
        </w:trPr>
        <w:tc>
          <w:tcPr>
            <w:tcW w:w="9360" w:type="dxa"/>
            <w:gridSpan w:val="3"/>
            <w:tcBorders>
              <w:top w:val="double" w:sz="6" w:space="0" w:color="auto"/>
              <w:bottom w:val="double" w:sz="6" w:space="0" w:color="auto"/>
            </w:tcBorders>
            <w:vAlign w:val="center"/>
          </w:tcPr>
          <w:p w14:paraId="669A043C" w14:textId="77777777" w:rsidR="002D3213" w:rsidRPr="002D3213" w:rsidRDefault="002D3213" w:rsidP="002D3213">
            <w:pPr>
              <w:keepNext/>
              <w:keepLines/>
              <w:spacing w:after="0"/>
              <w:jc w:val="center"/>
              <w:rPr>
                <w:rFonts w:eastAsia="Times New Roman"/>
                <w:b/>
                <w:color w:val="000000"/>
                <w:szCs w:val="20"/>
                <w:lang w:val="x-none" w:eastAsia="x-none"/>
              </w:rPr>
            </w:pPr>
            <w:r w:rsidRPr="002D3213">
              <w:rPr>
                <w:rFonts w:eastAsia="Times New Roman"/>
                <w:b/>
                <w:color w:val="000000"/>
                <w:szCs w:val="20"/>
                <w:lang w:val="x-none" w:eastAsia="x-none"/>
              </w:rPr>
              <w:lastRenderedPageBreak/>
              <w:t>Table 2-3.</w:t>
            </w:r>
          </w:p>
          <w:p w14:paraId="3DA16350" w14:textId="77777777" w:rsidR="002D3213" w:rsidRPr="002D3213" w:rsidRDefault="002D3213" w:rsidP="002D3213">
            <w:pPr>
              <w:keepNext/>
              <w:keepLines/>
              <w:spacing w:after="0"/>
              <w:jc w:val="center"/>
              <w:rPr>
                <w:rFonts w:eastAsia="Times New Roman"/>
                <w:b/>
                <w:color w:val="000000"/>
                <w:szCs w:val="20"/>
                <w:lang w:val="x-none" w:eastAsia="x-none"/>
              </w:rPr>
            </w:pPr>
            <w:r w:rsidRPr="002D3213">
              <w:rPr>
                <w:rFonts w:eastAsia="Times New Roman"/>
                <w:b/>
                <w:color w:val="000000"/>
                <w:szCs w:val="20"/>
                <w:lang w:val="x-none" w:eastAsia="x-none"/>
              </w:rPr>
              <w:t>Moisture Allowance</w:t>
            </w:r>
            <w:r w:rsidRPr="002D3213">
              <w:rPr>
                <w:rFonts w:eastAsia="Times New Roman"/>
                <w:b/>
                <w:strike/>
                <w:color w:val="000000"/>
                <w:szCs w:val="20"/>
                <w:lang w:val="x-none" w:eastAsia="x-none"/>
              </w:rPr>
              <w:t xml:space="preserve">s </w:t>
            </w:r>
            <w:r w:rsidRPr="002D3213">
              <w:rPr>
                <w:rFonts w:eastAsia="Times New Roman"/>
                <w:b/>
                <w:color w:val="000000"/>
                <w:szCs w:val="20"/>
                <w:u w:val="single"/>
                <w:lang w:val="x-none" w:eastAsia="x-none"/>
              </w:rPr>
              <w:t>Considerations</w:t>
            </w:r>
            <w:r w:rsidRPr="002D3213">
              <w:rPr>
                <w:rFonts w:eastAsia="Times New Roman"/>
                <w:b/>
                <w:color w:val="000000"/>
                <w:szCs w:val="20"/>
                <w:lang w:val="x-none" w:eastAsia="x-none"/>
              </w:rPr>
              <w:fldChar w:fldCharType="begin"/>
            </w:r>
            <w:r w:rsidRPr="002D3213">
              <w:rPr>
                <w:rFonts w:eastAsia="Times New Roman"/>
                <w:b/>
                <w:color w:val="000000"/>
                <w:szCs w:val="20"/>
                <w:lang w:val="x-none" w:eastAsia="x-none"/>
              </w:rPr>
              <w:instrText xml:space="preserve"> XE "Moisture Allowances" </w:instrText>
            </w:r>
            <w:r w:rsidRPr="002D3213">
              <w:rPr>
                <w:rFonts w:eastAsia="Times New Roman"/>
                <w:b/>
                <w:color w:val="000000"/>
                <w:szCs w:val="20"/>
                <w:lang w:val="x-none" w:eastAsia="x-none"/>
              </w:rPr>
              <w:fldChar w:fldCharType="end"/>
            </w:r>
          </w:p>
        </w:tc>
      </w:tr>
      <w:tr w:rsidR="002D3213" w:rsidRPr="002D3213" w14:paraId="7785AF3B" w14:textId="77777777" w:rsidTr="00A906A7">
        <w:trPr>
          <w:trHeight w:val="675"/>
        </w:trPr>
        <w:tc>
          <w:tcPr>
            <w:tcW w:w="2160" w:type="dxa"/>
            <w:tcBorders>
              <w:top w:val="double" w:sz="6" w:space="0" w:color="auto"/>
              <w:bottom w:val="double" w:sz="6" w:space="0" w:color="auto"/>
            </w:tcBorders>
            <w:vAlign w:val="center"/>
          </w:tcPr>
          <w:p w14:paraId="0AD7FC4F" w14:textId="77777777" w:rsidR="002D3213" w:rsidRPr="002D3213" w:rsidRDefault="002D3213" w:rsidP="002D3213">
            <w:pPr>
              <w:keepNext/>
              <w:keepLines/>
              <w:autoSpaceDE w:val="0"/>
              <w:spacing w:after="0"/>
              <w:jc w:val="center"/>
              <w:rPr>
                <w:rFonts w:eastAsia="Times New Roman"/>
                <w:b/>
                <w:color w:val="000000"/>
                <w:szCs w:val="20"/>
                <w:u w:val="single"/>
              </w:rPr>
            </w:pPr>
            <w:r w:rsidRPr="002D3213">
              <w:rPr>
                <w:rFonts w:eastAsia="Times New Roman"/>
                <w:b/>
                <w:color w:val="000000"/>
                <w:szCs w:val="20"/>
              </w:rPr>
              <w:t>Verifying the labeled net weight of packages of:</w:t>
            </w:r>
          </w:p>
        </w:tc>
        <w:tc>
          <w:tcPr>
            <w:tcW w:w="1710" w:type="dxa"/>
            <w:tcBorders>
              <w:top w:val="double" w:sz="6" w:space="0" w:color="auto"/>
              <w:bottom w:val="double" w:sz="6" w:space="0" w:color="auto"/>
            </w:tcBorders>
            <w:vAlign w:val="center"/>
          </w:tcPr>
          <w:p w14:paraId="1AF70DEF" w14:textId="77777777" w:rsidR="002D3213" w:rsidRPr="002D3213" w:rsidRDefault="002D3213" w:rsidP="002D3213">
            <w:pPr>
              <w:keepNext/>
              <w:keepLines/>
              <w:autoSpaceDE w:val="0"/>
              <w:spacing w:after="0"/>
              <w:jc w:val="center"/>
              <w:rPr>
                <w:rFonts w:eastAsia="Times New Roman"/>
                <w:b/>
                <w:color w:val="000000"/>
                <w:szCs w:val="20"/>
              </w:rPr>
            </w:pPr>
            <w:r w:rsidRPr="002D3213">
              <w:rPr>
                <w:rFonts w:eastAsia="Times New Roman"/>
                <w:b/>
                <w:color w:val="000000"/>
                <w:szCs w:val="20"/>
              </w:rPr>
              <w:t xml:space="preserve">Moisture Allowance </w:t>
            </w:r>
            <w:r w:rsidRPr="002D3213">
              <w:rPr>
                <w:rFonts w:eastAsia="Times New Roman"/>
                <w:b/>
                <w:color w:val="000000"/>
                <w:szCs w:val="20"/>
                <w:u w:val="single"/>
              </w:rPr>
              <w:t xml:space="preserve">Consideration </w:t>
            </w:r>
            <w:r w:rsidRPr="002D3213">
              <w:rPr>
                <w:rFonts w:eastAsia="Times New Roman"/>
                <w:b/>
                <w:color w:val="000000"/>
                <w:szCs w:val="20"/>
              </w:rPr>
              <w:t>is:</w:t>
            </w:r>
          </w:p>
        </w:tc>
        <w:tc>
          <w:tcPr>
            <w:tcW w:w="5490" w:type="dxa"/>
            <w:tcBorders>
              <w:top w:val="double" w:sz="6" w:space="0" w:color="auto"/>
              <w:bottom w:val="double" w:sz="6" w:space="0" w:color="auto"/>
            </w:tcBorders>
            <w:vAlign w:val="center"/>
          </w:tcPr>
          <w:p w14:paraId="12DE5C40" w14:textId="77777777" w:rsidR="002D3213" w:rsidRPr="002D3213" w:rsidRDefault="002D3213" w:rsidP="002D3213">
            <w:pPr>
              <w:keepNext/>
              <w:keepLines/>
              <w:autoSpaceDE w:val="0"/>
              <w:spacing w:after="0"/>
              <w:jc w:val="center"/>
              <w:rPr>
                <w:rFonts w:eastAsia="Times New Roman"/>
                <w:b/>
                <w:color w:val="000000"/>
                <w:szCs w:val="20"/>
              </w:rPr>
            </w:pPr>
            <w:r w:rsidRPr="002D3213">
              <w:rPr>
                <w:rFonts w:eastAsia="Times New Roman"/>
                <w:b/>
                <w:color w:val="000000"/>
                <w:szCs w:val="20"/>
              </w:rPr>
              <w:t>Notes</w:t>
            </w:r>
          </w:p>
        </w:tc>
      </w:tr>
      <w:tr w:rsidR="002D3213" w:rsidRPr="002D3213" w14:paraId="6AFC056E" w14:textId="77777777" w:rsidTr="00A906A7">
        <w:trPr>
          <w:trHeight w:val="164"/>
        </w:trPr>
        <w:tc>
          <w:tcPr>
            <w:tcW w:w="2160" w:type="dxa"/>
            <w:tcBorders>
              <w:top w:val="double" w:sz="6" w:space="0" w:color="auto"/>
            </w:tcBorders>
            <w:vAlign w:val="center"/>
          </w:tcPr>
          <w:p w14:paraId="5EA05C2C"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Flour</w:t>
            </w:r>
          </w:p>
        </w:tc>
        <w:tc>
          <w:tcPr>
            <w:tcW w:w="1710" w:type="dxa"/>
            <w:tcBorders>
              <w:top w:val="double" w:sz="6" w:space="0" w:color="auto"/>
            </w:tcBorders>
            <w:vAlign w:val="center"/>
          </w:tcPr>
          <w:p w14:paraId="48FCF9FF"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3 %</w:t>
            </w:r>
          </w:p>
        </w:tc>
        <w:tc>
          <w:tcPr>
            <w:tcW w:w="5490" w:type="dxa"/>
            <w:tcBorders>
              <w:top w:val="double" w:sz="6" w:space="0" w:color="auto"/>
            </w:tcBorders>
            <w:vAlign w:val="center"/>
          </w:tcPr>
          <w:p w14:paraId="2C0F88B3" w14:textId="77777777" w:rsidR="002D3213" w:rsidRPr="002D3213" w:rsidRDefault="002D3213" w:rsidP="002D3213">
            <w:pPr>
              <w:keepNext/>
              <w:keepLines/>
              <w:spacing w:before="20" w:after="20"/>
              <w:jc w:val="center"/>
              <w:rPr>
                <w:rFonts w:eastAsia="Times New Roman"/>
                <w:b/>
                <w:color w:val="000000"/>
                <w:szCs w:val="20"/>
                <w:u w:val="single"/>
              </w:rPr>
            </w:pPr>
          </w:p>
        </w:tc>
      </w:tr>
      <w:tr w:rsidR="002D3213" w:rsidRPr="002D3213" w14:paraId="69D95BED" w14:textId="77777777" w:rsidTr="00A906A7">
        <w:tc>
          <w:tcPr>
            <w:tcW w:w="2160" w:type="dxa"/>
            <w:vAlign w:val="center"/>
          </w:tcPr>
          <w:p w14:paraId="616934F6"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Dry pet food</w:t>
            </w:r>
            <w:r w:rsidRPr="002D3213">
              <w:rPr>
                <w:rFonts w:eastAsia="Times New Roman"/>
                <w:color w:val="000000"/>
                <w:szCs w:val="20"/>
              </w:rPr>
              <w:fldChar w:fldCharType="begin"/>
            </w:r>
            <w:r w:rsidRPr="002D3213">
              <w:rPr>
                <w:rFonts w:eastAsia="Times New Roman"/>
                <w:color w:val="000000"/>
                <w:szCs w:val="20"/>
              </w:rPr>
              <w:instrText xml:space="preserve"> XE "Pet Food" </w:instrText>
            </w:r>
            <w:r w:rsidRPr="002D3213">
              <w:rPr>
                <w:rFonts w:eastAsia="Times New Roman"/>
                <w:color w:val="000000"/>
                <w:szCs w:val="20"/>
              </w:rPr>
              <w:fldChar w:fldCharType="end"/>
            </w:r>
          </w:p>
        </w:tc>
        <w:tc>
          <w:tcPr>
            <w:tcW w:w="1710" w:type="dxa"/>
            <w:vAlign w:val="center"/>
          </w:tcPr>
          <w:p w14:paraId="1C219FB4"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3 %</w:t>
            </w:r>
          </w:p>
        </w:tc>
        <w:tc>
          <w:tcPr>
            <w:tcW w:w="5490" w:type="dxa"/>
            <w:vAlign w:val="center"/>
          </w:tcPr>
          <w:p w14:paraId="50F88A2A" w14:textId="77777777" w:rsidR="002D3213" w:rsidRPr="002D3213" w:rsidRDefault="002D3213" w:rsidP="002D3213">
            <w:pPr>
              <w:keepNext/>
              <w:keepLines/>
              <w:spacing w:before="20" w:after="20"/>
              <w:jc w:val="left"/>
              <w:rPr>
                <w:rFonts w:eastAsia="Times New Roman"/>
                <w:color w:val="000000"/>
                <w:szCs w:val="20"/>
              </w:rPr>
            </w:pPr>
            <w:r w:rsidRPr="002D3213">
              <w:rPr>
                <w:rFonts w:eastAsia="Times New Roman"/>
                <w:color w:val="000000"/>
                <w:szCs w:val="20"/>
              </w:rPr>
              <w:t>Dry pet food means all extruded dog and cat foods and baked treats packaged in Kraft paper bags and/or cardboard boxes with a moisture content of 13 % or less at time of pack.</w:t>
            </w:r>
          </w:p>
        </w:tc>
      </w:tr>
      <w:tr w:rsidR="002D3213" w:rsidRPr="002D3213" w14:paraId="709C49B0" w14:textId="77777777" w:rsidTr="00A906A7">
        <w:trPr>
          <w:trHeight w:val="860"/>
        </w:trPr>
        <w:tc>
          <w:tcPr>
            <w:tcW w:w="2160" w:type="dxa"/>
            <w:vAlign w:val="center"/>
          </w:tcPr>
          <w:p w14:paraId="52A877CD"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Pasta products</w:t>
            </w:r>
            <w:r w:rsidRPr="002D3213">
              <w:rPr>
                <w:rFonts w:eastAsia="Times New Roman"/>
                <w:color w:val="000000"/>
                <w:szCs w:val="20"/>
              </w:rPr>
              <w:fldChar w:fldCharType="begin"/>
            </w:r>
            <w:r w:rsidRPr="002D3213">
              <w:rPr>
                <w:rFonts w:eastAsia="Times New Roman"/>
                <w:color w:val="000000"/>
                <w:szCs w:val="20"/>
              </w:rPr>
              <w:instrText xml:space="preserve"> XE "Pasta Products" </w:instrText>
            </w:r>
            <w:r w:rsidRPr="002D3213">
              <w:rPr>
                <w:rFonts w:eastAsia="Times New Roman"/>
                <w:color w:val="000000"/>
                <w:szCs w:val="20"/>
              </w:rPr>
              <w:fldChar w:fldCharType="end"/>
            </w:r>
          </w:p>
        </w:tc>
        <w:tc>
          <w:tcPr>
            <w:tcW w:w="1710" w:type="dxa"/>
            <w:vAlign w:val="center"/>
          </w:tcPr>
          <w:p w14:paraId="2408D21C"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3 %</w:t>
            </w:r>
          </w:p>
        </w:tc>
        <w:tc>
          <w:tcPr>
            <w:tcW w:w="5490" w:type="dxa"/>
            <w:vAlign w:val="center"/>
          </w:tcPr>
          <w:p w14:paraId="01713F76" w14:textId="77777777" w:rsidR="002D3213" w:rsidRPr="002D3213" w:rsidRDefault="002D3213" w:rsidP="002D3213">
            <w:pPr>
              <w:keepNext/>
              <w:keepLines/>
              <w:spacing w:before="20" w:after="20"/>
              <w:jc w:val="left"/>
              <w:rPr>
                <w:rFonts w:eastAsia="Times New Roman"/>
                <w:color w:val="000000"/>
                <w:szCs w:val="20"/>
              </w:rPr>
            </w:pPr>
            <w:r w:rsidRPr="002D3213">
              <w:rPr>
                <w:rFonts w:eastAsia="Times New Roman"/>
                <w:color w:val="000000"/>
                <w:szCs w:val="20"/>
              </w:rPr>
              <w:t>Pasta products means all macaroni, noodle, and like products packaged in kraft paper bags, paperboard cartons, and/or flexible plastic bags with a moisture content of 13 % or less at the time of pack.</w:t>
            </w:r>
          </w:p>
        </w:tc>
      </w:tr>
      <w:tr w:rsidR="002D3213" w:rsidRPr="002D3213" w14:paraId="3DD82F46" w14:textId="77777777" w:rsidTr="00A906A7">
        <w:trPr>
          <w:trHeight w:val="239"/>
        </w:trPr>
        <w:tc>
          <w:tcPr>
            <w:tcW w:w="2160" w:type="dxa"/>
            <w:tcBorders>
              <w:bottom w:val="double" w:sz="6" w:space="0" w:color="auto"/>
            </w:tcBorders>
            <w:vAlign w:val="center"/>
          </w:tcPr>
          <w:p w14:paraId="36C3CB24"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Borax</w:t>
            </w:r>
          </w:p>
        </w:tc>
        <w:tc>
          <w:tcPr>
            <w:tcW w:w="1710" w:type="dxa"/>
            <w:tcBorders>
              <w:bottom w:val="double" w:sz="6" w:space="0" w:color="auto"/>
            </w:tcBorders>
            <w:vAlign w:val="center"/>
          </w:tcPr>
          <w:p w14:paraId="1055002B"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see Section </w:t>
            </w:r>
          </w:p>
          <w:p w14:paraId="27F42E2A"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2.4. Borax</w:t>
            </w:r>
          </w:p>
        </w:tc>
        <w:tc>
          <w:tcPr>
            <w:tcW w:w="5490" w:type="dxa"/>
            <w:tcBorders>
              <w:bottom w:val="double" w:sz="6" w:space="0" w:color="auto"/>
            </w:tcBorders>
            <w:vAlign w:val="center"/>
          </w:tcPr>
          <w:p w14:paraId="5D9BD21B" w14:textId="77777777" w:rsidR="002D3213" w:rsidRPr="002D3213" w:rsidRDefault="002D3213" w:rsidP="002D3213">
            <w:pPr>
              <w:keepNext/>
              <w:keepLines/>
              <w:spacing w:before="20" w:after="20"/>
              <w:jc w:val="center"/>
              <w:rPr>
                <w:rFonts w:eastAsia="Times New Roman"/>
                <w:b/>
                <w:color w:val="000000"/>
                <w:szCs w:val="20"/>
                <w:u w:val="single"/>
              </w:rPr>
            </w:pPr>
          </w:p>
        </w:tc>
      </w:tr>
      <w:tr w:rsidR="002D3213" w:rsidRPr="002D3213" w14:paraId="4F9ACA60" w14:textId="77777777" w:rsidTr="00A906A7">
        <w:trPr>
          <w:trHeight w:val="239"/>
        </w:trPr>
        <w:tc>
          <w:tcPr>
            <w:tcW w:w="2160" w:type="dxa"/>
            <w:tcBorders>
              <w:bottom w:val="double" w:sz="6" w:space="0" w:color="auto"/>
            </w:tcBorders>
            <w:vAlign w:val="center"/>
          </w:tcPr>
          <w:p w14:paraId="299A65A0" w14:textId="77777777" w:rsidR="002D3213" w:rsidRPr="002D3213" w:rsidRDefault="002D3213" w:rsidP="002D3213">
            <w:pPr>
              <w:keepNext/>
              <w:keepLines/>
              <w:spacing w:before="20" w:after="20"/>
              <w:jc w:val="center"/>
              <w:rPr>
                <w:rFonts w:eastAsia="Times New Roman"/>
                <w:i/>
                <w:iCs/>
                <w:color w:val="000000"/>
                <w:szCs w:val="20"/>
              </w:rPr>
            </w:pPr>
            <w:r w:rsidRPr="002D3213">
              <w:rPr>
                <w:rFonts w:eastAsia="Times New Roman"/>
                <w:i/>
                <w:iCs/>
                <w:color w:val="000000"/>
                <w:szCs w:val="20"/>
              </w:rPr>
              <w:t>Cannabis</w:t>
            </w:r>
          </w:p>
        </w:tc>
        <w:tc>
          <w:tcPr>
            <w:tcW w:w="1710" w:type="dxa"/>
            <w:tcBorders>
              <w:bottom w:val="double" w:sz="6" w:space="0" w:color="auto"/>
            </w:tcBorders>
            <w:vAlign w:val="center"/>
          </w:tcPr>
          <w:p w14:paraId="233972C2"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3 %</w:t>
            </w:r>
          </w:p>
        </w:tc>
        <w:tc>
          <w:tcPr>
            <w:tcW w:w="5490" w:type="dxa"/>
            <w:tcBorders>
              <w:bottom w:val="double" w:sz="6" w:space="0" w:color="auto"/>
            </w:tcBorders>
            <w:vAlign w:val="center"/>
          </w:tcPr>
          <w:p w14:paraId="6DF448D3" w14:textId="77777777" w:rsidR="002D3213" w:rsidRPr="002D3213" w:rsidRDefault="002D3213" w:rsidP="002D3213">
            <w:pPr>
              <w:keepNext/>
              <w:keepLines/>
              <w:spacing w:before="20" w:after="20"/>
              <w:jc w:val="left"/>
              <w:rPr>
                <w:rFonts w:eastAsia="Times New Roman"/>
                <w:color w:val="000000"/>
                <w:szCs w:val="20"/>
              </w:rPr>
            </w:pPr>
            <w:r w:rsidRPr="002D3213">
              <w:rPr>
                <w:rFonts w:eastAsia="Times New Roman"/>
                <w:i/>
                <w:iCs/>
                <w:color w:val="000000"/>
                <w:szCs w:val="20"/>
              </w:rPr>
              <w:t>Cannabis</w:t>
            </w:r>
            <w:r w:rsidRPr="002D3213">
              <w:rPr>
                <w:rFonts w:eastAsia="Times New Roman"/>
                <w:color w:val="000000"/>
                <w:szCs w:val="20"/>
              </w:rPr>
              <w:t xml:space="preserve"> means plant material only, and not products containing </w:t>
            </w:r>
            <w:r w:rsidRPr="002D3213">
              <w:rPr>
                <w:rFonts w:eastAsia="Times New Roman"/>
                <w:i/>
                <w:iCs/>
                <w:color w:val="000000"/>
                <w:szCs w:val="20"/>
              </w:rPr>
              <w:t>Cannabis</w:t>
            </w:r>
            <w:r w:rsidRPr="002D3213">
              <w:rPr>
                <w:rFonts w:eastAsia="Times New Roman"/>
                <w:color w:val="000000"/>
                <w:szCs w:val="20"/>
              </w:rPr>
              <w:t>, whether containing more than 0.3 % Total Delta-9 THC (also known as cannabis, Marijuana, or Marihuana) or containing 0.3 % or less Total Delta-9 THC (also known as Hemp).</w:t>
            </w:r>
          </w:p>
        </w:tc>
      </w:tr>
      <w:tr w:rsidR="002D3213" w:rsidRPr="002D3213" w14:paraId="7E828E6C" w14:textId="77777777" w:rsidTr="00A906A7">
        <w:trPr>
          <w:trHeight w:val="299"/>
        </w:trPr>
        <w:tc>
          <w:tcPr>
            <w:tcW w:w="9360" w:type="dxa"/>
            <w:gridSpan w:val="3"/>
            <w:tcBorders>
              <w:top w:val="double" w:sz="6" w:space="0" w:color="auto"/>
              <w:bottom w:val="double" w:sz="6" w:space="0" w:color="auto"/>
            </w:tcBorders>
            <w:vAlign w:val="center"/>
          </w:tcPr>
          <w:p w14:paraId="0052AB4E" w14:textId="77777777" w:rsidR="002D3213" w:rsidRPr="002D3213" w:rsidRDefault="002D3213" w:rsidP="002D3213">
            <w:pPr>
              <w:keepNext/>
              <w:spacing w:after="0"/>
              <w:jc w:val="center"/>
              <w:rPr>
                <w:rFonts w:eastAsia="Times New Roman"/>
                <w:b/>
                <w:bCs/>
                <w:color w:val="000000"/>
                <w:szCs w:val="20"/>
              </w:rPr>
            </w:pPr>
            <w:r w:rsidRPr="002D3213">
              <w:rPr>
                <w:rFonts w:eastAsia="Times New Roman"/>
                <w:b/>
                <w:bCs/>
                <w:color w:val="000000"/>
                <w:szCs w:val="20"/>
              </w:rPr>
              <w:t>Wet Tare Only</w:t>
            </w:r>
            <w:r w:rsidRPr="002D3213">
              <w:rPr>
                <w:rFonts w:eastAsia="Times New Roman"/>
                <w:b/>
                <w:bCs/>
                <w:color w:val="000000"/>
                <w:szCs w:val="20"/>
                <w:vertAlign w:val="superscript"/>
              </w:rPr>
              <w:t>1</w:t>
            </w:r>
            <w:r w:rsidRPr="002D3213">
              <w:rPr>
                <w:rFonts w:eastAsia="Times New Roman"/>
                <w:b/>
                <w:bCs/>
                <w:color w:val="000000"/>
                <w:szCs w:val="20"/>
                <w:vertAlign w:val="superscript"/>
              </w:rPr>
              <w:fldChar w:fldCharType="begin"/>
            </w:r>
            <w:r w:rsidRPr="002D3213">
              <w:rPr>
                <w:rFonts w:eastAsia="Times New Roman"/>
                <w:color w:val="000000"/>
                <w:szCs w:val="20"/>
              </w:rPr>
              <w:instrText xml:space="preserve"> XE "Moisture Allowance:Wet Tare" </w:instrText>
            </w:r>
            <w:r w:rsidRPr="002D3213">
              <w:rPr>
                <w:rFonts w:eastAsia="Times New Roman"/>
                <w:b/>
                <w:bCs/>
                <w:color w:val="000000"/>
                <w:szCs w:val="20"/>
                <w:vertAlign w:val="superscript"/>
              </w:rPr>
              <w:fldChar w:fldCharType="end"/>
            </w:r>
          </w:p>
        </w:tc>
      </w:tr>
      <w:tr w:rsidR="002D3213" w:rsidRPr="002D3213" w14:paraId="53FDE58C" w14:textId="77777777" w:rsidTr="00A906A7">
        <w:trPr>
          <w:trHeight w:val="680"/>
        </w:trPr>
        <w:tc>
          <w:tcPr>
            <w:tcW w:w="2160" w:type="dxa"/>
            <w:vAlign w:val="center"/>
          </w:tcPr>
          <w:p w14:paraId="719EC330"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Fresh poultry</w:t>
            </w:r>
          </w:p>
        </w:tc>
        <w:tc>
          <w:tcPr>
            <w:tcW w:w="1710" w:type="dxa"/>
            <w:vAlign w:val="center"/>
          </w:tcPr>
          <w:p w14:paraId="72B2FDB3"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3 %</w:t>
            </w:r>
          </w:p>
        </w:tc>
        <w:tc>
          <w:tcPr>
            <w:tcW w:w="5490" w:type="dxa"/>
            <w:vAlign w:val="center"/>
          </w:tcPr>
          <w:p w14:paraId="57BBA035" w14:textId="77777777" w:rsidR="002D3213" w:rsidRPr="002D3213" w:rsidRDefault="002D3213" w:rsidP="002D3213">
            <w:pPr>
              <w:keepNext/>
              <w:keepLines/>
              <w:spacing w:before="20" w:after="20"/>
              <w:jc w:val="left"/>
              <w:rPr>
                <w:rFonts w:eastAsia="Times New Roman"/>
                <w:color w:val="000000"/>
                <w:szCs w:val="20"/>
              </w:rPr>
            </w:pPr>
            <w:r w:rsidRPr="002D3213">
              <w:rPr>
                <w:rFonts w:eastAsia="Times New Roman"/>
                <w:color w:val="000000"/>
                <w:szCs w:val="20"/>
              </w:rPr>
              <w:t>Fresh poultry is defined as poultry above a temperature of − 3 °C (26 °F) that yields or gives when pushed with the thumb.</w:t>
            </w:r>
          </w:p>
        </w:tc>
      </w:tr>
      <w:tr w:rsidR="002D3213" w:rsidRPr="002D3213" w14:paraId="20B9A3FD" w14:textId="77777777" w:rsidTr="00A906A7">
        <w:trPr>
          <w:trHeight w:val="230"/>
        </w:trPr>
        <w:tc>
          <w:tcPr>
            <w:tcW w:w="2160" w:type="dxa"/>
            <w:vAlign w:val="center"/>
          </w:tcPr>
          <w:p w14:paraId="4E5C12F6"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Franks or hot dogs</w:t>
            </w:r>
          </w:p>
        </w:tc>
        <w:tc>
          <w:tcPr>
            <w:tcW w:w="1710" w:type="dxa"/>
            <w:vAlign w:val="center"/>
          </w:tcPr>
          <w:p w14:paraId="3D503ECF"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2.5 %</w:t>
            </w:r>
          </w:p>
        </w:tc>
        <w:tc>
          <w:tcPr>
            <w:tcW w:w="5490" w:type="dxa"/>
            <w:vAlign w:val="center"/>
          </w:tcPr>
          <w:p w14:paraId="4A866410" w14:textId="77777777" w:rsidR="002D3213" w:rsidRPr="002D3213" w:rsidRDefault="002D3213" w:rsidP="002D3213">
            <w:pPr>
              <w:keepNext/>
              <w:spacing w:after="0"/>
              <w:rPr>
                <w:rFonts w:eastAsia="Times New Roman"/>
                <w:b/>
                <w:bCs/>
                <w:color w:val="000000"/>
                <w:szCs w:val="20"/>
                <w:u w:val="single"/>
              </w:rPr>
            </w:pPr>
          </w:p>
        </w:tc>
      </w:tr>
      <w:tr w:rsidR="002D3213" w:rsidRPr="002D3213" w14:paraId="1795717B" w14:textId="77777777" w:rsidTr="00A906A7">
        <w:trPr>
          <w:trHeight w:val="2939"/>
        </w:trPr>
        <w:tc>
          <w:tcPr>
            <w:tcW w:w="2160" w:type="dxa"/>
            <w:tcBorders>
              <w:bottom w:val="single" w:sz="6" w:space="0" w:color="auto"/>
            </w:tcBorders>
            <w:vAlign w:val="center"/>
          </w:tcPr>
          <w:p w14:paraId="0CD4E326"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Bacon, fresh sausage, and luncheon meats</w:t>
            </w:r>
          </w:p>
        </w:tc>
        <w:tc>
          <w:tcPr>
            <w:tcW w:w="1710" w:type="dxa"/>
            <w:tcBorders>
              <w:bottom w:val="single" w:sz="6" w:space="0" w:color="auto"/>
            </w:tcBorders>
            <w:vAlign w:val="center"/>
          </w:tcPr>
          <w:p w14:paraId="5E1AF228" w14:textId="77777777" w:rsidR="002D3213" w:rsidRPr="002D3213" w:rsidRDefault="002D3213" w:rsidP="002D3213">
            <w:pPr>
              <w:keepNext/>
              <w:keepLines/>
              <w:spacing w:before="20" w:after="20"/>
              <w:jc w:val="center"/>
              <w:rPr>
                <w:rFonts w:eastAsia="Times New Roman"/>
                <w:color w:val="000000"/>
                <w:szCs w:val="20"/>
              </w:rPr>
            </w:pPr>
            <w:r w:rsidRPr="002D3213">
              <w:rPr>
                <w:rFonts w:eastAsia="Times New Roman"/>
                <w:color w:val="000000"/>
                <w:szCs w:val="20"/>
              </w:rPr>
              <w:t>0 %</w:t>
            </w:r>
          </w:p>
        </w:tc>
        <w:tc>
          <w:tcPr>
            <w:tcW w:w="5490" w:type="dxa"/>
            <w:tcBorders>
              <w:bottom w:val="single" w:sz="6" w:space="0" w:color="auto"/>
            </w:tcBorders>
            <w:vAlign w:val="center"/>
          </w:tcPr>
          <w:p w14:paraId="4AC8E211" w14:textId="77777777" w:rsidR="002D3213" w:rsidRPr="002D3213" w:rsidRDefault="002D3213" w:rsidP="002D3213">
            <w:pPr>
              <w:keepNext/>
              <w:keepLines/>
              <w:spacing w:before="20" w:after="20"/>
              <w:jc w:val="left"/>
              <w:rPr>
                <w:rFonts w:eastAsia="Times New Roman"/>
                <w:color w:val="000000"/>
                <w:szCs w:val="20"/>
              </w:rPr>
            </w:pPr>
            <w:r w:rsidRPr="002D3213">
              <w:rPr>
                <w:rFonts w:eastAsia="Times New Roman"/>
                <w:color w:val="000000"/>
                <w:szCs w:val="20"/>
              </w:rPr>
              <w:t xml:space="preserve">For packages of bacon, fresh sausage, and luncheon meats, there is no moisture allowance </w:t>
            </w:r>
            <w:r w:rsidRPr="002D3213">
              <w:rPr>
                <w:rFonts w:eastAsia="Times New Roman"/>
                <w:b/>
                <w:bCs/>
                <w:color w:val="000000"/>
                <w:szCs w:val="20"/>
                <w:u w:val="single"/>
              </w:rPr>
              <w:t xml:space="preserve">consideration </w:t>
            </w:r>
            <w:r w:rsidRPr="002D3213">
              <w:rPr>
                <w:rFonts w:eastAsia="Times New Roman"/>
                <w:color w:val="000000"/>
                <w:szCs w:val="20"/>
              </w:rPr>
              <w:t>if there is no free-flowing liquid or absorbent material in contact with the product and the package is cleaned of clinging material.  Luncheon 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 equivalent.</w:t>
            </w:r>
          </w:p>
        </w:tc>
      </w:tr>
      <w:tr w:rsidR="002D3213" w:rsidRPr="002D3213" w14:paraId="3F58C53A" w14:textId="77777777" w:rsidTr="00A906A7">
        <w:trPr>
          <w:trHeight w:val="707"/>
        </w:trPr>
        <w:tc>
          <w:tcPr>
            <w:tcW w:w="9360" w:type="dxa"/>
            <w:gridSpan w:val="3"/>
            <w:tcBorders>
              <w:top w:val="single" w:sz="6" w:space="0" w:color="auto"/>
              <w:bottom w:val="double" w:sz="4" w:space="0" w:color="auto"/>
            </w:tcBorders>
            <w:vAlign w:val="center"/>
          </w:tcPr>
          <w:p w14:paraId="5B2F4436" w14:textId="77777777" w:rsidR="002D3213" w:rsidRPr="002D3213" w:rsidRDefault="002D3213" w:rsidP="002D3213">
            <w:pPr>
              <w:keepNext/>
              <w:keepLines/>
              <w:autoSpaceDE w:val="0"/>
              <w:spacing w:after="0"/>
              <w:rPr>
                <w:rFonts w:eastAsia="Times New Roman"/>
                <w:color w:val="000000"/>
                <w:szCs w:val="20"/>
              </w:rPr>
            </w:pPr>
            <w:r w:rsidRPr="002D3213">
              <w:rPr>
                <w:rFonts w:eastAsia="Times New Roman"/>
                <w:b/>
                <w:color w:val="000000"/>
                <w:szCs w:val="20"/>
                <w:vertAlign w:val="superscript"/>
              </w:rPr>
              <w:t xml:space="preserve">1 </w:t>
            </w:r>
            <w:r w:rsidRPr="002D3213">
              <w:rPr>
                <w:rFonts w:eastAsia="Times New Roman"/>
                <w:color w:val="000000"/>
                <w:szCs w:val="20"/>
              </w:rPr>
              <w:t>Wet tare procedures must not be used to verify the labeled net weight of packages of meat and poultry packed at an official United States Department</w:t>
            </w:r>
            <w:r w:rsidRPr="002D3213">
              <w:rPr>
                <w:rFonts w:eastAsia="Times New Roman"/>
                <w:bCs/>
                <w:color w:val="000000"/>
                <w:szCs w:val="20"/>
              </w:rPr>
              <w:t xml:space="preserve"> of Agriculture (USDA) facility and bearing a USDA seal of inspectio</w:t>
            </w:r>
            <w:r w:rsidRPr="002D3213">
              <w:rPr>
                <w:rFonts w:eastAsia="Times New Roman"/>
                <w:color w:val="000000"/>
                <w:szCs w:val="20"/>
              </w:rPr>
              <w:t>n.  The Food Safety and Inspection Service (FSIS) adopted specific sections of the 2005 4</w:t>
            </w:r>
            <w:r w:rsidRPr="002D3213">
              <w:rPr>
                <w:rFonts w:eastAsia="Times New Roman"/>
                <w:color w:val="000000"/>
                <w:szCs w:val="20"/>
                <w:vertAlign w:val="superscript"/>
              </w:rPr>
              <w:t>th</w:t>
            </w:r>
            <w:r w:rsidRPr="002D3213">
              <w:rPr>
                <w:rFonts w:eastAsia="Times New Roman"/>
                <w:color w:val="000000"/>
                <w:szCs w:val="20"/>
              </w:rPr>
              <w:t> edition of NIST Handbook 133 by reference in 2008 but not the “Wet Tare” 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2D3213">
              <w:rPr>
                <w:rFonts w:eastAsia="Times New Roman"/>
                <w:color w:val="000000"/>
                <w:szCs w:val="20"/>
              </w:rPr>
              <w:noBreakHyphen/>
              <w:t>52193]).</w:t>
            </w:r>
          </w:p>
        </w:tc>
      </w:tr>
      <w:tr w:rsidR="002D3213" w:rsidRPr="002D3213" w14:paraId="6E118229" w14:textId="77777777" w:rsidTr="00A906A7">
        <w:trPr>
          <w:trHeight w:val="707"/>
        </w:trPr>
        <w:tc>
          <w:tcPr>
            <w:tcW w:w="9360" w:type="dxa"/>
            <w:gridSpan w:val="3"/>
            <w:tcBorders>
              <w:top w:val="nil"/>
              <w:bottom w:val="double" w:sz="6" w:space="0" w:color="auto"/>
            </w:tcBorders>
            <w:vAlign w:val="center"/>
          </w:tcPr>
          <w:p w14:paraId="4B931457" w14:textId="77777777" w:rsidR="002D3213" w:rsidRPr="002D3213" w:rsidRDefault="002D3213" w:rsidP="002D3213">
            <w:pPr>
              <w:spacing w:after="160" w:line="259" w:lineRule="auto"/>
              <w:jc w:val="left"/>
              <w:rPr>
                <w:rFonts w:eastAsia="Aptos"/>
                <w:b/>
                <w:bCs/>
                <w:kern w:val="2"/>
                <w:szCs w:val="20"/>
                <w14:ligatures w14:val="standardContextual"/>
              </w:rPr>
            </w:pPr>
            <w:r w:rsidRPr="002D3213">
              <w:rPr>
                <w:rFonts w:eastAsia="Aptos"/>
                <w:b/>
                <w:bCs/>
                <w:kern w:val="2"/>
                <w:szCs w:val="20"/>
                <w14:ligatures w14:val="standardContextual"/>
              </w:rPr>
              <w:t xml:space="preserve">Notes: </w:t>
            </w:r>
          </w:p>
          <w:p w14:paraId="64803860" w14:textId="77777777" w:rsidR="002D3213" w:rsidRPr="002D3213" w:rsidRDefault="002D3213" w:rsidP="002D3213">
            <w:pPr>
              <w:spacing w:after="160" w:line="259" w:lineRule="auto"/>
              <w:ind w:left="765" w:hanging="540"/>
              <w:jc w:val="left"/>
              <w:rPr>
                <w:rFonts w:eastAsia="Aptos"/>
                <w:kern w:val="2"/>
                <w:szCs w:val="20"/>
                <w14:ligatures w14:val="standardContextual"/>
              </w:rPr>
            </w:pPr>
            <w:r w:rsidRPr="002D3213">
              <w:rPr>
                <w:rFonts w:eastAsia="Aptos"/>
                <w:kern w:val="2"/>
                <w:szCs w:val="20"/>
                <w14:ligatures w14:val="standardContextual"/>
              </w:rPr>
              <w:lastRenderedPageBreak/>
              <w:t xml:space="preserve">(1)    There is no moisture allowance </w:t>
            </w:r>
            <w:r w:rsidRPr="002D3213">
              <w:rPr>
                <w:rFonts w:eastAsia="Aptos"/>
                <w:b/>
                <w:bCs/>
                <w:kern w:val="2"/>
                <w:szCs w:val="20"/>
                <w:u w:val="single"/>
                <w14:ligatures w14:val="standardContextual"/>
              </w:rPr>
              <w:t xml:space="preserve">consideration </w:t>
            </w:r>
            <w:r w:rsidRPr="002D3213">
              <w:rPr>
                <w:rFonts w:eastAsia="Aptos"/>
                <w:kern w:val="2"/>
                <w:szCs w:val="20"/>
                <w14:ligatures w14:val="standardContextual"/>
              </w:rPr>
              <w:t>when inspecting meat and poultry from a USDA inspected plant when Used Dry Tare and “Category A” sampling plans are used.</w:t>
            </w:r>
          </w:p>
          <w:p w14:paraId="25FFB4DC" w14:textId="77777777" w:rsidR="002D3213" w:rsidRPr="002D3213" w:rsidRDefault="002D3213" w:rsidP="002D3213">
            <w:pPr>
              <w:spacing w:after="160" w:line="259" w:lineRule="auto"/>
              <w:ind w:left="765" w:hanging="540"/>
              <w:jc w:val="left"/>
              <w:rPr>
                <w:rFonts w:eastAsia="Aptos"/>
                <w:kern w:val="2"/>
                <w:szCs w:val="20"/>
                <w14:ligatures w14:val="standardContextual"/>
              </w:rPr>
            </w:pPr>
          </w:p>
          <w:p w14:paraId="5DCA2AAC" w14:textId="77777777" w:rsidR="002D3213" w:rsidRPr="002D3213" w:rsidRDefault="002D3213" w:rsidP="002D3213">
            <w:pPr>
              <w:spacing w:after="160" w:line="259" w:lineRule="auto"/>
              <w:ind w:left="765" w:hanging="540"/>
              <w:jc w:val="left"/>
              <w:rPr>
                <w:rFonts w:eastAsia="Aptos"/>
                <w:kern w:val="2"/>
                <w:szCs w:val="20"/>
                <w14:ligatures w14:val="standardContextual"/>
              </w:rPr>
            </w:pPr>
            <w:r w:rsidRPr="002D3213">
              <w:rPr>
                <w:rFonts w:eastAsia="Aptos"/>
                <w:kern w:val="2"/>
                <w:szCs w:val="20"/>
                <w14:ligatures w14:val="standardContextual"/>
              </w:rPr>
              <w:t>(2)     For the Wet Tare Only section of Table 2-3. “Moisture Allowance</w:t>
            </w:r>
            <w:r w:rsidRPr="00E04EE8">
              <w:rPr>
                <w:rFonts w:eastAsia="Aptos"/>
                <w:strike/>
                <w:kern w:val="2"/>
                <w:szCs w:val="20"/>
                <w14:ligatures w14:val="standardContextual"/>
              </w:rPr>
              <w:t>s</w:t>
            </w:r>
            <w:r w:rsidRPr="004A7E28">
              <w:rPr>
                <w:rFonts w:eastAsia="Aptos"/>
                <w:kern w:val="2"/>
                <w:szCs w:val="20"/>
                <w14:ligatures w14:val="standardContextual"/>
              </w:rPr>
              <w:t xml:space="preserve"> </w:t>
            </w:r>
            <w:r w:rsidRPr="002D3213">
              <w:rPr>
                <w:rFonts w:eastAsia="Aptos"/>
                <w:b/>
                <w:bCs/>
                <w:kern w:val="2"/>
                <w:szCs w:val="20"/>
                <w:u w:val="single"/>
                <w14:ligatures w14:val="standardContextual"/>
              </w:rPr>
              <w:t>Considerations</w:t>
            </w:r>
            <w:r w:rsidRPr="002D3213">
              <w:rPr>
                <w:rFonts w:eastAsia="Aptos"/>
                <w:kern w:val="2"/>
                <w:szCs w:val="20"/>
                <w14:ligatures w14:val="standardContextual"/>
              </w:rPr>
              <w:t>,” free-flowing liquid and liquid absorbed by packaging materials in contact with the product are part of the wet tare.</w:t>
            </w:r>
          </w:p>
          <w:p w14:paraId="2FD3DEA7" w14:textId="77777777" w:rsidR="002D3213" w:rsidRPr="002D3213" w:rsidRDefault="002D3213" w:rsidP="002D3213">
            <w:pPr>
              <w:spacing w:after="160" w:line="259" w:lineRule="auto"/>
              <w:jc w:val="left"/>
              <w:rPr>
                <w:rFonts w:eastAsia="Aptos"/>
                <w:kern w:val="2"/>
                <w:szCs w:val="20"/>
                <w14:ligatures w14:val="standardContextual"/>
              </w:rPr>
            </w:pPr>
            <w:r w:rsidRPr="002D3213">
              <w:rPr>
                <w:rFonts w:eastAsia="Aptos"/>
                <w:kern w:val="2"/>
                <w:szCs w:val="20"/>
                <w14:ligatures w14:val="standardContextual"/>
              </w:rPr>
              <w:tab/>
              <w:t>(Note Added 2010)</w:t>
            </w:r>
          </w:p>
        </w:tc>
      </w:tr>
    </w:tbl>
    <w:p w14:paraId="30BB4267" w14:textId="5494428F" w:rsidR="002D3213" w:rsidRPr="002D3213" w:rsidRDefault="002D3213" w:rsidP="002D3213">
      <w:pPr>
        <w:widowControl w:val="0"/>
        <w:tabs>
          <w:tab w:val="left" w:pos="5368"/>
        </w:tabs>
        <w:spacing w:before="60" w:line="259" w:lineRule="auto"/>
        <w:jc w:val="left"/>
        <w:rPr>
          <w:rFonts w:eastAsia="Aptos"/>
          <w:kern w:val="2"/>
          <w:szCs w:val="20"/>
          <w14:ligatures w14:val="standardContextual"/>
        </w:rPr>
      </w:pPr>
      <w:r w:rsidRPr="002D3213">
        <w:rPr>
          <w:rFonts w:eastAsia="Aptos"/>
          <w:kern w:val="2"/>
          <w:szCs w:val="20"/>
          <w14:ligatures w14:val="standardContextual"/>
        </w:rPr>
        <w:lastRenderedPageBreak/>
        <w:t xml:space="preserve">(Amended 2010, 2013, </w:t>
      </w:r>
      <w:r w:rsidR="00D14044" w:rsidRPr="00D14044">
        <w:rPr>
          <w:rFonts w:eastAsia="Aptos"/>
          <w:b/>
          <w:bCs/>
          <w:strike/>
          <w:kern w:val="2"/>
          <w:szCs w:val="20"/>
          <w14:ligatures w14:val="standardContextual"/>
        </w:rPr>
        <w:t xml:space="preserve">and </w:t>
      </w:r>
      <w:r w:rsidRPr="002D3213">
        <w:rPr>
          <w:rFonts w:eastAsia="Aptos"/>
          <w:kern w:val="2"/>
          <w:szCs w:val="20"/>
          <w14:ligatures w14:val="standardContextual"/>
        </w:rPr>
        <w:t>2024</w:t>
      </w:r>
      <w:r w:rsidR="009140E5">
        <w:rPr>
          <w:rFonts w:eastAsia="Aptos"/>
          <w:kern w:val="2"/>
          <w:szCs w:val="20"/>
          <w14:ligatures w14:val="standardContextual"/>
        </w:rPr>
        <w:t xml:space="preserve"> </w:t>
      </w:r>
      <w:r w:rsidR="009140E5" w:rsidRPr="00D14044">
        <w:rPr>
          <w:rFonts w:eastAsia="Aptos"/>
          <w:b/>
          <w:bCs/>
          <w:kern w:val="2"/>
          <w:szCs w:val="20"/>
          <w14:ligatures w14:val="standardContextual"/>
        </w:rPr>
        <w:t xml:space="preserve">and </w:t>
      </w:r>
      <w:r w:rsidR="00D14044" w:rsidRPr="00D14044">
        <w:rPr>
          <w:rFonts w:eastAsia="Aptos"/>
          <w:b/>
          <w:bCs/>
          <w:kern w:val="2"/>
          <w:szCs w:val="20"/>
          <w14:ligatures w14:val="standardContextual"/>
        </w:rPr>
        <w:t>20XX</w:t>
      </w:r>
      <w:r w:rsidRPr="002D3213">
        <w:rPr>
          <w:rFonts w:eastAsia="Aptos"/>
          <w:kern w:val="2"/>
          <w:szCs w:val="20"/>
          <w14:ligatures w14:val="standardContextual"/>
        </w:rPr>
        <w:t>)</w:t>
      </w:r>
    </w:p>
    <w:p w14:paraId="1AEF254A" w14:textId="77777777" w:rsidR="002D3213" w:rsidRPr="002D3213" w:rsidRDefault="002D3213" w:rsidP="002D3213">
      <w:pPr>
        <w:ind w:left="1440" w:hanging="360"/>
        <w:jc w:val="left"/>
        <w:rPr>
          <w:rFonts w:eastAsia="Times New Roman"/>
          <w:color w:val="000000"/>
          <w:szCs w:val="20"/>
        </w:rPr>
      </w:pPr>
      <w:r w:rsidRPr="002D3213">
        <w:rPr>
          <w:rFonts w:eastAsia="Times New Roman"/>
          <w:color w:val="000000"/>
          <w:szCs w:val="20"/>
        </w:rPr>
        <w:t xml:space="preserve">To compute moisture allowance </w:t>
      </w:r>
      <w:r w:rsidRPr="002D3213">
        <w:rPr>
          <w:rFonts w:eastAsia="Times New Roman"/>
          <w:b/>
          <w:bCs/>
          <w:color w:val="000000"/>
          <w:szCs w:val="20"/>
          <w:u w:val="single"/>
        </w:rPr>
        <w:t>consideration</w:t>
      </w:r>
      <w:r w:rsidRPr="002D3213">
        <w:rPr>
          <w:rFonts w:eastAsia="Times New Roman"/>
          <w:color w:val="000000"/>
          <w:szCs w:val="20"/>
        </w:rPr>
        <w:t>, multiply the labeled quantity by the decimal percent value of the allowance.  Record this value in Box 13a.</w:t>
      </w:r>
    </w:p>
    <w:p w14:paraId="63764060" w14:textId="77777777" w:rsidR="002D3213" w:rsidRPr="002D3213" w:rsidRDefault="002D3213" w:rsidP="002D3213">
      <w:pPr>
        <w:spacing w:after="0"/>
        <w:ind w:left="2160"/>
        <w:rPr>
          <w:rFonts w:eastAsia="Times New Roman"/>
          <w:b/>
          <w:bCs/>
          <w:color w:val="000000"/>
          <w:szCs w:val="20"/>
        </w:rPr>
      </w:pPr>
      <w:r w:rsidRPr="002D3213">
        <w:rPr>
          <w:rFonts w:eastAsia="Times New Roman"/>
          <w:b/>
          <w:bCs/>
          <w:color w:val="000000"/>
          <w:szCs w:val="20"/>
        </w:rPr>
        <w:t xml:space="preserve">Example:  </w:t>
      </w:r>
    </w:p>
    <w:p w14:paraId="4A90A16E" w14:textId="77777777" w:rsidR="002D3213" w:rsidRPr="002D3213" w:rsidRDefault="002D3213" w:rsidP="002D3213">
      <w:pPr>
        <w:spacing w:after="0"/>
        <w:ind w:left="2160"/>
        <w:rPr>
          <w:rFonts w:eastAsia="Times New Roman"/>
          <w:i/>
          <w:iCs/>
          <w:color w:val="000000"/>
          <w:spacing w:val="4"/>
          <w:szCs w:val="20"/>
        </w:rPr>
      </w:pPr>
      <w:r w:rsidRPr="002D3213">
        <w:rPr>
          <w:rFonts w:eastAsia="Times New Roman"/>
          <w:i/>
          <w:iCs/>
          <w:color w:val="000000"/>
          <w:spacing w:val="4"/>
          <w:szCs w:val="20"/>
        </w:rPr>
        <w:t>Labeled net quantity of flour is 907 g (2 lb)</w:t>
      </w:r>
    </w:p>
    <w:p w14:paraId="298DCAC9" w14:textId="77777777" w:rsidR="002D3213" w:rsidRPr="002D3213" w:rsidRDefault="002D3213" w:rsidP="002D3213">
      <w:pPr>
        <w:spacing w:after="0"/>
        <w:ind w:left="2160"/>
        <w:rPr>
          <w:rFonts w:eastAsia="Times New Roman"/>
          <w:i/>
          <w:iCs/>
          <w:color w:val="000000"/>
          <w:spacing w:val="4"/>
          <w:szCs w:val="20"/>
        </w:rPr>
      </w:pPr>
      <w:r w:rsidRPr="002D3213">
        <w:rPr>
          <w:rFonts w:eastAsia="Times New Roman"/>
          <w:i/>
          <w:iCs/>
          <w:color w:val="000000"/>
          <w:spacing w:val="4"/>
          <w:szCs w:val="20"/>
        </w:rPr>
        <w:t xml:space="preserve">Moisture Allowance </w:t>
      </w:r>
      <w:r w:rsidRPr="002D3213">
        <w:rPr>
          <w:rFonts w:eastAsia="Times New Roman"/>
          <w:b/>
          <w:bCs/>
          <w:i/>
          <w:iCs/>
          <w:color w:val="000000"/>
          <w:spacing w:val="4"/>
          <w:szCs w:val="20"/>
          <w:u w:val="single"/>
        </w:rPr>
        <w:t>Consideration</w:t>
      </w:r>
      <w:r w:rsidRPr="002D3213">
        <w:rPr>
          <w:rFonts w:eastAsia="Times New Roman"/>
          <w:i/>
          <w:iCs/>
          <w:color w:val="000000"/>
          <w:spacing w:val="4"/>
          <w:szCs w:val="20"/>
        </w:rPr>
        <w:t xml:space="preserve"> is 3 % (0.03)</w:t>
      </w:r>
    </w:p>
    <w:p w14:paraId="3FA941FC"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 xml:space="preserve">Moisture Allowance </w:t>
      </w:r>
      <w:r w:rsidRPr="002D3213">
        <w:rPr>
          <w:rFonts w:eastAsia="Times New Roman"/>
          <w:b/>
          <w:bCs/>
          <w:i/>
          <w:iCs/>
          <w:color w:val="000000"/>
          <w:spacing w:val="4"/>
          <w:szCs w:val="20"/>
          <w:u w:val="single"/>
        </w:rPr>
        <w:t>Consideration</w:t>
      </w:r>
      <w:r w:rsidRPr="002D3213">
        <w:rPr>
          <w:rFonts w:eastAsia="Times New Roman"/>
          <w:color w:val="000000"/>
          <w:spacing w:val="4"/>
          <w:szCs w:val="20"/>
        </w:rPr>
        <w:t xml:space="preserve"> </w:t>
      </w:r>
      <w:r w:rsidRPr="002D3213">
        <w:rPr>
          <w:rFonts w:eastAsia="Times New Roman"/>
          <w:i/>
          <w:iCs/>
          <w:color w:val="000000"/>
          <w:spacing w:val="4"/>
          <w:szCs w:val="20"/>
        </w:rPr>
        <w:t>= 907 g (2 lb) × 0.03 = 27 g (0.06 lb)</w:t>
      </w:r>
    </w:p>
    <w:p w14:paraId="5B552687" w14:textId="77777777" w:rsidR="002D3213" w:rsidRPr="002D3213" w:rsidRDefault="002D3213" w:rsidP="002D3213">
      <w:pPr>
        <w:ind w:left="1440" w:hanging="360"/>
        <w:jc w:val="left"/>
        <w:rPr>
          <w:rFonts w:eastAsia="Times New Roman"/>
          <w:color w:val="000000"/>
          <w:szCs w:val="20"/>
        </w:rPr>
      </w:pPr>
      <w:r w:rsidRPr="002D3213">
        <w:rPr>
          <w:rFonts w:eastAsia="Times New Roman"/>
          <w:color w:val="000000"/>
          <w:szCs w:val="20"/>
        </w:rPr>
        <w:t xml:space="preserve">If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is known in advance (e.g., flour, pasta products</w:t>
      </w:r>
      <w:r w:rsidRPr="002D3213">
        <w:rPr>
          <w:rFonts w:eastAsia="Times New Roman"/>
          <w:color w:val="000000"/>
          <w:szCs w:val="20"/>
        </w:rPr>
        <w:fldChar w:fldCharType="begin"/>
      </w:r>
      <w:r w:rsidRPr="002D3213">
        <w:rPr>
          <w:rFonts w:eastAsia="Times New Roman"/>
          <w:color w:val="000000"/>
          <w:szCs w:val="20"/>
        </w:rPr>
        <w:instrText xml:space="preserve"> XE "Pasta Products" </w:instrText>
      </w:r>
      <w:r w:rsidRPr="002D3213">
        <w:rPr>
          <w:rFonts w:eastAsia="Times New Roman"/>
          <w:color w:val="000000"/>
          <w:szCs w:val="20"/>
        </w:rPr>
        <w:fldChar w:fldCharType="end"/>
      </w:r>
      <w:r w:rsidRPr="002D3213">
        <w:rPr>
          <w:rFonts w:eastAsia="Times New Roman"/>
          <w:color w:val="000000"/>
          <w:szCs w:val="20"/>
        </w:rPr>
        <w:t xml:space="preserve">, and dry pet food), it can be applied by adjusting the Nominal Gross Weight used to determine the sample package errors.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in Box 13a is subtracted from the Nominal Gross Weight to obtain an Adjusted Nominal Gross Weight which is entered in Box 14.  The Nominal Gross Weight is defined in Section 2.3.6.1. as the sum of the Labeled Weight and the Average Tare Weight from Box 13.  </w:t>
      </w:r>
    </w:p>
    <w:p w14:paraId="6CB3FBE8" w14:textId="77777777" w:rsidR="002D3213" w:rsidRPr="002D3213" w:rsidRDefault="002D3213" w:rsidP="002D3213">
      <w:pPr>
        <w:spacing w:after="0"/>
        <w:ind w:left="2160"/>
        <w:rPr>
          <w:rFonts w:eastAsia="Times New Roman"/>
          <w:b/>
          <w:bCs/>
          <w:color w:val="000000"/>
          <w:szCs w:val="20"/>
        </w:rPr>
      </w:pPr>
      <w:r w:rsidRPr="002D3213">
        <w:rPr>
          <w:rFonts w:eastAsia="Times New Roman"/>
          <w:b/>
          <w:bCs/>
          <w:color w:val="000000"/>
          <w:szCs w:val="20"/>
        </w:rPr>
        <w:t>Example:</w:t>
      </w:r>
    </w:p>
    <w:p w14:paraId="4FD3DE94"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Use a Labeled Weight of 907 g (2 lb) and an Average Tare Weight of 14 g (0.03 lb)</w:t>
      </w:r>
    </w:p>
    <w:p w14:paraId="0E0EB1CE"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The calculation is:</w:t>
      </w:r>
    </w:p>
    <w:p w14:paraId="64C7DDBC"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 xml:space="preserve">Labeled Net Quantity 907 g (2 lb) + Average Tare Weight 14 g (0.03 lb) = 921 g (2.03 lb) – Moisture Allowance </w:t>
      </w:r>
      <w:r w:rsidRPr="002D3213">
        <w:rPr>
          <w:rFonts w:eastAsia="Times New Roman"/>
          <w:b/>
          <w:bCs/>
          <w:i/>
          <w:iCs/>
          <w:color w:val="000000"/>
          <w:spacing w:val="4"/>
          <w:szCs w:val="20"/>
          <w:u w:val="single"/>
        </w:rPr>
        <w:t>Consideration</w:t>
      </w:r>
      <w:r w:rsidRPr="002D3213">
        <w:rPr>
          <w:rFonts w:eastAsia="Times New Roman"/>
          <w:i/>
          <w:iCs/>
          <w:color w:val="000000"/>
          <w:spacing w:val="4"/>
          <w:szCs w:val="20"/>
        </w:rPr>
        <w:t xml:space="preserve"> 27 g (0.06 lb) = Adjusted Nominal Gross Weight of 894 g (1.97 lb)</w:t>
      </w:r>
    </w:p>
    <w:p w14:paraId="62927473" w14:textId="77777777" w:rsidR="002D3213" w:rsidRPr="002D3213" w:rsidRDefault="002D3213" w:rsidP="002D3213">
      <w:pPr>
        <w:ind w:left="1800"/>
        <w:rPr>
          <w:rFonts w:eastAsia="Times New Roman"/>
          <w:color w:val="000000"/>
          <w:szCs w:val="20"/>
        </w:rPr>
      </w:pPr>
      <w:r w:rsidRPr="002D3213">
        <w:rPr>
          <w:rFonts w:eastAsia="Times New Roman"/>
          <w:color w:val="000000"/>
          <w:szCs w:val="20"/>
        </w:rPr>
        <w:t>This result is entered in Box 14.</w:t>
      </w:r>
    </w:p>
    <w:p w14:paraId="278A42FC" w14:textId="77777777" w:rsidR="002D3213" w:rsidRPr="002D3213" w:rsidRDefault="002D3213" w:rsidP="002D3213">
      <w:pPr>
        <w:ind w:left="1440" w:hanging="360"/>
        <w:jc w:val="left"/>
        <w:rPr>
          <w:rFonts w:eastAsia="Times New Roman"/>
          <w:color w:val="000000"/>
          <w:szCs w:val="20"/>
        </w:rPr>
      </w:pPr>
      <w:r w:rsidRPr="002D3213">
        <w:rPr>
          <w:rFonts w:eastAsia="Times New Roman"/>
          <w:color w:val="000000"/>
          <w:szCs w:val="20"/>
        </w:rPr>
        <w:t>Determine package errors by subtracting the Adjusted Nominal Gross Weight from the Gross Weights of the Sample Packages.</w:t>
      </w:r>
    </w:p>
    <w:p w14:paraId="59292443" w14:textId="77777777" w:rsidR="002D3213" w:rsidRPr="002D3213" w:rsidRDefault="002D3213" w:rsidP="002D3213">
      <w:pPr>
        <w:spacing w:after="0"/>
        <w:ind w:left="2160"/>
        <w:rPr>
          <w:rFonts w:eastAsia="Times New Roman"/>
          <w:b/>
          <w:bCs/>
          <w:color w:val="000000"/>
          <w:szCs w:val="20"/>
        </w:rPr>
      </w:pPr>
      <w:r w:rsidRPr="002D3213">
        <w:rPr>
          <w:rFonts w:eastAsia="Times New Roman"/>
          <w:b/>
          <w:bCs/>
          <w:color w:val="000000"/>
          <w:szCs w:val="20"/>
        </w:rPr>
        <w:t>Example:</w:t>
      </w:r>
    </w:p>
    <w:p w14:paraId="1A60F52F"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The calculation is:</w:t>
      </w:r>
    </w:p>
    <w:p w14:paraId="14AAD38F" w14:textId="77777777" w:rsidR="002D3213" w:rsidRPr="002D3213" w:rsidRDefault="002D3213" w:rsidP="002D3213">
      <w:pPr>
        <w:ind w:left="2160"/>
        <w:rPr>
          <w:rFonts w:eastAsia="Times New Roman"/>
          <w:i/>
          <w:iCs/>
          <w:color w:val="000000"/>
          <w:spacing w:val="4"/>
          <w:szCs w:val="20"/>
        </w:rPr>
      </w:pPr>
      <w:r w:rsidRPr="002D3213">
        <w:rPr>
          <w:rFonts w:eastAsia="Times New Roman"/>
          <w:i/>
          <w:iCs/>
          <w:color w:val="000000"/>
          <w:spacing w:val="4"/>
          <w:szCs w:val="20"/>
        </w:rPr>
        <w:t>Gross Weight of the Sample Packages – Adjusted Nominal Gross Weight = Package Error</w:t>
      </w:r>
    </w:p>
    <w:p w14:paraId="7882D35D" w14:textId="6FF3E320" w:rsidR="002D3213" w:rsidRPr="002D3213" w:rsidRDefault="002D3213" w:rsidP="00865B09">
      <w:pPr>
        <w:keepNext/>
        <w:keepLines/>
        <w:spacing w:after="0"/>
        <w:ind w:left="1440"/>
        <w:rPr>
          <w:rFonts w:eastAsia="Times New Roman"/>
          <w:color w:val="000000"/>
          <w:szCs w:val="20"/>
        </w:rPr>
      </w:pPr>
      <w:r w:rsidRPr="002D3213">
        <w:rPr>
          <w:rFonts w:eastAsia="Times New Roman"/>
          <w:b/>
          <w:color w:val="000000"/>
          <w:szCs w:val="20"/>
        </w:rPr>
        <w:lastRenderedPageBreak/>
        <w:t>Note:</w:t>
      </w:r>
      <w:r w:rsidRPr="002D3213">
        <w:rPr>
          <w:rFonts w:eastAsia="Times New Roman"/>
          <w:color w:val="000000"/>
          <w:szCs w:val="20"/>
        </w:rPr>
        <w:t xml:space="preserve"> When the Nominal Gross Weight is adjusted by subtracting the Moisture Allowance </w:t>
      </w:r>
      <w:r w:rsidRPr="002D3213">
        <w:rPr>
          <w:rFonts w:eastAsia="Times New Roman"/>
          <w:b/>
          <w:bCs/>
          <w:color w:val="000000"/>
          <w:szCs w:val="20"/>
          <w:u w:val="single"/>
        </w:rPr>
        <w:t xml:space="preserve">Consideration </w:t>
      </w:r>
      <w:r w:rsidRPr="002D3213">
        <w:rPr>
          <w:rFonts w:eastAsia="Times New Roman"/>
          <w:color w:val="000000"/>
          <w:szCs w:val="20"/>
        </w:rPr>
        <w:t>value(s) the Maximum Allowable Variation</w:t>
      </w:r>
      <w:r w:rsidRPr="002D3213">
        <w:rPr>
          <w:rFonts w:eastAsia="Times New Roman"/>
          <w:color w:val="000000"/>
          <w:szCs w:val="20"/>
        </w:rPr>
        <w:fldChar w:fldCharType="begin"/>
      </w:r>
      <w:r w:rsidRPr="002D3213">
        <w:rPr>
          <w:rFonts w:eastAsia="Times New Roman"/>
          <w:color w:val="000000"/>
          <w:szCs w:val="20"/>
        </w:rPr>
        <w:instrText xml:space="preserve"> XE "Maximum Allowable Variation (MAV)" </w:instrText>
      </w:r>
      <w:r w:rsidRPr="002D3213">
        <w:rPr>
          <w:rFonts w:eastAsia="Times New Roman"/>
          <w:color w:val="000000"/>
          <w:szCs w:val="20"/>
        </w:rPr>
        <w:fldChar w:fldCharType="end"/>
      </w:r>
      <w:r w:rsidRPr="002D3213">
        <w:rPr>
          <w:rFonts w:eastAsia="Times New Roman"/>
          <w:color w:val="000000"/>
          <w:szCs w:val="20"/>
        </w:rPr>
        <w:t xml:space="preserve">(s) is not changed.  This is because the errors that will be found in the sample packages have been adjusted by subtracting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(e.g., 3 %) from the Nominal Gross Weight.  That increases the individual package errors by the amount of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(e.g., 3 %).  If the value(s) of the MAV(s) were also adjusted it would result in doubling the allowance </w:t>
      </w:r>
      <w:r w:rsidRPr="002D3213">
        <w:rPr>
          <w:rFonts w:eastAsia="Times New Roman"/>
          <w:b/>
          <w:bCs/>
          <w:color w:val="000000"/>
          <w:szCs w:val="20"/>
          <w:u w:val="single"/>
        </w:rPr>
        <w:t>consideration</w:t>
      </w:r>
      <w:r w:rsidRPr="002D3213">
        <w:rPr>
          <w:rFonts w:eastAsia="Times New Roman"/>
          <w:color w:val="000000"/>
          <w:szCs w:val="20"/>
        </w:rPr>
        <w:t>.  MAV is always based on the labeled net quantity.</w:t>
      </w:r>
    </w:p>
    <w:p w14:paraId="4DF37C63" w14:textId="41778052" w:rsidR="002D3213" w:rsidRPr="002D3213" w:rsidRDefault="002D3213" w:rsidP="00865B09">
      <w:pPr>
        <w:keepNext/>
        <w:keepLines/>
        <w:spacing w:before="60"/>
        <w:ind w:left="1440"/>
        <w:rPr>
          <w:rFonts w:eastAsia="Times New Roman"/>
          <w:color w:val="000000"/>
          <w:szCs w:val="20"/>
        </w:rPr>
      </w:pPr>
      <w:r w:rsidRPr="002D3213">
        <w:rPr>
          <w:rFonts w:eastAsia="Times New Roman"/>
          <w:color w:val="000000"/>
          <w:szCs w:val="20"/>
        </w:rPr>
        <w:t>(Added 2010)</w:t>
      </w:r>
      <w:r w:rsidR="00647A72">
        <w:rPr>
          <w:rFonts w:eastAsia="Times New Roman"/>
          <w:color w:val="000000"/>
          <w:szCs w:val="20"/>
        </w:rPr>
        <w:t xml:space="preserve"> </w:t>
      </w:r>
      <w:r w:rsidR="00647A72" w:rsidRPr="004A7E28">
        <w:rPr>
          <w:rFonts w:eastAsia="Times New Roman"/>
          <w:b/>
          <w:bCs/>
          <w:color w:val="000000"/>
          <w:szCs w:val="20"/>
          <w:u w:val="single"/>
        </w:rPr>
        <w:t>(Amended 20XX)</w:t>
      </w:r>
    </w:p>
    <w:p w14:paraId="10F7C77F" w14:textId="77777777" w:rsidR="002D3213" w:rsidRPr="002D3213" w:rsidRDefault="002D3213" w:rsidP="002D3213">
      <w:pPr>
        <w:spacing w:after="160" w:line="259" w:lineRule="auto"/>
        <w:ind w:firstLine="720"/>
        <w:jc w:val="left"/>
        <w:rPr>
          <w:rFonts w:eastAsia="Aptos"/>
          <w:b/>
          <w:bCs/>
          <w:kern w:val="2"/>
          <w:szCs w:val="20"/>
          <w14:ligatures w14:val="standardContextual"/>
        </w:rPr>
      </w:pPr>
      <w:r w:rsidRPr="002D3213">
        <w:rPr>
          <w:rFonts w:eastAsia="Aptos"/>
          <w:b/>
          <w:bCs/>
          <w:kern w:val="2"/>
          <w:szCs w:val="20"/>
          <w14:ligatures w14:val="standardContextual"/>
        </w:rPr>
        <w:t>2.3.8.2. Applying Moisture Allowance after Determining Package Errors</w:t>
      </w:r>
    </w:p>
    <w:p w14:paraId="0CAD0B56" w14:textId="77777777" w:rsidR="002D3213" w:rsidRPr="002D3213" w:rsidRDefault="002D3213" w:rsidP="002D3213">
      <w:pPr>
        <w:ind w:left="720"/>
        <w:rPr>
          <w:rFonts w:eastAsia="Times New Roman"/>
          <w:color w:val="000000"/>
          <w:szCs w:val="20"/>
        </w:rPr>
      </w:pPr>
      <w:r w:rsidRPr="002D3213">
        <w:rPr>
          <w:rFonts w:eastAsia="Times New Roman"/>
          <w:color w:val="000000"/>
          <w:szCs w:val="20"/>
        </w:rPr>
        <w:t xml:space="preserve">Adjustments can be made when the value of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is determined following the test (e.g., after the sample fails or if a packer provides reasonable moisture allowance </w:t>
      </w:r>
      <w:r w:rsidRPr="002D3213">
        <w:rPr>
          <w:rFonts w:eastAsia="Times New Roman"/>
          <w:b/>
          <w:bCs/>
          <w:color w:val="000000"/>
          <w:szCs w:val="20"/>
          <w:u w:val="single"/>
        </w:rPr>
        <w:t>consideration</w:t>
      </w:r>
      <w:r w:rsidRPr="002D3213">
        <w:rPr>
          <w:rFonts w:eastAsia="Times New Roman"/>
          <w:color w:val="000000"/>
          <w:szCs w:val="20"/>
        </w:rPr>
        <w:t xml:space="preserve"> based on data obtained using a scientific method) using the following approach:</w:t>
      </w:r>
    </w:p>
    <w:p w14:paraId="65989E8F" w14:textId="7847DA1C" w:rsidR="002D3213" w:rsidRPr="002D3213" w:rsidRDefault="002D3213" w:rsidP="002D3213">
      <w:pPr>
        <w:ind w:left="720"/>
        <w:rPr>
          <w:rFonts w:eastAsia="Times New Roman"/>
          <w:color w:val="000000"/>
          <w:szCs w:val="20"/>
        </w:rPr>
      </w:pPr>
      <w:bookmarkStart w:id="348" w:name="_Toc226190690"/>
      <w:bookmarkStart w:id="349" w:name="_Toc237415659"/>
      <w:bookmarkStart w:id="350" w:name="_Toc237416633"/>
      <w:bookmarkStart w:id="351" w:name="_Toc237428937"/>
      <w:r w:rsidRPr="002D3213">
        <w:rPr>
          <w:rFonts w:eastAsia="Times New Roman"/>
          <w:color w:val="000000"/>
          <w:szCs w:val="20"/>
        </w:rPr>
        <w:t>If the sample fails the Average Requirement but has no unreasonable package errors, only Step 1 is used.  If the sample passes the Average Requirement but fails because the sample included one or more Unreasonable Minus Errors, only Step 2 is used.</w:t>
      </w:r>
      <w:bookmarkEnd w:id="348"/>
      <w:bookmarkEnd w:id="349"/>
      <w:bookmarkEnd w:id="350"/>
      <w:bookmarkEnd w:id="351"/>
    </w:p>
    <w:p w14:paraId="2B07B642" w14:textId="77777777" w:rsidR="002D3213" w:rsidRPr="002D3213" w:rsidRDefault="002D3213" w:rsidP="002D3213">
      <w:pPr>
        <w:ind w:left="720"/>
        <w:rPr>
          <w:rFonts w:eastAsia="Times New Roman"/>
          <w:color w:val="000000"/>
          <w:szCs w:val="20"/>
        </w:rPr>
      </w:pPr>
      <w:bookmarkStart w:id="352" w:name="_Toc226190689"/>
      <w:bookmarkStart w:id="353" w:name="_Toc237415658"/>
      <w:bookmarkStart w:id="354" w:name="_Toc237416632"/>
      <w:bookmarkStart w:id="355" w:name="_Toc237428936"/>
      <w:r w:rsidRPr="002D3213">
        <w:rPr>
          <w:rFonts w:eastAsia="Times New Roman"/>
          <w:color w:val="000000"/>
          <w:szCs w:val="20"/>
        </w:rPr>
        <w:t>If the sample fails the Average and MAV Requirements, both of the following steps are applied.</w:t>
      </w:r>
      <w:bookmarkEnd w:id="352"/>
      <w:bookmarkEnd w:id="353"/>
      <w:bookmarkEnd w:id="354"/>
      <w:bookmarkEnd w:id="355"/>
    </w:p>
    <w:p w14:paraId="61E7C170" w14:textId="7558D487" w:rsidR="002D3213" w:rsidRPr="00E23EB5" w:rsidRDefault="002D3213" w:rsidP="0076491B">
      <w:pPr>
        <w:pStyle w:val="ListParagraph"/>
        <w:numPr>
          <w:ilvl w:val="1"/>
          <w:numId w:val="34"/>
        </w:numPr>
        <w:spacing w:after="160" w:line="259" w:lineRule="auto"/>
        <w:jc w:val="left"/>
        <w:rPr>
          <w:rFonts w:eastAsia="Times New Roman"/>
          <w:color w:val="000000"/>
          <w:szCs w:val="20"/>
        </w:rPr>
      </w:pPr>
      <w:r w:rsidRPr="00E23EB5">
        <w:rPr>
          <w:rFonts w:eastAsia="Times New Roman"/>
          <w:color w:val="000000"/>
          <w:szCs w:val="20"/>
        </w:rPr>
        <w:t xml:space="preserve">Use the following approach to apply a Moisture Allowance </w:t>
      </w:r>
      <w:r w:rsidRPr="00E23EB5">
        <w:rPr>
          <w:rFonts w:eastAsia="Times New Roman"/>
          <w:b/>
          <w:bCs/>
          <w:color w:val="000000"/>
          <w:szCs w:val="20"/>
          <w:u w:val="single"/>
        </w:rPr>
        <w:t>Consideration</w:t>
      </w:r>
      <w:r w:rsidRPr="00E23EB5">
        <w:rPr>
          <w:rFonts w:eastAsia="Times New Roman"/>
          <w:color w:val="000000"/>
          <w:szCs w:val="20"/>
        </w:rPr>
        <w:t xml:space="preserve"> to the Average Requirement after the test is completed:  </w:t>
      </w:r>
    </w:p>
    <w:p w14:paraId="12F4E020" w14:textId="77777777" w:rsidR="002D3213" w:rsidRPr="002D3213" w:rsidRDefault="002D3213" w:rsidP="002D3213">
      <w:pPr>
        <w:ind w:left="2160" w:hanging="360"/>
        <w:rPr>
          <w:rFonts w:eastAsia="Times New Roman"/>
          <w:color w:val="000000"/>
          <w:szCs w:val="20"/>
        </w:rPr>
      </w:pPr>
      <w:r w:rsidRPr="002D3213">
        <w:rPr>
          <w:rFonts w:eastAsia="Times New Roman"/>
          <w:color w:val="000000"/>
          <w:szCs w:val="20"/>
        </w:rPr>
        <w:t>the Moisture Allowance</w:t>
      </w:r>
      <w:r w:rsidRPr="002D3213">
        <w:rPr>
          <w:rFonts w:eastAsia="Times New Roman"/>
          <w:b/>
          <w:bCs/>
          <w:color w:val="000000"/>
          <w:szCs w:val="20"/>
          <w:u w:val="single"/>
        </w:rPr>
        <w:t xml:space="preserve"> Consideration</w:t>
      </w:r>
      <w:r w:rsidRPr="002D3213">
        <w:rPr>
          <w:rFonts w:eastAsia="Times New Roman"/>
          <w:color w:val="000000"/>
          <w:szCs w:val="20"/>
        </w:rPr>
        <w:t xml:space="preserve"> is computed; </w:t>
      </w:r>
    </w:p>
    <w:p w14:paraId="5746D775" w14:textId="4213F639" w:rsidR="002D3213" w:rsidRPr="00E23EB5" w:rsidRDefault="002D3213" w:rsidP="0076491B">
      <w:pPr>
        <w:pStyle w:val="ListParagraph"/>
        <w:numPr>
          <w:ilvl w:val="1"/>
          <w:numId w:val="34"/>
        </w:numPr>
        <w:jc w:val="left"/>
        <w:rPr>
          <w:rFonts w:eastAsia="Times New Roman"/>
          <w:color w:val="000000"/>
          <w:szCs w:val="20"/>
        </w:rPr>
      </w:pPr>
      <w:r w:rsidRPr="00E23EB5">
        <w:rPr>
          <w:rFonts w:eastAsia="Times New Roman"/>
          <w:color w:val="000000"/>
          <w:szCs w:val="20"/>
        </w:rPr>
        <w:t xml:space="preserve">To apply Moisture Allowance </w:t>
      </w:r>
      <w:r w:rsidRPr="00E23EB5">
        <w:rPr>
          <w:rFonts w:eastAsia="Times New Roman"/>
          <w:b/>
          <w:bCs/>
          <w:color w:val="000000"/>
          <w:szCs w:val="20"/>
          <w:u w:val="single"/>
        </w:rPr>
        <w:t>Consideration</w:t>
      </w:r>
      <w:r w:rsidRPr="00E23EB5">
        <w:rPr>
          <w:rFonts w:eastAsia="Times New Roman"/>
          <w:color w:val="000000"/>
          <w:szCs w:val="20"/>
        </w:rPr>
        <w:t xml:space="preserve"> to the MAV(s) after the test, the following method is recommended:</w:t>
      </w:r>
    </w:p>
    <w:p w14:paraId="53C4874F" w14:textId="77777777" w:rsidR="002D3213" w:rsidRDefault="002D3213" w:rsidP="002D3213">
      <w:pPr>
        <w:ind w:left="2160" w:hanging="360"/>
        <w:rPr>
          <w:rFonts w:eastAsia="Times New Roman"/>
          <w:color w:val="000000"/>
          <w:szCs w:val="20"/>
        </w:rPr>
      </w:pPr>
      <w:r w:rsidRPr="002D3213">
        <w:rPr>
          <w:rFonts w:eastAsia="Times New Roman"/>
          <w:color w:val="000000"/>
          <w:szCs w:val="20"/>
        </w:rPr>
        <w:t xml:space="preserve">compute Moisture Allowance </w:t>
      </w:r>
      <w:r w:rsidRPr="002D3213">
        <w:rPr>
          <w:rFonts w:eastAsia="Times New Roman"/>
          <w:b/>
          <w:bCs/>
          <w:color w:val="000000"/>
          <w:szCs w:val="20"/>
          <w:u w:val="single"/>
        </w:rPr>
        <w:t>Consideration</w:t>
      </w:r>
      <w:r w:rsidRPr="002D3213">
        <w:rPr>
          <w:rFonts w:eastAsia="Times New Roman"/>
          <w:color w:val="000000"/>
          <w:szCs w:val="20"/>
        </w:rPr>
        <w:t xml:space="preserve">; </w:t>
      </w:r>
    </w:p>
    <w:p w14:paraId="4EDEA7F7" w14:textId="3EF26FB2" w:rsidR="00125FA7" w:rsidRDefault="009D2986" w:rsidP="009D2986">
      <w:pPr>
        <w:rPr>
          <w:rFonts w:eastAsia="Times New Roman"/>
          <w:b/>
          <w:bCs/>
          <w:color w:val="000000"/>
          <w:szCs w:val="20"/>
        </w:rPr>
      </w:pPr>
      <w:r>
        <w:rPr>
          <w:rFonts w:eastAsia="Times New Roman"/>
          <w:b/>
          <w:bCs/>
          <w:color w:val="000000"/>
          <w:szCs w:val="20"/>
        </w:rPr>
        <w:t>…</w:t>
      </w:r>
    </w:p>
    <w:p w14:paraId="6E8A68C4" w14:textId="2092FED9" w:rsidR="00125FA7" w:rsidRPr="00FC0BCB" w:rsidRDefault="00FC0BCB" w:rsidP="002D3213">
      <w:pPr>
        <w:ind w:left="2160" w:hanging="360"/>
        <w:rPr>
          <w:rFonts w:eastAsia="Times New Roman"/>
          <w:b/>
          <w:bCs/>
          <w:color w:val="000000"/>
          <w:szCs w:val="20"/>
        </w:rPr>
      </w:pPr>
      <w:r w:rsidRPr="00FC0BCB">
        <w:rPr>
          <w:color w:val="000000"/>
          <w:szCs w:val="20"/>
        </w:rPr>
        <w:t>(Added 2010)</w:t>
      </w:r>
      <w:r>
        <w:rPr>
          <w:color w:val="000000"/>
          <w:szCs w:val="20"/>
        </w:rPr>
        <w:t xml:space="preserve"> </w:t>
      </w:r>
      <w:r w:rsidRPr="00596B7B">
        <w:rPr>
          <w:b/>
          <w:bCs/>
          <w:color w:val="000000"/>
          <w:szCs w:val="20"/>
          <w:u w:val="single"/>
        </w:rPr>
        <w:t>(Amended 20XX)</w:t>
      </w:r>
    </w:p>
    <w:p w14:paraId="3587B971" w14:textId="77777777" w:rsidR="002D3213" w:rsidRPr="002D3213" w:rsidRDefault="002D3213" w:rsidP="002D3213">
      <w:pPr>
        <w:spacing w:after="160" w:line="259" w:lineRule="auto"/>
        <w:jc w:val="left"/>
        <w:rPr>
          <w:rFonts w:eastAsia="Aptos"/>
          <w:b/>
          <w:bCs/>
          <w:kern w:val="2"/>
          <w:szCs w:val="20"/>
          <w14:ligatures w14:val="standardContextual"/>
        </w:rPr>
      </w:pPr>
      <w:r w:rsidRPr="002D3213">
        <w:rPr>
          <w:rFonts w:eastAsia="Aptos"/>
          <w:b/>
          <w:bCs/>
          <w:kern w:val="2"/>
          <w:szCs w:val="20"/>
          <w14:ligatures w14:val="standardContextual"/>
        </w:rPr>
        <w:t xml:space="preserve">Moisture Allowance </w:t>
      </w:r>
      <w:r w:rsidRPr="002D3213">
        <w:rPr>
          <w:rFonts w:eastAsia="Aptos"/>
          <w:b/>
          <w:bCs/>
          <w:kern w:val="2"/>
          <w:szCs w:val="20"/>
          <w:u w:val="single"/>
          <w14:ligatures w14:val="standardContextual"/>
        </w:rPr>
        <w:t>Consideration</w:t>
      </w:r>
      <w:r w:rsidRPr="002D3213">
        <w:rPr>
          <w:rFonts w:eastAsia="Aptos"/>
          <w:b/>
          <w:bCs/>
          <w:kern w:val="2"/>
          <w:szCs w:val="20"/>
          <w14:ligatures w14:val="standardContextual"/>
        </w:rPr>
        <w:t xml:space="preserve"> Gray Area</w:t>
      </w:r>
    </w:p>
    <w:p w14:paraId="32E1F26D" w14:textId="77777777" w:rsidR="002D3213" w:rsidRPr="002D3213" w:rsidRDefault="002D3213" w:rsidP="002D3213">
      <w:pPr>
        <w:ind w:left="720"/>
        <w:rPr>
          <w:rFonts w:eastAsia="Times New Roman"/>
          <w:color w:val="000000"/>
          <w:szCs w:val="20"/>
        </w:rPr>
      </w:pPr>
      <w:r w:rsidRPr="002D3213">
        <w:rPr>
          <w:rFonts w:eastAsia="Times New Roman"/>
          <w:color w:val="000000"/>
          <w:szCs w:val="20"/>
        </w:rPr>
        <w:t xml:space="preserve">When the average error of a lot of fresh poultry, franks/hot dogs, or pasta products is minus but does not exceed the established “moisture allowance </w:t>
      </w:r>
      <w:r w:rsidRPr="002D3213">
        <w:rPr>
          <w:rFonts w:eastAsia="Times New Roman"/>
          <w:b/>
          <w:bCs/>
          <w:color w:val="000000"/>
          <w:szCs w:val="20"/>
          <w:u w:val="single"/>
        </w:rPr>
        <w:t>consideration</w:t>
      </w:r>
      <w:r w:rsidRPr="002D3213">
        <w:rPr>
          <w:rFonts w:eastAsia="Times New Roman"/>
          <w:color w:val="000000"/>
          <w:szCs w:val="20"/>
        </w:rPr>
        <w:t>” or “gray area,” contact the</w:t>
      </w:r>
      <w:r w:rsidRPr="002D3213">
        <w:rPr>
          <w:rFonts w:eastAsia="Times New Roman"/>
          <w:b/>
          <w:color w:val="000000"/>
          <w:szCs w:val="20"/>
        </w:rPr>
        <w:t xml:space="preserve"> </w:t>
      </w:r>
      <w:r w:rsidRPr="002D3213">
        <w:rPr>
          <w:rFonts w:eastAsia="Times New Roman"/>
          <w:color w:val="000000"/>
          <w:szCs w:val="20"/>
        </w:rPr>
        <w:t>packer or plant management personnel to determine what information is available on the lot in question.  Questions to the plant management representative may include:</w:t>
      </w:r>
    </w:p>
    <w:p w14:paraId="3EFCA06F" w14:textId="72078B0A" w:rsidR="00F4289C" w:rsidRPr="00687167" w:rsidRDefault="002D3213" w:rsidP="00687167">
      <w:pPr>
        <w:ind w:left="720"/>
        <w:rPr>
          <w:rFonts w:eastAsia="Times New Roman"/>
          <w:color w:val="000000"/>
          <w:szCs w:val="20"/>
        </w:rPr>
      </w:pPr>
      <w:r w:rsidRPr="002D3213">
        <w:rPr>
          <w:rFonts w:eastAsia="Times New Roman"/>
          <w:color w:val="000000"/>
          <w:szCs w:val="20"/>
        </w:rPr>
        <w:t>This handbook provides “moisture allowance</w:t>
      </w:r>
      <w:r w:rsidRPr="00BA284B">
        <w:rPr>
          <w:rFonts w:eastAsia="Times New Roman"/>
          <w:strike/>
          <w:color w:val="000000"/>
          <w:szCs w:val="20"/>
        </w:rPr>
        <w:t>s</w:t>
      </w:r>
      <w:r w:rsidRPr="002D3213">
        <w:rPr>
          <w:rFonts w:eastAsia="Times New Roman"/>
          <w:color w:val="000000"/>
          <w:szCs w:val="20"/>
        </w:rPr>
        <w:t xml:space="preserve"> </w:t>
      </w:r>
      <w:r w:rsidRPr="002D3213">
        <w:rPr>
          <w:rFonts w:eastAsia="Times New Roman"/>
          <w:b/>
          <w:bCs/>
          <w:color w:val="000000"/>
          <w:szCs w:val="20"/>
          <w:u w:val="single"/>
        </w:rPr>
        <w:t>considerations</w:t>
      </w:r>
      <w:r w:rsidRPr="002D3213">
        <w:rPr>
          <w:rFonts w:eastAsia="Times New Roman"/>
          <w:color w:val="000000"/>
          <w:szCs w:val="20"/>
        </w:rPr>
        <w:t xml:space="preserve">” for some meat and poultry products, flour, pasta products, and dry pet food.  These allowances are based on the premise that when the average net weight of a sample is found to be less than the labeled weight, but not by an amount that exceeds the allowable limit, either the lot is declared to be within the moisture allowance </w:t>
      </w:r>
      <w:r w:rsidRPr="002D3213">
        <w:rPr>
          <w:rFonts w:eastAsia="Times New Roman"/>
          <w:b/>
          <w:bCs/>
          <w:color w:val="000000"/>
          <w:szCs w:val="20"/>
          <w:u w:val="single"/>
        </w:rPr>
        <w:t>consideration</w:t>
      </w:r>
      <w:r w:rsidRPr="002D3213">
        <w:rPr>
          <w:rFonts w:eastAsia="Times New Roman"/>
          <w:color w:val="000000"/>
          <w:szCs w:val="20"/>
        </w:rPr>
        <w:t xml:space="preserve"> or further investigation can be conducted.</w:t>
      </w:r>
    </w:p>
    <w:p w14:paraId="7CA394E4" w14:textId="3C88C02D" w:rsidR="00F4289C" w:rsidRPr="00490289" w:rsidRDefault="00F4289C" w:rsidP="0076491B">
      <w:pPr>
        <w:pStyle w:val="ListParagraph"/>
        <w:keepNext/>
        <w:keepLines/>
        <w:numPr>
          <w:ilvl w:val="0"/>
          <w:numId w:val="33"/>
        </w:numPr>
        <w:spacing w:before="240"/>
        <w:outlineLvl w:val="1"/>
        <w:rPr>
          <w:rFonts w:ascii="Times New Roman Bold" w:hAnsi="Times New Roman Bold"/>
          <w:b/>
          <w:bCs/>
          <w:vanish/>
          <w:sz w:val="24"/>
          <w:lang w:val="x-none" w:eastAsia="x-none"/>
        </w:rPr>
      </w:pPr>
      <w:bookmarkStart w:id="356" w:name="_Toc446212143"/>
      <w:bookmarkStart w:id="357" w:name="_Toc237353807"/>
      <w:bookmarkStart w:id="358" w:name="_Toc237415622"/>
      <w:bookmarkStart w:id="359" w:name="_Toc237416596"/>
      <w:bookmarkStart w:id="360" w:name="_Toc237428838"/>
      <w:bookmarkStart w:id="361" w:name="_Toc325575117"/>
      <w:bookmarkStart w:id="362" w:name="_Toc291667155"/>
      <w:bookmarkStart w:id="363" w:name="_Toc486756270"/>
      <w:bookmarkStart w:id="364" w:name="_Toc464111556"/>
      <w:bookmarkStart w:id="365" w:name="_Toc464123752"/>
      <w:bookmarkStart w:id="366" w:name="_Toc111622657"/>
      <w:bookmarkStart w:id="367" w:name="_Toc446212133"/>
    </w:p>
    <w:p w14:paraId="2A93F57A" w14:textId="6541496D" w:rsidR="00F4289C" w:rsidRPr="00490289" w:rsidRDefault="00F4289C" w:rsidP="0076491B">
      <w:pPr>
        <w:pStyle w:val="ListParagraph"/>
        <w:keepNext/>
        <w:keepLines/>
        <w:numPr>
          <w:ilvl w:val="1"/>
          <w:numId w:val="33"/>
        </w:numPr>
        <w:spacing w:before="240"/>
        <w:outlineLvl w:val="1"/>
        <w:rPr>
          <w:rFonts w:ascii="Times New Roman Bold" w:hAnsi="Times New Roman Bold"/>
          <w:b/>
          <w:bCs/>
          <w:vanish/>
          <w:sz w:val="24"/>
          <w:lang w:val="x-none" w:eastAsia="x-none"/>
        </w:rPr>
      </w:pPr>
    </w:p>
    <w:p w14:paraId="6AD311E8" w14:textId="00A28F94" w:rsidR="00F4289C" w:rsidRDefault="00F4289C" w:rsidP="00F4289C">
      <w:pPr>
        <w:keepNext/>
        <w:spacing w:after="0"/>
      </w:pPr>
      <w:bookmarkStart w:id="368" w:name="_Toc528151907"/>
      <w:bookmarkStart w:id="369" w:name="_Toc528154679"/>
      <w:bookmarkStart w:id="370" w:name="_Toc528155189"/>
      <w:bookmarkStart w:id="371" w:name="_Toc528155945"/>
      <w:bookmarkStart w:id="372" w:name="_Toc528156466"/>
      <w:bookmarkStart w:id="373" w:name="_Toc528156991"/>
      <w:bookmarkStart w:id="374" w:name="_Toc528160502"/>
      <w:bookmarkStart w:id="375" w:name="_Toc528161022"/>
      <w:bookmarkStart w:id="376" w:name="_Toc528825596"/>
      <w:bookmarkStart w:id="377" w:name="_Toc528826420"/>
      <w:bookmarkStart w:id="378" w:name="_Toc528826790"/>
      <w:bookmarkStart w:id="379" w:name="_Toc18995463"/>
      <w:bookmarkStart w:id="380" w:name="_Toc18997016"/>
      <w:bookmarkStart w:id="381" w:name="_Toc21589402"/>
      <w:bookmarkStart w:id="382" w:name="_Toc21589927"/>
      <w:bookmarkStart w:id="383" w:name="_Toc21590321"/>
      <w:bookmarkStart w:id="384" w:name="_Toc21591517"/>
      <w:bookmarkStart w:id="385" w:name="_Toc21592275"/>
      <w:bookmarkStart w:id="386" w:name="_Toc21593006"/>
      <w:bookmarkStart w:id="387" w:name="_Toc23425762"/>
      <w:bookmarkStart w:id="388" w:name="_Toc24532769"/>
      <w:bookmarkStart w:id="389" w:name="_Toc24533172"/>
      <w:bookmarkStart w:id="390" w:name="_Toc24533573"/>
      <w:bookmarkStart w:id="391" w:name="_Toc24613567"/>
      <w:bookmarkStart w:id="392" w:name="_Toc105840213"/>
      <w:bookmarkStart w:id="393" w:name="_Toc105840615"/>
      <w:bookmarkStart w:id="394" w:name="_Toc106015334"/>
      <w:bookmarkStart w:id="395" w:name="_Toc110840811"/>
      <w:bookmarkStart w:id="396" w:name="_Toc111622670"/>
      <w:bookmarkStart w:id="397" w:name="_Toc528151908"/>
      <w:bookmarkStart w:id="398" w:name="_Toc528154680"/>
      <w:bookmarkStart w:id="399" w:name="_Toc528155190"/>
      <w:bookmarkStart w:id="400" w:name="_Toc528155946"/>
      <w:bookmarkStart w:id="401" w:name="_Toc528156467"/>
      <w:bookmarkStart w:id="402" w:name="_Toc528156992"/>
      <w:bookmarkStart w:id="403" w:name="_Toc528160503"/>
      <w:bookmarkStart w:id="404" w:name="_Toc528161023"/>
      <w:bookmarkStart w:id="405" w:name="_Toc528825597"/>
      <w:bookmarkStart w:id="406" w:name="_Toc528826421"/>
      <w:bookmarkStart w:id="407" w:name="_Toc528826791"/>
      <w:bookmarkStart w:id="408" w:name="_Toc18995464"/>
      <w:bookmarkStart w:id="409" w:name="_Toc18997017"/>
      <w:bookmarkStart w:id="410" w:name="_Toc21589403"/>
      <w:bookmarkStart w:id="411" w:name="_Toc21589928"/>
      <w:bookmarkStart w:id="412" w:name="_Toc21590322"/>
      <w:bookmarkStart w:id="413" w:name="_Toc21591518"/>
      <w:bookmarkStart w:id="414" w:name="_Toc21592276"/>
      <w:bookmarkStart w:id="415" w:name="_Toc21593007"/>
      <w:bookmarkStart w:id="416" w:name="_Toc23425763"/>
      <w:bookmarkStart w:id="417" w:name="_Toc24532770"/>
      <w:bookmarkStart w:id="418" w:name="_Toc24533173"/>
      <w:bookmarkStart w:id="419" w:name="_Toc24533574"/>
      <w:bookmarkStart w:id="420" w:name="_Toc24613568"/>
      <w:bookmarkStart w:id="421" w:name="_Toc105840214"/>
      <w:bookmarkStart w:id="422" w:name="_Toc105840616"/>
      <w:bookmarkStart w:id="423" w:name="_Toc106015335"/>
      <w:bookmarkStart w:id="424" w:name="_Toc110840812"/>
      <w:bookmarkStart w:id="425" w:name="_Toc111622671"/>
      <w:bookmarkStart w:id="426" w:name="_Toc528151909"/>
      <w:bookmarkStart w:id="427" w:name="_Toc528154681"/>
      <w:bookmarkStart w:id="428" w:name="_Toc528155191"/>
      <w:bookmarkStart w:id="429" w:name="_Toc528155947"/>
      <w:bookmarkStart w:id="430" w:name="_Toc528156468"/>
      <w:bookmarkStart w:id="431" w:name="_Toc528156993"/>
      <w:bookmarkStart w:id="432" w:name="_Toc528160504"/>
      <w:bookmarkStart w:id="433" w:name="_Toc528161024"/>
      <w:bookmarkStart w:id="434" w:name="_Toc528825598"/>
      <w:bookmarkStart w:id="435" w:name="_Toc528826422"/>
      <w:bookmarkStart w:id="436" w:name="_Toc528826792"/>
      <w:bookmarkStart w:id="437" w:name="_Toc18995465"/>
      <w:bookmarkStart w:id="438" w:name="_Toc18997018"/>
      <w:bookmarkStart w:id="439" w:name="_Toc21589404"/>
      <w:bookmarkStart w:id="440" w:name="_Toc21589929"/>
      <w:bookmarkStart w:id="441" w:name="_Toc21590323"/>
      <w:bookmarkStart w:id="442" w:name="_Toc21591519"/>
      <w:bookmarkStart w:id="443" w:name="_Toc21592277"/>
      <w:bookmarkStart w:id="444" w:name="_Toc21593008"/>
      <w:bookmarkStart w:id="445" w:name="_Toc23425764"/>
      <w:bookmarkStart w:id="446" w:name="_Toc24532771"/>
      <w:bookmarkStart w:id="447" w:name="_Toc24533174"/>
      <w:bookmarkStart w:id="448" w:name="_Toc24533575"/>
      <w:bookmarkStart w:id="449" w:name="_Toc24613569"/>
      <w:bookmarkStart w:id="450" w:name="_Toc105840215"/>
      <w:bookmarkStart w:id="451" w:name="_Toc105840617"/>
      <w:bookmarkStart w:id="452" w:name="_Toc106015336"/>
      <w:bookmarkStart w:id="453" w:name="_Toc110840813"/>
      <w:bookmarkStart w:id="454" w:name="_Toc111622672"/>
      <w:bookmarkStart w:id="455" w:name="_Toc528151910"/>
      <w:bookmarkStart w:id="456" w:name="_Toc528154682"/>
      <w:bookmarkStart w:id="457" w:name="_Toc528155192"/>
      <w:bookmarkStart w:id="458" w:name="_Toc528155948"/>
      <w:bookmarkStart w:id="459" w:name="_Toc528156469"/>
      <w:bookmarkStart w:id="460" w:name="_Toc528156994"/>
      <w:bookmarkStart w:id="461" w:name="_Toc528160505"/>
      <w:bookmarkStart w:id="462" w:name="_Toc528161025"/>
      <w:bookmarkStart w:id="463" w:name="_Toc528825599"/>
      <w:bookmarkStart w:id="464" w:name="_Toc528826423"/>
      <w:bookmarkStart w:id="465" w:name="_Toc528826793"/>
      <w:bookmarkStart w:id="466" w:name="_Toc18995466"/>
      <w:bookmarkStart w:id="467" w:name="_Toc18997019"/>
      <w:bookmarkStart w:id="468" w:name="_Toc21589405"/>
      <w:bookmarkStart w:id="469" w:name="_Toc21589930"/>
      <w:bookmarkStart w:id="470" w:name="_Toc21590324"/>
      <w:bookmarkStart w:id="471" w:name="_Toc21591520"/>
      <w:bookmarkStart w:id="472" w:name="_Toc21592278"/>
      <w:bookmarkStart w:id="473" w:name="_Toc21593009"/>
      <w:bookmarkStart w:id="474" w:name="_Toc23425765"/>
      <w:bookmarkStart w:id="475" w:name="_Toc24532772"/>
      <w:bookmarkStart w:id="476" w:name="_Toc24533175"/>
      <w:bookmarkStart w:id="477" w:name="_Toc24533576"/>
      <w:bookmarkStart w:id="478" w:name="_Toc24613570"/>
      <w:bookmarkStart w:id="479" w:name="_Toc105840216"/>
      <w:bookmarkStart w:id="480" w:name="_Toc105840618"/>
      <w:bookmarkStart w:id="481" w:name="_Toc106015337"/>
      <w:bookmarkStart w:id="482" w:name="_Toc110840814"/>
      <w:bookmarkStart w:id="483" w:name="_Toc111622673"/>
      <w:bookmarkStart w:id="484" w:name="_Toc528151911"/>
      <w:bookmarkStart w:id="485" w:name="_Toc528154683"/>
      <w:bookmarkStart w:id="486" w:name="_Toc528155193"/>
      <w:bookmarkStart w:id="487" w:name="_Toc528155949"/>
      <w:bookmarkStart w:id="488" w:name="_Toc528156470"/>
      <w:bookmarkStart w:id="489" w:name="_Toc528156995"/>
      <w:bookmarkStart w:id="490" w:name="_Toc528160506"/>
      <w:bookmarkStart w:id="491" w:name="_Toc528161026"/>
      <w:bookmarkStart w:id="492" w:name="_Toc528825600"/>
      <w:bookmarkStart w:id="493" w:name="_Toc528826424"/>
      <w:bookmarkStart w:id="494" w:name="_Toc528826794"/>
      <w:bookmarkStart w:id="495" w:name="_Toc18995467"/>
      <w:bookmarkStart w:id="496" w:name="_Toc18997020"/>
      <w:bookmarkStart w:id="497" w:name="_Toc21589406"/>
      <w:bookmarkStart w:id="498" w:name="_Toc21589931"/>
      <w:bookmarkStart w:id="499" w:name="_Toc21590325"/>
      <w:bookmarkStart w:id="500" w:name="_Toc21591521"/>
      <w:bookmarkStart w:id="501" w:name="_Toc21592279"/>
      <w:bookmarkStart w:id="502" w:name="_Toc21593010"/>
      <w:bookmarkStart w:id="503" w:name="_Toc23425766"/>
      <w:bookmarkStart w:id="504" w:name="_Toc24532773"/>
      <w:bookmarkStart w:id="505" w:name="_Toc24533176"/>
      <w:bookmarkStart w:id="506" w:name="_Toc24533577"/>
      <w:bookmarkStart w:id="507" w:name="_Toc24613571"/>
      <w:bookmarkStart w:id="508" w:name="_Toc105840217"/>
      <w:bookmarkStart w:id="509" w:name="_Toc105840619"/>
      <w:bookmarkStart w:id="510" w:name="_Toc106015338"/>
      <w:bookmarkStart w:id="511" w:name="_Toc110840815"/>
      <w:bookmarkStart w:id="512" w:name="_Toc111622674"/>
      <w:bookmarkStart w:id="513" w:name="_Toc528151912"/>
      <w:bookmarkStart w:id="514" w:name="_Toc528154684"/>
      <w:bookmarkStart w:id="515" w:name="_Toc528155194"/>
      <w:bookmarkStart w:id="516" w:name="_Toc528155950"/>
      <w:bookmarkStart w:id="517" w:name="_Toc528156471"/>
      <w:bookmarkStart w:id="518" w:name="_Toc528156996"/>
      <w:bookmarkStart w:id="519" w:name="_Toc528160507"/>
      <w:bookmarkStart w:id="520" w:name="_Toc528161027"/>
      <w:bookmarkStart w:id="521" w:name="_Toc528825601"/>
      <w:bookmarkStart w:id="522" w:name="_Toc528826425"/>
      <w:bookmarkStart w:id="523" w:name="_Toc528826795"/>
      <w:bookmarkStart w:id="524" w:name="_Toc18995468"/>
      <w:bookmarkStart w:id="525" w:name="_Toc18997021"/>
      <w:bookmarkStart w:id="526" w:name="_Toc21589407"/>
      <w:bookmarkStart w:id="527" w:name="_Toc21589932"/>
      <w:bookmarkStart w:id="528" w:name="_Toc21590326"/>
      <w:bookmarkStart w:id="529" w:name="_Toc21591522"/>
      <w:bookmarkStart w:id="530" w:name="_Toc21592280"/>
      <w:bookmarkStart w:id="531" w:name="_Toc21593011"/>
      <w:bookmarkStart w:id="532" w:name="_Toc23425767"/>
      <w:bookmarkStart w:id="533" w:name="_Toc24532774"/>
      <w:bookmarkStart w:id="534" w:name="_Toc24533177"/>
      <w:bookmarkStart w:id="535" w:name="_Toc24533578"/>
      <w:bookmarkStart w:id="536" w:name="_Toc24613572"/>
      <w:bookmarkStart w:id="537" w:name="_Toc105840218"/>
      <w:bookmarkStart w:id="538" w:name="_Toc105840620"/>
      <w:bookmarkStart w:id="539" w:name="_Toc106015339"/>
      <w:bookmarkStart w:id="540" w:name="_Toc110840816"/>
      <w:bookmarkStart w:id="541" w:name="_Toc111622675"/>
      <w:bookmarkStart w:id="542" w:name="_Toc464482637"/>
      <w:bookmarkStart w:id="543" w:name="_Toc464482903"/>
      <w:bookmarkStart w:id="544" w:name="_Toc464483163"/>
      <w:bookmarkStart w:id="545" w:name="_Toc464483429"/>
      <w:bookmarkStart w:id="546" w:name="_Toc464483701"/>
      <w:bookmarkStart w:id="547" w:name="_Toc464483967"/>
      <w:bookmarkStart w:id="548" w:name="_Toc464484406"/>
      <w:bookmarkStart w:id="549" w:name="_Toc464484687"/>
      <w:bookmarkStart w:id="550" w:name="_Toc464488139"/>
      <w:bookmarkStart w:id="551" w:name="_Toc464743011"/>
      <w:bookmarkStart w:id="552" w:name="_Toc464743643"/>
      <w:bookmarkStart w:id="553" w:name="_Toc464744873"/>
      <w:bookmarkStart w:id="554" w:name="_Toc464745422"/>
      <w:bookmarkStart w:id="555" w:name="_Toc464745931"/>
      <w:bookmarkStart w:id="556" w:name="_Toc464746957"/>
      <w:bookmarkStart w:id="557" w:name="_Toc464747235"/>
      <w:bookmarkStart w:id="558" w:name="_Toc464747519"/>
      <w:bookmarkStart w:id="559" w:name="_Toc464747791"/>
      <w:bookmarkStart w:id="560" w:name="_Toc464748535"/>
      <w:bookmarkStart w:id="561" w:name="_Toc464749267"/>
      <w:bookmarkStart w:id="562" w:name="_Toc465148849"/>
      <w:bookmarkStart w:id="563" w:name="_Toc465167850"/>
      <w:bookmarkStart w:id="564" w:name="_Toc489943131"/>
      <w:bookmarkStart w:id="565" w:name="_Toc489943421"/>
      <w:bookmarkStart w:id="566" w:name="_Toc489943711"/>
      <w:bookmarkStart w:id="567" w:name="_Toc491156196"/>
      <w:bookmarkStart w:id="568" w:name="_Toc491157046"/>
      <w:bookmarkStart w:id="569" w:name="_Toc491157341"/>
      <w:bookmarkStart w:id="570" w:name="_Toc491157635"/>
      <w:bookmarkStart w:id="571" w:name="_Toc491157927"/>
      <w:bookmarkStart w:id="572" w:name="_Toc491178368"/>
      <w:bookmarkStart w:id="573" w:name="_Toc491180040"/>
      <w:bookmarkStart w:id="574" w:name="_Toc491180334"/>
      <w:bookmarkStart w:id="575" w:name="_Toc491180710"/>
      <w:bookmarkStart w:id="576" w:name="_Toc491181430"/>
      <w:bookmarkStart w:id="577" w:name="_Toc491183039"/>
      <w:bookmarkStart w:id="578" w:name="_Toc491183327"/>
      <w:bookmarkStart w:id="579" w:name="_Toc491184565"/>
      <w:bookmarkStart w:id="580" w:name="_Toc491184850"/>
      <w:bookmarkStart w:id="581" w:name="_Toc491185130"/>
      <w:bookmarkStart w:id="582" w:name="_Toc491185406"/>
      <w:bookmarkStart w:id="583" w:name="_Toc491250020"/>
      <w:bookmarkStart w:id="584" w:name="_Toc491261875"/>
      <w:bookmarkStart w:id="585" w:name="_Toc491263378"/>
      <w:bookmarkStart w:id="586" w:name="_Toc491265415"/>
      <w:bookmarkStart w:id="587" w:name="_Toc491265707"/>
      <w:bookmarkStart w:id="588" w:name="_Toc491266001"/>
      <w:bookmarkStart w:id="589" w:name="_Toc491267160"/>
      <w:bookmarkStart w:id="590" w:name="_Toc491267945"/>
      <w:bookmarkStart w:id="591" w:name="_Toc491268454"/>
      <w:bookmarkStart w:id="592" w:name="_Toc491324782"/>
      <w:bookmarkStart w:id="593" w:name="_Toc491325200"/>
      <w:bookmarkStart w:id="594" w:name="_Toc491325471"/>
      <w:bookmarkStart w:id="595" w:name="_Toc491325743"/>
      <w:bookmarkStart w:id="596" w:name="_Toc491326166"/>
      <w:bookmarkStart w:id="597" w:name="_Toc491326581"/>
      <w:bookmarkStart w:id="598" w:name="_Toc491326849"/>
      <w:bookmarkStart w:id="599" w:name="_Toc491327121"/>
      <w:bookmarkStart w:id="600" w:name="_Toc491775691"/>
      <w:bookmarkStart w:id="601" w:name="_Toc491776359"/>
      <w:bookmarkStart w:id="602" w:name="_Toc491776817"/>
      <w:bookmarkStart w:id="603" w:name="_Toc491777619"/>
      <w:bookmarkStart w:id="604" w:name="_Toc491777911"/>
      <w:bookmarkStart w:id="605" w:name="_Toc491778202"/>
      <w:bookmarkStart w:id="606" w:name="_Toc491843014"/>
      <w:bookmarkStart w:id="607" w:name="_Toc492389502"/>
      <w:bookmarkStart w:id="608" w:name="_Toc492568351"/>
      <w:bookmarkStart w:id="609" w:name="_Toc492982103"/>
      <w:bookmarkStart w:id="610" w:name="_Toc492982401"/>
      <w:bookmarkStart w:id="611" w:name="_Toc492982963"/>
      <w:bookmarkStart w:id="612" w:name="_Toc492983481"/>
      <w:bookmarkStart w:id="613" w:name="_Toc492984150"/>
      <w:bookmarkStart w:id="614" w:name="_Toc492984449"/>
      <w:bookmarkStart w:id="615" w:name="_Toc492984748"/>
      <w:bookmarkStart w:id="616" w:name="_Toc493079093"/>
      <w:bookmarkStart w:id="617" w:name="_Toc493079391"/>
      <w:bookmarkStart w:id="618" w:name="_Toc493079690"/>
      <w:bookmarkStart w:id="619" w:name="_Toc493162415"/>
      <w:bookmarkStart w:id="620" w:name="_Toc493162718"/>
      <w:bookmarkStart w:id="621" w:name="_Toc494097078"/>
      <w:bookmarkStart w:id="622" w:name="_Toc494103041"/>
      <w:bookmarkStart w:id="623" w:name="_Toc494109283"/>
      <w:bookmarkStart w:id="624" w:name="_Toc494109581"/>
      <w:bookmarkStart w:id="625" w:name="_Toc494110558"/>
      <w:bookmarkStart w:id="626" w:name="_Toc494113346"/>
      <w:bookmarkStart w:id="627" w:name="_Toc494113644"/>
      <w:bookmarkStart w:id="628" w:name="_Toc494114239"/>
      <w:bookmarkStart w:id="629" w:name="_Toc494114537"/>
      <w:bookmarkStart w:id="630" w:name="_Toc494114835"/>
      <w:bookmarkStart w:id="631" w:name="_Toc494352276"/>
      <w:bookmarkStart w:id="632" w:name="_Toc495584417"/>
      <w:bookmarkStart w:id="633" w:name="_Toc496089945"/>
      <w:bookmarkStart w:id="634" w:name="_Toc496090294"/>
      <w:bookmarkStart w:id="635" w:name="_Toc496091058"/>
      <w:bookmarkStart w:id="636" w:name="_Toc496091354"/>
      <w:bookmarkStart w:id="637" w:name="_Toc496108477"/>
      <w:bookmarkStart w:id="638" w:name="_Toc526342199"/>
      <w:bookmarkStart w:id="639" w:name="_Toc526342513"/>
      <w:bookmarkStart w:id="640" w:name="_Toc526342827"/>
      <w:bookmarkStart w:id="641" w:name="_Toc526343141"/>
      <w:bookmarkStart w:id="642" w:name="_Toc526343455"/>
      <w:bookmarkStart w:id="643" w:name="_Toc526343769"/>
      <w:bookmarkStart w:id="644" w:name="_Toc526344082"/>
      <w:bookmarkStart w:id="645" w:name="_Toc526344397"/>
      <w:bookmarkStart w:id="646" w:name="_Toc526344763"/>
      <w:bookmarkStart w:id="647" w:name="_Toc526345075"/>
      <w:bookmarkStart w:id="648" w:name="_Toc526345389"/>
      <w:bookmarkStart w:id="649" w:name="_Toc526345703"/>
      <w:bookmarkStart w:id="650" w:name="_Toc526346017"/>
      <w:bookmarkStart w:id="651" w:name="_Toc526346337"/>
      <w:bookmarkStart w:id="652" w:name="_Toc526346651"/>
      <w:bookmarkStart w:id="653" w:name="_Toc526346966"/>
      <w:bookmarkStart w:id="654" w:name="_Toc526347280"/>
      <w:bookmarkStart w:id="655" w:name="_Toc527013720"/>
      <w:bookmarkStart w:id="656" w:name="_Toc527014910"/>
      <w:bookmarkStart w:id="657" w:name="_Toc527015245"/>
      <w:bookmarkStart w:id="658" w:name="_Toc527016066"/>
      <w:bookmarkStart w:id="659" w:name="_Toc527016401"/>
      <w:bookmarkStart w:id="660" w:name="_Toc527016734"/>
      <w:bookmarkStart w:id="661" w:name="_Toc527017069"/>
      <w:bookmarkStart w:id="662" w:name="_Toc527017404"/>
      <w:bookmarkStart w:id="663" w:name="_Toc527017737"/>
      <w:bookmarkStart w:id="664" w:name="_Toc527018070"/>
      <w:bookmarkStart w:id="665" w:name="_Toc527018404"/>
      <w:bookmarkStart w:id="666" w:name="_Toc527018737"/>
      <w:bookmarkStart w:id="667" w:name="_Toc527019257"/>
      <w:bookmarkStart w:id="668" w:name="_Toc527019809"/>
      <w:bookmarkStart w:id="669" w:name="_Toc527020101"/>
      <w:bookmarkStart w:id="670" w:name="_Toc527020394"/>
      <w:bookmarkStart w:id="671" w:name="_Toc527020686"/>
      <w:bookmarkStart w:id="672" w:name="_Toc527020978"/>
      <w:bookmarkStart w:id="673" w:name="_Toc527021271"/>
      <w:bookmarkStart w:id="674" w:name="_Toc527021563"/>
      <w:bookmarkStart w:id="675" w:name="_Toc527021739"/>
      <w:bookmarkStart w:id="676" w:name="_Toc527022090"/>
      <w:bookmarkStart w:id="677" w:name="_Toc527023138"/>
      <w:bookmarkStart w:id="678" w:name="_Toc527023963"/>
      <w:bookmarkStart w:id="679" w:name="_Toc527024838"/>
      <w:bookmarkStart w:id="680" w:name="_Toc527025152"/>
      <w:bookmarkStart w:id="681" w:name="_Toc527025467"/>
      <w:bookmarkStart w:id="682" w:name="_Toc527026425"/>
      <w:bookmarkStart w:id="683" w:name="_Toc526342200"/>
      <w:bookmarkStart w:id="684" w:name="_Toc526342514"/>
      <w:bookmarkStart w:id="685" w:name="_Toc526342828"/>
      <w:bookmarkStart w:id="686" w:name="_Toc526343142"/>
      <w:bookmarkStart w:id="687" w:name="_Toc526343456"/>
      <w:bookmarkStart w:id="688" w:name="_Toc526343770"/>
      <w:bookmarkStart w:id="689" w:name="_Toc526344083"/>
      <w:bookmarkStart w:id="690" w:name="_Toc526344398"/>
      <w:bookmarkStart w:id="691" w:name="_Toc526344764"/>
      <w:bookmarkStart w:id="692" w:name="_Toc526345076"/>
      <w:bookmarkStart w:id="693" w:name="_Toc526345390"/>
      <w:bookmarkStart w:id="694" w:name="_Toc526345704"/>
      <w:bookmarkStart w:id="695" w:name="_Toc526346018"/>
      <w:bookmarkStart w:id="696" w:name="_Toc526346338"/>
      <w:bookmarkStart w:id="697" w:name="_Toc526346652"/>
      <w:bookmarkStart w:id="698" w:name="_Toc526346967"/>
      <w:bookmarkStart w:id="699" w:name="_Toc526347281"/>
      <w:bookmarkStart w:id="700" w:name="_Toc527013721"/>
      <w:bookmarkStart w:id="701" w:name="_Toc527014911"/>
      <w:bookmarkStart w:id="702" w:name="_Toc527015246"/>
      <w:bookmarkStart w:id="703" w:name="_Toc527016067"/>
      <w:bookmarkStart w:id="704" w:name="_Toc527016402"/>
      <w:bookmarkStart w:id="705" w:name="_Toc527016735"/>
      <w:bookmarkStart w:id="706" w:name="_Toc527017070"/>
      <w:bookmarkStart w:id="707" w:name="_Toc527017405"/>
      <w:bookmarkStart w:id="708" w:name="_Toc527017738"/>
      <w:bookmarkStart w:id="709" w:name="_Toc527018071"/>
      <w:bookmarkStart w:id="710" w:name="_Toc527018405"/>
      <w:bookmarkStart w:id="711" w:name="_Toc527018738"/>
      <w:bookmarkStart w:id="712" w:name="_Toc527019258"/>
      <w:bookmarkStart w:id="713" w:name="_Toc527019810"/>
      <w:bookmarkStart w:id="714" w:name="_Toc527020102"/>
      <w:bookmarkStart w:id="715" w:name="_Toc527020395"/>
      <w:bookmarkStart w:id="716" w:name="_Toc527020687"/>
      <w:bookmarkStart w:id="717" w:name="_Toc527020979"/>
      <w:bookmarkStart w:id="718" w:name="_Toc527021272"/>
      <w:bookmarkStart w:id="719" w:name="_Toc527021564"/>
      <w:bookmarkStart w:id="720" w:name="_Toc527021740"/>
      <w:bookmarkStart w:id="721" w:name="_Toc527022091"/>
      <w:bookmarkStart w:id="722" w:name="_Toc527023139"/>
      <w:bookmarkStart w:id="723" w:name="_Toc527023964"/>
      <w:bookmarkStart w:id="724" w:name="_Toc527024839"/>
      <w:bookmarkStart w:id="725" w:name="_Toc527025153"/>
      <w:bookmarkStart w:id="726" w:name="_Toc527025468"/>
      <w:bookmarkStart w:id="727" w:name="_Toc527026426"/>
      <w:bookmarkStart w:id="728" w:name="_Toc528151929"/>
      <w:bookmarkStart w:id="729" w:name="_Toc528152990"/>
      <w:bookmarkStart w:id="730" w:name="_Toc528153589"/>
      <w:bookmarkStart w:id="731" w:name="_Toc528154701"/>
      <w:bookmarkStart w:id="732" w:name="_Toc528155211"/>
      <w:bookmarkStart w:id="733" w:name="_Toc528155967"/>
      <w:bookmarkStart w:id="734" w:name="_Toc528156488"/>
      <w:bookmarkStart w:id="735" w:name="_Toc528157013"/>
      <w:bookmarkStart w:id="736" w:name="_Toc528160524"/>
      <w:bookmarkStart w:id="737" w:name="_Toc528161044"/>
      <w:bookmarkStart w:id="738" w:name="_Toc528825618"/>
      <w:bookmarkStart w:id="739" w:name="_Toc528826442"/>
      <w:bookmarkStart w:id="740" w:name="_Toc528826812"/>
      <w:bookmarkStart w:id="741" w:name="_Toc18995485"/>
      <w:bookmarkStart w:id="742" w:name="_Toc18997038"/>
      <w:bookmarkStart w:id="743" w:name="_Toc21589424"/>
      <w:bookmarkStart w:id="744" w:name="_Toc21589949"/>
      <w:bookmarkStart w:id="745" w:name="_Toc21590343"/>
      <w:bookmarkStart w:id="746" w:name="_Toc21591539"/>
      <w:bookmarkStart w:id="747" w:name="_Toc21592297"/>
      <w:bookmarkStart w:id="748" w:name="_Toc21593028"/>
      <w:bookmarkStart w:id="749" w:name="_Toc23425784"/>
      <w:bookmarkStart w:id="750" w:name="_Toc24532791"/>
      <w:bookmarkStart w:id="751" w:name="_Toc24533194"/>
      <w:bookmarkStart w:id="752" w:name="_Toc24533595"/>
      <w:bookmarkStart w:id="753" w:name="_Toc24613589"/>
      <w:bookmarkStart w:id="754" w:name="_Toc105840235"/>
      <w:bookmarkStart w:id="755" w:name="_Toc105840637"/>
      <w:bookmarkStart w:id="756" w:name="_Toc106015356"/>
      <w:bookmarkStart w:id="757" w:name="_Toc110840833"/>
      <w:bookmarkStart w:id="758" w:name="_Toc111622692"/>
      <w:bookmarkStart w:id="759" w:name="_Toc526342344"/>
      <w:bookmarkStart w:id="760" w:name="_Toc526342658"/>
      <w:bookmarkStart w:id="761" w:name="_Toc526342972"/>
      <w:bookmarkStart w:id="762" w:name="_Toc526343286"/>
      <w:bookmarkStart w:id="763" w:name="_Toc526343600"/>
      <w:bookmarkStart w:id="764" w:name="_Toc526343914"/>
      <w:bookmarkStart w:id="765" w:name="_Toc526344227"/>
      <w:bookmarkStart w:id="766" w:name="_Toc526344542"/>
      <w:bookmarkStart w:id="767" w:name="_Toc526344908"/>
      <w:bookmarkStart w:id="768" w:name="_Toc526345220"/>
      <w:bookmarkStart w:id="769" w:name="_Toc526345534"/>
      <w:bookmarkStart w:id="770" w:name="_Toc526345848"/>
      <w:bookmarkStart w:id="771" w:name="_Toc526346162"/>
      <w:bookmarkStart w:id="772" w:name="_Toc526346482"/>
      <w:bookmarkStart w:id="773" w:name="_Toc526346796"/>
      <w:bookmarkStart w:id="774" w:name="_Toc526347111"/>
      <w:bookmarkStart w:id="775" w:name="_Toc526347425"/>
      <w:bookmarkStart w:id="776" w:name="_Toc527013867"/>
      <w:bookmarkStart w:id="777" w:name="_Toc527015057"/>
      <w:bookmarkStart w:id="778" w:name="_Toc527015392"/>
      <w:bookmarkStart w:id="779" w:name="_Toc527016213"/>
      <w:bookmarkStart w:id="780" w:name="_Toc527016548"/>
      <w:bookmarkStart w:id="781" w:name="_Toc527016881"/>
      <w:bookmarkStart w:id="782" w:name="_Toc527017216"/>
      <w:bookmarkStart w:id="783" w:name="_Toc527017551"/>
      <w:bookmarkStart w:id="784" w:name="_Toc527017884"/>
      <w:bookmarkStart w:id="785" w:name="_Toc527018217"/>
      <w:bookmarkStart w:id="786" w:name="_Toc527018551"/>
      <w:bookmarkStart w:id="787" w:name="_Toc527018884"/>
      <w:bookmarkStart w:id="788" w:name="_Toc527019404"/>
      <w:bookmarkStart w:id="789" w:name="_Toc527019928"/>
      <w:bookmarkStart w:id="790" w:name="_Toc527020220"/>
      <w:bookmarkStart w:id="791" w:name="_Toc527020513"/>
      <w:bookmarkStart w:id="792" w:name="_Toc527020805"/>
      <w:bookmarkStart w:id="793" w:name="_Toc527021097"/>
      <w:bookmarkStart w:id="794" w:name="_Toc527021390"/>
      <w:bookmarkStart w:id="795" w:name="_Toc527021682"/>
      <w:bookmarkStart w:id="796" w:name="_Toc527021886"/>
      <w:bookmarkStart w:id="797" w:name="_Toc527022237"/>
      <w:bookmarkStart w:id="798" w:name="_Toc527023285"/>
      <w:bookmarkStart w:id="799" w:name="_Toc527024110"/>
      <w:bookmarkStart w:id="800" w:name="_Toc527024985"/>
      <w:bookmarkStart w:id="801" w:name="_Toc527025299"/>
      <w:bookmarkStart w:id="802" w:name="_Toc527025614"/>
      <w:bookmarkStart w:id="803" w:name="_Toc527026572"/>
      <w:bookmarkStart w:id="804" w:name="_Toc528152227"/>
      <w:bookmarkStart w:id="805" w:name="_Toc528153260"/>
      <w:bookmarkStart w:id="806" w:name="_Toc528153859"/>
      <w:bookmarkStart w:id="807" w:name="_Toc528154999"/>
      <w:bookmarkStart w:id="808" w:name="_Toc528155509"/>
      <w:bookmarkStart w:id="809" w:name="_Toc528156281"/>
      <w:bookmarkStart w:id="810" w:name="_Toc464482755"/>
      <w:bookmarkStart w:id="811" w:name="_Toc464483021"/>
      <w:bookmarkStart w:id="812" w:name="_Toc464483281"/>
      <w:bookmarkStart w:id="813" w:name="_Toc464483547"/>
      <w:bookmarkStart w:id="814" w:name="_Toc464483819"/>
      <w:bookmarkStart w:id="815" w:name="_Toc464484085"/>
      <w:bookmarkStart w:id="816" w:name="_Toc464484524"/>
      <w:bookmarkStart w:id="817" w:name="_Toc464484804"/>
      <w:bookmarkStart w:id="818" w:name="_Toc464488256"/>
      <w:bookmarkStart w:id="819" w:name="_Toc464743128"/>
      <w:bookmarkStart w:id="820" w:name="_Toc464743760"/>
      <w:bookmarkStart w:id="821" w:name="_Toc464744990"/>
      <w:bookmarkStart w:id="822" w:name="_Toc464745539"/>
      <w:bookmarkStart w:id="823" w:name="_Toc464746048"/>
      <w:bookmarkStart w:id="824" w:name="_Toc464747074"/>
      <w:bookmarkStart w:id="825" w:name="_Toc464747352"/>
      <w:bookmarkStart w:id="826" w:name="_Toc464747636"/>
      <w:bookmarkStart w:id="827" w:name="_Toc464747908"/>
      <w:bookmarkStart w:id="828" w:name="_Toc464748669"/>
      <w:bookmarkStart w:id="829" w:name="_Toc464749401"/>
      <w:bookmarkStart w:id="830" w:name="_Toc465148983"/>
      <w:bookmarkStart w:id="831" w:name="_Toc465167984"/>
      <w:bookmarkStart w:id="832" w:name="_Toc489943265"/>
      <w:bookmarkStart w:id="833" w:name="_Toc489943555"/>
      <w:bookmarkStart w:id="834" w:name="_Toc489943845"/>
      <w:bookmarkStart w:id="835" w:name="_Toc491156343"/>
      <w:bookmarkStart w:id="836" w:name="_Toc491157183"/>
      <w:bookmarkStart w:id="837" w:name="_Toc491157477"/>
      <w:bookmarkStart w:id="838" w:name="_Toc491157769"/>
      <w:bookmarkStart w:id="839" w:name="_Toc491158061"/>
      <w:bookmarkStart w:id="840" w:name="_Toc491178502"/>
      <w:bookmarkStart w:id="841" w:name="_Toc491180174"/>
      <w:bookmarkStart w:id="842" w:name="_Toc491180468"/>
      <w:bookmarkStart w:id="843" w:name="_Toc491180844"/>
      <w:bookmarkStart w:id="844" w:name="_Toc491181564"/>
      <w:bookmarkStart w:id="845" w:name="_Toc491183173"/>
      <w:bookmarkStart w:id="846" w:name="_Toc491183457"/>
      <w:bookmarkStart w:id="847" w:name="_Toc491184695"/>
      <w:bookmarkStart w:id="848" w:name="_Toc491184980"/>
      <w:bookmarkStart w:id="849" w:name="_Toc491185260"/>
      <w:bookmarkStart w:id="850" w:name="_Toc491185536"/>
      <w:bookmarkStart w:id="851" w:name="_Toc491250150"/>
      <w:bookmarkStart w:id="852" w:name="_Toc491262007"/>
      <w:bookmarkStart w:id="853" w:name="_Toc491263512"/>
      <w:bookmarkStart w:id="854" w:name="_Toc491265547"/>
      <w:bookmarkStart w:id="855" w:name="_Toc491265841"/>
      <w:bookmarkStart w:id="856" w:name="_Toc491266135"/>
      <w:bookmarkStart w:id="857" w:name="_Toc491267294"/>
      <w:bookmarkStart w:id="858" w:name="_Toc491268079"/>
      <w:bookmarkStart w:id="859" w:name="_Toc18995701"/>
      <w:bookmarkStart w:id="860" w:name="_Toc18997254"/>
      <w:bookmarkStart w:id="861" w:name="_Toc21589643"/>
      <w:bookmarkStart w:id="862" w:name="_Toc21590168"/>
      <w:bookmarkStart w:id="863" w:name="_Toc21590562"/>
      <w:bookmarkStart w:id="864" w:name="_Toc21591758"/>
      <w:bookmarkStart w:id="865" w:name="_Toc21592516"/>
      <w:bookmarkStart w:id="866" w:name="_Toc21593247"/>
      <w:bookmarkStart w:id="867" w:name="_Toc23426001"/>
      <w:bookmarkStart w:id="868" w:name="_Toc24533008"/>
      <w:bookmarkStart w:id="869" w:name="_Toc24533411"/>
      <w:bookmarkStart w:id="870" w:name="_Toc24533812"/>
      <w:bookmarkStart w:id="871" w:name="_Toc24613806"/>
      <w:bookmarkStart w:id="872" w:name="_Toc105840452"/>
      <w:bookmarkStart w:id="873" w:name="_Toc105840854"/>
      <w:bookmarkStart w:id="874" w:name="_Toc106015579"/>
      <w:bookmarkStart w:id="875" w:name="_Toc110841052"/>
      <w:bookmarkStart w:id="876" w:name="_Toc11162291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E025F9">
        <w:rPr>
          <w:b/>
        </w:rPr>
        <w:t xml:space="preserve">Previous </w:t>
      </w:r>
      <w:r>
        <w:rPr>
          <w:b/>
        </w:rPr>
        <w:t>Status</w:t>
      </w:r>
      <w:r w:rsidRPr="00E025F9">
        <w:rPr>
          <w:b/>
        </w:rPr>
        <w:t>:</w:t>
      </w:r>
    </w:p>
    <w:p w14:paraId="67380A96" w14:textId="3271B396" w:rsidR="00F4289C" w:rsidRDefault="000F384B" w:rsidP="000F384B">
      <w:pPr>
        <w:ind w:left="720"/>
      </w:pPr>
      <w:r>
        <w:t>2025:</w:t>
      </w:r>
      <w:r w:rsidR="00F4289C">
        <w:t xml:space="preserve"> </w:t>
      </w:r>
      <w:r w:rsidR="00BD6850">
        <w:t>Downgraded from Voting to Assigned with a request for a task group.</w:t>
      </w:r>
      <w:r w:rsidR="00F4289C">
        <w:t xml:space="preserve"> </w:t>
      </w:r>
    </w:p>
    <w:p w14:paraId="6BFB1952" w14:textId="77777777" w:rsidR="00F4289C" w:rsidRPr="00AB010B" w:rsidRDefault="00F4289C" w:rsidP="00E00705">
      <w:pPr>
        <w:keepNext/>
        <w:keepLines/>
        <w:spacing w:after="0"/>
        <w:rPr>
          <w:b/>
        </w:rPr>
      </w:pPr>
      <w:r w:rsidRPr="00AB010B">
        <w:rPr>
          <w:b/>
        </w:rPr>
        <w:lastRenderedPageBreak/>
        <w:t>Original Justification:</w:t>
      </w:r>
    </w:p>
    <w:p w14:paraId="1391178E" w14:textId="53D51980" w:rsidR="005C44A3" w:rsidRPr="005C44A3" w:rsidRDefault="005C44A3" w:rsidP="00E00705">
      <w:pPr>
        <w:keepNext/>
        <w:keepLines/>
      </w:pPr>
      <w:r w:rsidRPr="005C44A3">
        <w:t>This is a companion item to those changes requested for HB13</w:t>
      </w:r>
      <w:r>
        <w:t>0</w:t>
      </w:r>
      <w:r w:rsidRPr="005C44A3">
        <w:t>.</w:t>
      </w:r>
    </w:p>
    <w:p w14:paraId="40414FB1" w14:textId="77777777" w:rsidR="005C44A3" w:rsidRPr="005C44A3" w:rsidRDefault="005C44A3" w:rsidP="00E00705">
      <w:pPr>
        <w:keepNext/>
        <w:keepLines/>
      </w:pPr>
      <w:r w:rsidRPr="005C44A3">
        <w:t>In speaking with both weights and measures officials and industry, quite often both interpret the language "moisture allowance" to mean "tolerance" which should automatically be given to inspection results when a lot is found short. Changing the wording to "moisture consideration" should be more clear that "Further information is required to determine lot compliance or noncompliance", as stated in the glossary.</w:t>
      </w:r>
    </w:p>
    <w:p w14:paraId="249B207B" w14:textId="77777777" w:rsidR="005C44A3" w:rsidRPr="005C44A3" w:rsidRDefault="005C44A3" w:rsidP="005C44A3">
      <w:pPr>
        <w:rPr>
          <w:b/>
          <w:bCs/>
        </w:rPr>
      </w:pPr>
      <w:r w:rsidRPr="005C44A3">
        <w:rPr>
          <w:b/>
          <w:bCs/>
        </w:rPr>
        <w:t>Possible Opposing Arguments:</w:t>
      </w:r>
    </w:p>
    <w:p w14:paraId="1B075028" w14:textId="4B41F2F0" w:rsidR="00F4289C" w:rsidRPr="003B4520" w:rsidRDefault="005C44A3" w:rsidP="00F4289C">
      <w:r w:rsidRPr="005C44A3">
        <w:t>Some industries may believe "moisture allowance" should be used as a tolerance and have always used it as same. There may also be enforcement jurisdictions that want to continue to use it as a tolerance rather than conducting additional investigations into the root cause of shortages found in those packages that allow moisture</w:t>
      </w:r>
      <w:r w:rsidR="0080012B">
        <w:t xml:space="preserve"> consideration. </w:t>
      </w:r>
    </w:p>
    <w:p w14:paraId="029AE1A1" w14:textId="77777777" w:rsidR="00F4289C" w:rsidRPr="002A7C3B" w:rsidRDefault="00F4289C" w:rsidP="00F4289C">
      <w:pPr>
        <w:keepNext/>
        <w:rPr>
          <w:b/>
        </w:rPr>
      </w:pPr>
      <w:bookmarkStart w:id="877" w:name="_Hlk188251463"/>
      <w:r>
        <w:rPr>
          <w:b/>
        </w:rPr>
        <w:t>Comments</w:t>
      </w:r>
      <w:r w:rsidRPr="002A7C3B">
        <w:rPr>
          <w:b/>
        </w:rPr>
        <w:t xml:space="preserve"> in Favor:</w:t>
      </w:r>
    </w:p>
    <w:p w14:paraId="0ACEA1D4" w14:textId="0CF6D38C" w:rsidR="00F4289C" w:rsidRPr="002A7C3B" w:rsidRDefault="0042639E" w:rsidP="00F4289C">
      <w:pPr>
        <w:keepNext/>
        <w:spacing w:after="0"/>
        <w:ind w:left="720"/>
        <w:rPr>
          <w:b/>
        </w:rPr>
      </w:pPr>
      <w:r>
        <w:rPr>
          <w:b/>
        </w:rPr>
        <w:t>Weights and Measures Officials</w:t>
      </w:r>
      <w:r w:rsidR="00F4289C" w:rsidRPr="002A7C3B">
        <w:rPr>
          <w:b/>
        </w:rPr>
        <w:t>:</w:t>
      </w:r>
    </w:p>
    <w:p w14:paraId="4CEC2384" w14:textId="24A9841B" w:rsidR="00DF04EF" w:rsidRDefault="00024E52" w:rsidP="00B530E4">
      <w:pPr>
        <w:pStyle w:val="ListParagraph"/>
        <w:keepNext/>
        <w:keepLines/>
        <w:numPr>
          <w:ilvl w:val="0"/>
          <w:numId w:val="27"/>
        </w:numPr>
        <w:spacing w:after="0"/>
        <w:contextualSpacing/>
      </w:pPr>
      <w:r>
        <w:t>None</w:t>
      </w:r>
    </w:p>
    <w:p w14:paraId="3A36E233" w14:textId="77777777" w:rsidR="00F4289C" w:rsidRPr="002A7C3B" w:rsidRDefault="00F4289C" w:rsidP="00F4289C">
      <w:pPr>
        <w:spacing w:before="240" w:after="0"/>
        <w:ind w:left="720"/>
        <w:rPr>
          <w:b/>
        </w:rPr>
      </w:pPr>
      <w:r w:rsidRPr="002A7C3B">
        <w:rPr>
          <w:b/>
        </w:rPr>
        <w:t>Industry:</w:t>
      </w:r>
    </w:p>
    <w:p w14:paraId="6690A25E" w14:textId="114C2CDE" w:rsidR="00F4289C" w:rsidRPr="002A7C3B" w:rsidRDefault="00024E52" w:rsidP="00F4289C">
      <w:pPr>
        <w:pStyle w:val="ListParagraph"/>
        <w:numPr>
          <w:ilvl w:val="0"/>
          <w:numId w:val="26"/>
        </w:numPr>
        <w:spacing w:after="0" w:line="259" w:lineRule="auto"/>
        <w:contextualSpacing/>
        <w:jc w:val="left"/>
      </w:pPr>
      <w:r>
        <w:t>None</w:t>
      </w:r>
    </w:p>
    <w:p w14:paraId="55B1DE97" w14:textId="77777777" w:rsidR="00F4289C" w:rsidRPr="002A7C3B" w:rsidRDefault="00F4289C" w:rsidP="00F4289C">
      <w:pPr>
        <w:spacing w:before="240" w:after="0"/>
        <w:ind w:left="720"/>
        <w:rPr>
          <w:b/>
        </w:rPr>
      </w:pPr>
      <w:r w:rsidRPr="002A7C3B">
        <w:rPr>
          <w:b/>
        </w:rPr>
        <w:t>Advisory:</w:t>
      </w:r>
    </w:p>
    <w:p w14:paraId="23B53D05" w14:textId="612AAD61" w:rsidR="00F4289C" w:rsidRPr="002A7C3B" w:rsidRDefault="00024E52" w:rsidP="00F4289C">
      <w:pPr>
        <w:pStyle w:val="ListParagraph"/>
        <w:numPr>
          <w:ilvl w:val="0"/>
          <w:numId w:val="26"/>
        </w:numPr>
        <w:spacing w:after="0" w:line="259" w:lineRule="auto"/>
        <w:contextualSpacing/>
        <w:jc w:val="left"/>
      </w:pPr>
      <w:r>
        <w:t>None</w:t>
      </w:r>
    </w:p>
    <w:p w14:paraId="7AF2AD73" w14:textId="77777777" w:rsidR="00F4289C" w:rsidRPr="002A7C3B" w:rsidRDefault="00F4289C" w:rsidP="00E00705">
      <w:pPr>
        <w:spacing w:before="240"/>
        <w:rPr>
          <w:b/>
        </w:rPr>
      </w:pPr>
      <w:r>
        <w:rPr>
          <w:b/>
        </w:rPr>
        <w:t>Comments</w:t>
      </w:r>
      <w:r w:rsidRPr="002A7C3B">
        <w:rPr>
          <w:b/>
        </w:rPr>
        <w:t xml:space="preserve"> Against:</w:t>
      </w:r>
    </w:p>
    <w:p w14:paraId="2A7A0F3E" w14:textId="741E63A5" w:rsidR="00E942E9" w:rsidRPr="00E7709B" w:rsidRDefault="0042639E" w:rsidP="00B530E4">
      <w:pPr>
        <w:spacing w:after="0"/>
        <w:ind w:left="720"/>
      </w:pPr>
      <w:r>
        <w:rPr>
          <w:b/>
        </w:rPr>
        <w:t>Weights and Measures Officials</w:t>
      </w:r>
      <w:r w:rsidR="00F4289C" w:rsidRPr="002A7C3B">
        <w:rPr>
          <w:b/>
        </w:rPr>
        <w:t>:</w:t>
      </w:r>
    </w:p>
    <w:p w14:paraId="33A65BCC" w14:textId="780D2009" w:rsidR="00F4289C" w:rsidRPr="002A7C3B" w:rsidRDefault="00024E52" w:rsidP="00E00705">
      <w:pPr>
        <w:pStyle w:val="ListParagraph"/>
        <w:numPr>
          <w:ilvl w:val="0"/>
          <w:numId w:val="27"/>
        </w:numPr>
        <w:spacing w:after="0" w:line="259" w:lineRule="auto"/>
        <w:contextualSpacing/>
        <w:jc w:val="left"/>
      </w:pPr>
      <w:r>
        <w:t>None</w:t>
      </w:r>
    </w:p>
    <w:p w14:paraId="101C7F5F" w14:textId="77777777" w:rsidR="00F4289C" w:rsidRPr="002A7C3B" w:rsidRDefault="00F4289C" w:rsidP="00F4289C">
      <w:pPr>
        <w:spacing w:before="240" w:after="0"/>
        <w:ind w:left="720"/>
        <w:rPr>
          <w:b/>
        </w:rPr>
      </w:pPr>
      <w:r w:rsidRPr="002A7C3B">
        <w:rPr>
          <w:b/>
        </w:rPr>
        <w:t>Industry:</w:t>
      </w:r>
    </w:p>
    <w:p w14:paraId="5FB663E5" w14:textId="07EAFBDC" w:rsidR="00D50248" w:rsidRDefault="00024E52" w:rsidP="00F4289C">
      <w:pPr>
        <w:pStyle w:val="ListParagraph"/>
        <w:numPr>
          <w:ilvl w:val="0"/>
          <w:numId w:val="27"/>
        </w:numPr>
        <w:spacing w:after="0" w:line="259" w:lineRule="auto"/>
        <w:contextualSpacing/>
        <w:jc w:val="left"/>
      </w:pPr>
      <w:r>
        <w:t>None</w:t>
      </w:r>
    </w:p>
    <w:p w14:paraId="677DE437" w14:textId="77777777" w:rsidR="00F4289C" w:rsidRPr="00AC5B86" w:rsidRDefault="00F4289C" w:rsidP="00F4289C">
      <w:pPr>
        <w:spacing w:before="240" w:after="0"/>
        <w:ind w:left="720"/>
        <w:rPr>
          <w:b/>
        </w:rPr>
      </w:pPr>
      <w:r w:rsidRPr="002A7C3B">
        <w:rPr>
          <w:b/>
        </w:rPr>
        <w:t>Advisory:</w:t>
      </w:r>
    </w:p>
    <w:p w14:paraId="63A8F64F" w14:textId="664A0B44" w:rsidR="00F4289C" w:rsidRDefault="00024E52" w:rsidP="00F4289C">
      <w:pPr>
        <w:pStyle w:val="ListParagraph"/>
        <w:numPr>
          <w:ilvl w:val="0"/>
          <w:numId w:val="27"/>
        </w:numPr>
        <w:spacing w:after="0" w:line="259" w:lineRule="auto"/>
        <w:contextualSpacing/>
        <w:jc w:val="left"/>
      </w:pPr>
      <w:r>
        <w:t>None</w:t>
      </w:r>
    </w:p>
    <w:p w14:paraId="63FE16DA" w14:textId="77777777" w:rsidR="00F4289C" w:rsidRPr="002A7C3B" w:rsidRDefault="00F4289C" w:rsidP="00F4289C">
      <w:pPr>
        <w:spacing w:before="240"/>
        <w:rPr>
          <w:b/>
        </w:rPr>
      </w:pPr>
      <w:r>
        <w:rPr>
          <w:b/>
        </w:rPr>
        <w:t>Neutral Comments</w:t>
      </w:r>
      <w:r w:rsidRPr="002A7C3B">
        <w:rPr>
          <w:b/>
        </w:rPr>
        <w:t>:</w:t>
      </w:r>
    </w:p>
    <w:p w14:paraId="25BFA774" w14:textId="4CE19D36" w:rsidR="00F4289C" w:rsidRPr="002A7C3B" w:rsidRDefault="0042639E" w:rsidP="00F4289C">
      <w:pPr>
        <w:spacing w:after="0"/>
        <w:ind w:left="720"/>
        <w:rPr>
          <w:b/>
        </w:rPr>
      </w:pPr>
      <w:r>
        <w:rPr>
          <w:b/>
        </w:rPr>
        <w:t>Weights and Measures Officials</w:t>
      </w:r>
      <w:r w:rsidR="00F4289C" w:rsidRPr="002A7C3B">
        <w:rPr>
          <w:b/>
        </w:rPr>
        <w:t>:</w:t>
      </w:r>
    </w:p>
    <w:p w14:paraId="6AEBAD50" w14:textId="5F147253" w:rsidR="00CB73C6" w:rsidRPr="00CB73C6" w:rsidRDefault="00024E52" w:rsidP="00145614">
      <w:pPr>
        <w:pStyle w:val="ListParagraph"/>
        <w:keepNext/>
        <w:keepLines/>
        <w:numPr>
          <w:ilvl w:val="0"/>
          <w:numId w:val="27"/>
        </w:numPr>
        <w:spacing w:after="0"/>
        <w:contextualSpacing/>
        <w:rPr>
          <w:b/>
        </w:rPr>
      </w:pPr>
      <w:r>
        <w:t xml:space="preserve">Multiple Weights and Measures </w:t>
      </w:r>
      <w:r w:rsidR="00FB0024">
        <w:t>o</w:t>
      </w:r>
      <w:r>
        <w:t xml:space="preserve">fficials rose to support the work of the Work Group and </w:t>
      </w:r>
      <w:r w:rsidR="001672C6">
        <w:t>recommended that</w:t>
      </w:r>
      <w:r>
        <w:t xml:space="preserve"> it</w:t>
      </w:r>
      <w:r w:rsidR="001672C6">
        <w:t xml:space="preserve"> continue </w:t>
      </w:r>
      <w:r w:rsidR="00B9332D">
        <w:t>to devel</w:t>
      </w:r>
      <w:r w:rsidR="00863219">
        <w:t>op</w:t>
      </w:r>
      <w:r w:rsidR="00B9332D">
        <w:t xml:space="preserve"> </w:t>
      </w:r>
      <w:r w:rsidR="001672C6">
        <w:t>this item.</w:t>
      </w:r>
    </w:p>
    <w:p w14:paraId="2024B787" w14:textId="77777777" w:rsidR="00CB73C6" w:rsidRDefault="00CB73C6" w:rsidP="00CB73C6">
      <w:pPr>
        <w:keepNext/>
        <w:keepLines/>
        <w:spacing w:after="0"/>
        <w:ind w:left="720"/>
        <w:contextualSpacing/>
        <w:rPr>
          <w:b/>
        </w:rPr>
      </w:pPr>
    </w:p>
    <w:p w14:paraId="27541ACE" w14:textId="704848FB" w:rsidR="00F4289C" w:rsidRPr="00CB73C6" w:rsidRDefault="00F4289C" w:rsidP="00CB73C6">
      <w:pPr>
        <w:keepNext/>
        <w:keepLines/>
        <w:spacing w:after="0"/>
        <w:ind w:left="720"/>
        <w:contextualSpacing/>
        <w:rPr>
          <w:b/>
        </w:rPr>
      </w:pPr>
      <w:r w:rsidRPr="00CB73C6">
        <w:rPr>
          <w:b/>
        </w:rPr>
        <w:t>Industry:</w:t>
      </w:r>
    </w:p>
    <w:p w14:paraId="60951552" w14:textId="5AD31243" w:rsidR="00F4289C" w:rsidRPr="002A7C3B" w:rsidRDefault="00024E52" w:rsidP="00E00705">
      <w:pPr>
        <w:pStyle w:val="ListParagraph"/>
        <w:numPr>
          <w:ilvl w:val="0"/>
          <w:numId w:val="27"/>
        </w:numPr>
        <w:spacing w:after="0" w:line="259" w:lineRule="auto"/>
        <w:contextualSpacing/>
        <w:jc w:val="left"/>
      </w:pPr>
      <w:r>
        <w:t>None</w:t>
      </w:r>
    </w:p>
    <w:p w14:paraId="609C104B" w14:textId="458E5F1F" w:rsidR="006C0F91" w:rsidRDefault="00F4289C" w:rsidP="00B530E4">
      <w:pPr>
        <w:spacing w:before="240" w:after="0"/>
        <w:ind w:left="720"/>
      </w:pPr>
      <w:r w:rsidRPr="002A7C3B">
        <w:rPr>
          <w:b/>
        </w:rPr>
        <w:t>Advisory:</w:t>
      </w:r>
    </w:p>
    <w:p w14:paraId="3F23E4DE" w14:textId="0D3A5B0D" w:rsidR="00F4289C" w:rsidRDefault="00E936C5" w:rsidP="00E00705">
      <w:pPr>
        <w:pStyle w:val="ListParagraph"/>
        <w:numPr>
          <w:ilvl w:val="0"/>
          <w:numId w:val="27"/>
        </w:numPr>
        <w:spacing w:after="0" w:line="259" w:lineRule="auto"/>
        <w:contextualSpacing/>
        <w:jc w:val="left"/>
      </w:pPr>
      <w:r>
        <w:t>None</w:t>
      </w:r>
    </w:p>
    <w:p w14:paraId="178933F4" w14:textId="77777777" w:rsidR="00097850" w:rsidRDefault="00097850" w:rsidP="00097850">
      <w:pPr>
        <w:pStyle w:val="ListParagraph"/>
        <w:spacing w:after="0" w:line="259" w:lineRule="auto"/>
        <w:ind w:left="1080"/>
        <w:contextualSpacing/>
        <w:jc w:val="left"/>
      </w:pPr>
    </w:p>
    <w:p w14:paraId="7A6AFFF5" w14:textId="77777777" w:rsidR="0022672C" w:rsidRDefault="00F4289C" w:rsidP="0022672C">
      <w:pPr>
        <w:spacing w:after="0"/>
        <w:rPr>
          <w:u w:val="single"/>
        </w:rPr>
      </w:pPr>
      <w:r w:rsidRPr="002A7C3B">
        <w:rPr>
          <w:b/>
        </w:rPr>
        <w:t>Item Develop</w:t>
      </w:r>
      <w:r w:rsidRPr="00E025F9">
        <w:rPr>
          <w:b/>
        </w:rPr>
        <w:t>ment:</w:t>
      </w:r>
    </w:p>
    <w:p w14:paraId="0F065AD2" w14:textId="6630D512" w:rsidR="00CB73C6" w:rsidRDefault="009F1824" w:rsidP="0022672C">
      <w:pPr>
        <w:spacing w:after="0"/>
        <w:rPr>
          <w:u w:val="single"/>
        </w:rPr>
      </w:pPr>
      <w:r>
        <w:rPr>
          <w:u w:val="single"/>
        </w:rPr>
        <w:t>NCWM 2026 Interim:</w:t>
      </w:r>
      <w:r w:rsidR="006A6D5D">
        <w:rPr>
          <w:u w:val="single"/>
        </w:rPr>
        <w:t xml:space="preserve">  </w:t>
      </w:r>
      <w:r w:rsidR="006A6D5D" w:rsidRPr="00195193">
        <w:t>Th</w:t>
      </w:r>
      <w:r w:rsidR="008A76B0" w:rsidRPr="00195193">
        <w:t xml:space="preserve">is item remains assigned to the Work Group.  The Committee deleted </w:t>
      </w:r>
      <w:r w:rsidR="00B53150" w:rsidRPr="00195193">
        <w:t xml:space="preserve">4.10.2.2. Moisture Shrinkage Allowance Consideration for Structural Plywood and Wood-based Structural Panels </w:t>
      </w:r>
      <w:r w:rsidR="006B38BA">
        <w:t xml:space="preserve">and </w:t>
      </w:r>
      <w:r w:rsidR="00195193" w:rsidRPr="00195193">
        <w:t xml:space="preserve">4.11.2.1. Shrinking </w:t>
      </w:r>
      <w:r w:rsidR="00195193" w:rsidRPr="00195193">
        <w:lastRenderedPageBreak/>
        <w:t xml:space="preserve">Allowance Consideration </w:t>
      </w:r>
      <w:r w:rsidR="00B53150" w:rsidRPr="00195193">
        <w:t xml:space="preserve">from the title </w:t>
      </w:r>
      <w:r w:rsidR="00085B12" w:rsidRPr="00195193">
        <w:t>because it was previously agreed that plywood would not be part of the proposed changes to this item.</w:t>
      </w:r>
    </w:p>
    <w:p w14:paraId="64746067" w14:textId="0ED3FF03" w:rsidR="00435A6E" w:rsidRDefault="00C0174F" w:rsidP="0096734B">
      <w:pPr>
        <w:rPr>
          <w:u w:val="single"/>
        </w:rPr>
      </w:pPr>
      <w:r w:rsidRPr="00C0174F">
        <w:rPr>
          <w:rFonts w:eastAsia="Times New Roman"/>
          <w:szCs w:val="24"/>
        </w:rPr>
        <w:t>Mr. Kurt Floren (County of Los Angeles, California)</w:t>
      </w:r>
      <w:r w:rsidRPr="00B530E4">
        <w:rPr>
          <w:rFonts w:eastAsia="Times New Roman"/>
          <w:szCs w:val="24"/>
        </w:rPr>
        <w:t xml:space="preserve">, a </w:t>
      </w:r>
      <w:r w:rsidRPr="00C0174F">
        <w:rPr>
          <w:rFonts w:eastAsia="Times New Roman"/>
          <w:szCs w:val="24"/>
        </w:rPr>
        <w:t>member of the Moisture Allowance Task Group</w:t>
      </w:r>
      <w:r w:rsidRPr="00B530E4">
        <w:rPr>
          <w:rFonts w:eastAsia="Times New Roman"/>
          <w:szCs w:val="24"/>
        </w:rPr>
        <w:t>, provided a presentation on the task group efforts</w:t>
      </w:r>
      <w:r w:rsidRPr="00C0174F">
        <w:rPr>
          <w:rFonts w:eastAsia="Times New Roman"/>
          <w:szCs w:val="24"/>
        </w:rPr>
        <w:t>.</w:t>
      </w:r>
      <w:r w:rsidRPr="004762F4">
        <w:rPr>
          <w:rFonts w:eastAsia="Times New Roman"/>
          <w:szCs w:val="24"/>
        </w:rPr>
        <w:t xml:space="preserve"> </w:t>
      </w:r>
      <w:r w:rsidR="00435A6E">
        <w:rPr>
          <w:u w:val="single"/>
        </w:rPr>
        <w:t xml:space="preserve"> </w:t>
      </w:r>
    </w:p>
    <w:p w14:paraId="538F80C1" w14:textId="3AC4127F" w:rsidR="00673CC1" w:rsidRDefault="00673CC1" w:rsidP="0096734B">
      <w:r>
        <w:rPr>
          <w:u w:val="single"/>
        </w:rPr>
        <w:t>NCWM 2025 Annual:</w:t>
      </w:r>
      <w:r w:rsidR="002C4E72">
        <w:rPr>
          <w:u w:val="single"/>
        </w:rPr>
        <w:t xml:space="preserve"> </w:t>
      </w:r>
      <w:r w:rsidR="002C4E72" w:rsidRPr="000E691E">
        <w:t>The</w:t>
      </w:r>
      <w:r w:rsidR="002C4E72" w:rsidRPr="002C4E72">
        <w:rPr>
          <w:u w:val="single"/>
        </w:rPr>
        <w:t xml:space="preserve"> </w:t>
      </w:r>
      <w:r w:rsidR="002C4E72" w:rsidRPr="00D97F43">
        <w:t>Committee hear</w:t>
      </w:r>
      <w:r w:rsidR="00EE6334">
        <w:t>d</w:t>
      </w:r>
      <w:r w:rsidR="002C4E72" w:rsidRPr="00D97F43">
        <w:t xml:space="preserve"> concerns about this item from membership</w:t>
      </w:r>
      <w:r w:rsidR="00EE6334">
        <w:t xml:space="preserve">.  Membership indicated </w:t>
      </w:r>
      <w:r w:rsidR="002C4E72" w:rsidRPr="00D97F43">
        <w:t>the need to pull it back and assign it to a task group</w:t>
      </w:r>
      <w:r w:rsidR="0055121C">
        <w:t>.  Based on the feed</w:t>
      </w:r>
      <w:r w:rsidR="002D0CBF">
        <w:t>back</w:t>
      </w:r>
      <w:r w:rsidR="0055121C">
        <w:t xml:space="preserve"> received, the Committee</w:t>
      </w:r>
      <w:r w:rsidR="002C4E72" w:rsidRPr="00D97F43">
        <w:t xml:space="preserve"> downgrade</w:t>
      </w:r>
      <w:r w:rsidR="002D0CBF">
        <w:t>d</w:t>
      </w:r>
      <w:r w:rsidR="002C4E72" w:rsidRPr="00D97F43">
        <w:t xml:space="preserve"> it from Voting to Assigned.  The Committee will request a moisture allowance task group be formed to better develop the item.</w:t>
      </w:r>
    </w:p>
    <w:p w14:paraId="5BA22008" w14:textId="1EC92892" w:rsidR="00585957" w:rsidRDefault="005D658C" w:rsidP="00246881">
      <w:pPr>
        <w:widowControl w:val="0"/>
        <w:spacing w:before="240" w:after="0" w:line="259" w:lineRule="auto"/>
        <w:contextualSpacing/>
        <w:jc w:val="left"/>
        <w:rPr>
          <w:u w:val="single"/>
        </w:rPr>
      </w:pPr>
      <w:r>
        <w:t xml:space="preserve">The </w:t>
      </w:r>
      <w:r w:rsidR="00935EBD">
        <w:t xml:space="preserve">Committee concurs with </w:t>
      </w:r>
      <w:r>
        <w:t xml:space="preserve">Mr. </w:t>
      </w:r>
      <w:r w:rsidRPr="00E7709B">
        <w:t>VanBuren</w:t>
      </w:r>
      <w:r w:rsidR="00935EBD">
        <w:t>’s comment</w:t>
      </w:r>
      <w:r>
        <w:t xml:space="preserve"> that</w:t>
      </w:r>
      <w:r w:rsidRPr="00E7709B">
        <w:t xml:space="preserve"> </w:t>
      </w:r>
      <w:r>
        <w:t xml:space="preserve">the title needs to reflect the removal of plywood from the item - 4.10.2.2. Moisture Shrinkage </w:t>
      </w:r>
      <w:r w:rsidRPr="009F745D">
        <w:t xml:space="preserve">Allowance </w:t>
      </w:r>
      <w:r w:rsidRPr="005D658C">
        <w:rPr>
          <w:u w:val="single"/>
        </w:rPr>
        <w:t>Consideration</w:t>
      </w:r>
      <w:r>
        <w:t xml:space="preserve"> for Structural Plywood and Wood-based Structural Panels, 4.11.2.1. Shrinking </w:t>
      </w:r>
      <w:r w:rsidRPr="009F745D">
        <w:t>Allowance</w:t>
      </w:r>
      <w:r w:rsidRPr="005D658C">
        <w:rPr>
          <w:strike/>
        </w:rPr>
        <w:t xml:space="preserve"> </w:t>
      </w:r>
      <w:r w:rsidRPr="005D658C">
        <w:rPr>
          <w:u w:val="single"/>
        </w:rPr>
        <w:t>Consideration</w:t>
      </w:r>
      <w:r w:rsidR="00B41410">
        <w:rPr>
          <w:u w:val="single"/>
        </w:rPr>
        <w:t>.</w:t>
      </w:r>
    </w:p>
    <w:p w14:paraId="5DB7EDE0" w14:textId="77777777" w:rsidR="00246881" w:rsidRDefault="00246881" w:rsidP="00246881">
      <w:pPr>
        <w:widowControl w:val="0"/>
        <w:spacing w:before="240" w:after="0" w:line="259" w:lineRule="auto"/>
        <w:contextualSpacing/>
        <w:jc w:val="left"/>
        <w:rPr>
          <w:u w:val="single"/>
        </w:rPr>
      </w:pPr>
    </w:p>
    <w:p w14:paraId="512ED80B" w14:textId="36D9C688" w:rsidR="00530B13" w:rsidRDefault="00585957" w:rsidP="00246881">
      <w:pPr>
        <w:keepNext/>
        <w:keepLines/>
        <w:spacing w:after="0" w:line="259" w:lineRule="auto"/>
        <w:contextualSpacing/>
        <w:jc w:val="left"/>
      </w:pPr>
      <w:r>
        <w:t>Th</w:t>
      </w:r>
      <w:r w:rsidR="00CA127B" w:rsidRPr="00CA127B">
        <w:t>e Comm</w:t>
      </w:r>
      <w:r w:rsidR="00CA127B">
        <w:t xml:space="preserve">ittee will </w:t>
      </w:r>
      <w:r w:rsidR="00530B13">
        <w:t>relay this information to the task group</w:t>
      </w:r>
      <w:r w:rsidR="006733CD">
        <w:t xml:space="preserve"> for their consideration.</w:t>
      </w:r>
    </w:p>
    <w:p w14:paraId="42B480B9" w14:textId="77777777" w:rsidR="00246881" w:rsidRDefault="00246881" w:rsidP="00246881">
      <w:pPr>
        <w:keepNext/>
        <w:keepLines/>
        <w:spacing w:after="0" w:line="259" w:lineRule="auto"/>
        <w:contextualSpacing/>
        <w:jc w:val="left"/>
      </w:pPr>
    </w:p>
    <w:p w14:paraId="66893CAB" w14:textId="77F58653" w:rsidR="00606F34" w:rsidRDefault="0034537C" w:rsidP="0096734B">
      <w:r>
        <w:rPr>
          <w:u w:val="single"/>
        </w:rPr>
        <w:t>NCWM 2025 Interim:</w:t>
      </w:r>
      <w:r w:rsidR="003F792F" w:rsidRPr="000E65C2">
        <w:t xml:space="preserve"> </w:t>
      </w:r>
      <w:r w:rsidR="003F792F">
        <w:t xml:space="preserve">The Committee </w:t>
      </w:r>
      <w:r w:rsidR="0062686D">
        <w:t>received several</w:t>
      </w:r>
      <w:r w:rsidR="003F792F">
        <w:t xml:space="preserve"> versions of this item.  The version appearing here is the latest and the one under consideration. </w:t>
      </w:r>
      <w:r w:rsidR="00AE1DBC">
        <w:t xml:space="preserve"> It does not include </w:t>
      </w:r>
      <w:r w:rsidR="0096734B">
        <w:t>Chapter 4</w:t>
      </w:r>
      <w:r w:rsidR="002E17D1">
        <w:t xml:space="preserve">, </w:t>
      </w:r>
      <w:r w:rsidR="000B573D">
        <w:t xml:space="preserve">the </w:t>
      </w:r>
      <w:r w:rsidR="002E17D1">
        <w:t>Table of Contents, example</w:t>
      </w:r>
      <w:r w:rsidR="000B573D">
        <w:t>s</w:t>
      </w:r>
      <w:r w:rsidR="002E17D1">
        <w:t xml:space="preserve">, reports and other sections previously included that did not require </w:t>
      </w:r>
      <w:r w:rsidR="000B573D">
        <w:t>changes.</w:t>
      </w:r>
      <w:r w:rsidR="0096734B">
        <w:t xml:space="preserve"> </w:t>
      </w:r>
    </w:p>
    <w:p w14:paraId="0157FCC7" w14:textId="36F0986A" w:rsidR="00F4289C" w:rsidRPr="003F792F" w:rsidRDefault="000B573D" w:rsidP="0096734B">
      <w:r>
        <w:t>The Committee reserves the right to make editorial changes to fulfill the intent of the proposal (to add “consideration” to wherever “Moisture Allowance</w:t>
      </w:r>
      <w:r w:rsidR="0037022E">
        <w:t>”</w:t>
      </w:r>
      <w:r>
        <w:t xml:space="preserve"> appears in NIST Handbooks 130 and 133.</w:t>
      </w:r>
      <w:r w:rsidR="00566939">
        <w:t>)</w:t>
      </w:r>
      <w:r>
        <w:t xml:space="preserve"> </w:t>
      </w:r>
      <w:r w:rsidR="003F792F">
        <w:t>The Committee believes that the item is fully developed an assigned Voting status.</w:t>
      </w:r>
    </w:p>
    <w:bookmarkEnd w:id="877"/>
    <w:p w14:paraId="012733B1" w14:textId="32F7FB35" w:rsidR="00D0707F" w:rsidRPr="00246881" w:rsidRDefault="00D0707F" w:rsidP="00246881">
      <w:pPr>
        <w:rPr>
          <w:b/>
        </w:rPr>
      </w:pPr>
      <w:r w:rsidRPr="00E025F9">
        <w:rPr>
          <w:b/>
        </w:rPr>
        <w:t>Regional Associations’ Comments:</w:t>
      </w:r>
    </w:p>
    <w:p w14:paraId="79364108" w14:textId="5D79BE03" w:rsidR="002959F9" w:rsidRDefault="00D0707F" w:rsidP="00246881">
      <w:pPr>
        <w:rPr>
          <w:rFonts w:eastAsia="Times New Roman"/>
          <w:szCs w:val="24"/>
          <w:u w:val="single"/>
        </w:rPr>
      </w:pPr>
      <w:r w:rsidRPr="008D62FB">
        <w:rPr>
          <w:rFonts w:eastAsia="Times New Roman"/>
          <w:szCs w:val="24"/>
          <w:u w:val="single"/>
        </w:rPr>
        <w:t>WWMA 202</w:t>
      </w:r>
      <w:r>
        <w:rPr>
          <w:rFonts w:eastAsia="Times New Roman"/>
          <w:szCs w:val="24"/>
          <w:u w:val="single"/>
        </w:rPr>
        <w:t>5</w:t>
      </w:r>
      <w:r w:rsidRPr="008D62FB">
        <w:rPr>
          <w:rFonts w:eastAsia="Times New Roman"/>
          <w:szCs w:val="24"/>
          <w:u w:val="single"/>
        </w:rPr>
        <w:t xml:space="preserve"> Annual Meeting:</w:t>
      </w:r>
    </w:p>
    <w:p w14:paraId="33775EBB" w14:textId="254FCE45" w:rsidR="009A6B64" w:rsidRDefault="009A6B64" w:rsidP="00246881">
      <w:pPr>
        <w:rPr>
          <w:rFonts w:eastAsia="Times New Roman"/>
          <w:szCs w:val="24"/>
        </w:rPr>
      </w:pPr>
      <w:r>
        <w:rPr>
          <w:rFonts w:eastAsia="Times New Roman"/>
          <w:szCs w:val="24"/>
        </w:rPr>
        <w:t>The WWMA L&amp;R Committee heard comments on this item as part of Block 4 rather than as an individual item, so these comments apply to the whole block.</w:t>
      </w:r>
    </w:p>
    <w:p w14:paraId="357B8BC2" w14:textId="04C3EBFE" w:rsidR="009A6B64" w:rsidRDefault="009A6B64" w:rsidP="00246881">
      <w:pPr>
        <w:rPr>
          <w:rFonts w:eastAsia="Times New Roman"/>
          <w:szCs w:val="24"/>
        </w:rPr>
      </w:pPr>
      <w:r>
        <w:rPr>
          <w:rFonts w:eastAsia="Times New Roman"/>
          <w:szCs w:val="24"/>
        </w:rPr>
        <w:t>Mr. Kurt Floren (County of Los Angeles, California) stated that he w</w:t>
      </w:r>
      <w:r w:rsidRPr="004762F4">
        <w:rPr>
          <w:rFonts w:eastAsia="Times New Roman"/>
          <w:szCs w:val="24"/>
        </w:rPr>
        <w:t xml:space="preserve">as </w:t>
      </w:r>
      <w:r>
        <w:rPr>
          <w:rFonts w:eastAsia="Times New Roman"/>
          <w:szCs w:val="24"/>
        </w:rPr>
        <w:t>a</w:t>
      </w:r>
      <w:r w:rsidRPr="004762F4">
        <w:rPr>
          <w:rFonts w:eastAsia="Times New Roman"/>
          <w:szCs w:val="24"/>
        </w:rPr>
        <w:t xml:space="preserve"> </w:t>
      </w:r>
      <w:r>
        <w:rPr>
          <w:rFonts w:eastAsia="Times New Roman"/>
          <w:szCs w:val="24"/>
        </w:rPr>
        <w:t>member</w:t>
      </w:r>
      <w:r w:rsidRPr="004762F4">
        <w:rPr>
          <w:rFonts w:eastAsia="Times New Roman"/>
          <w:szCs w:val="24"/>
        </w:rPr>
        <w:t xml:space="preserve"> of the</w:t>
      </w:r>
      <w:r>
        <w:rPr>
          <w:rFonts w:eastAsia="Times New Roman"/>
          <w:szCs w:val="24"/>
        </w:rPr>
        <w:t xml:space="preserve"> Moisture Allowance</w:t>
      </w:r>
      <w:r w:rsidRPr="004762F4">
        <w:rPr>
          <w:rFonts w:eastAsia="Times New Roman"/>
          <w:szCs w:val="24"/>
        </w:rPr>
        <w:t xml:space="preserve"> </w:t>
      </w:r>
      <w:r>
        <w:rPr>
          <w:rFonts w:eastAsia="Times New Roman"/>
          <w:szCs w:val="24"/>
        </w:rPr>
        <w:t>Task</w:t>
      </w:r>
      <w:r w:rsidRPr="004762F4">
        <w:rPr>
          <w:rFonts w:eastAsia="Times New Roman"/>
          <w:szCs w:val="24"/>
        </w:rPr>
        <w:t xml:space="preserve"> </w:t>
      </w:r>
      <w:r>
        <w:rPr>
          <w:rFonts w:eastAsia="Times New Roman"/>
          <w:szCs w:val="24"/>
        </w:rPr>
        <w:t>G</w:t>
      </w:r>
      <w:r w:rsidRPr="004762F4">
        <w:rPr>
          <w:rFonts w:eastAsia="Times New Roman"/>
          <w:szCs w:val="24"/>
        </w:rPr>
        <w:t xml:space="preserve">roup. </w:t>
      </w:r>
      <w:r>
        <w:rPr>
          <w:rFonts w:eastAsia="Times New Roman"/>
          <w:szCs w:val="24"/>
        </w:rPr>
        <w:t>This proposal is being considered b</w:t>
      </w:r>
      <w:r w:rsidRPr="004762F4">
        <w:rPr>
          <w:rFonts w:eastAsia="Times New Roman"/>
          <w:szCs w:val="24"/>
        </w:rPr>
        <w:t xml:space="preserve">ecause federal laws </w:t>
      </w:r>
      <w:r>
        <w:rPr>
          <w:rFonts w:eastAsia="Times New Roman"/>
          <w:szCs w:val="24"/>
        </w:rPr>
        <w:t xml:space="preserve">require regulators to consider moisture loss when applying tolerances. </w:t>
      </w:r>
      <w:r w:rsidRPr="004762F4">
        <w:rPr>
          <w:rFonts w:eastAsia="Times New Roman"/>
          <w:szCs w:val="24"/>
        </w:rPr>
        <w:t>Variations occur</w:t>
      </w:r>
      <w:r>
        <w:rPr>
          <w:rFonts w:eastAsia="Times New Roman"/>
          <w:szCs w:val="24"/>
        </w:rPr>
        <w:t xml:space="preserve"> due to fluctuations </w:t>
      </w:r>
      <w:r w:rsidRPr="004762F4">
        <w:rPr>
          <w:rFonts w:eastAsia="Times New Roman"/>
          <w:szCs w:val="24"/>
        </w:rPr>
        <w:t>in</w:t>
      </w:r>
      <w:r>
        <w:rPr>
          <w:rFonts w:eastAsia="Times New Roman"/>
          <w:szCs w:val="24"/>
        </w:rPr>
        <w:t xml:space="preserve"> moisture even with</w:t>
      </w:r>
      <w:r w:rsidRPr="004762F4">
        <w:rPr>
          <w:rFonts w:eastAsia="Times New Roman"/>
          <w:szCs w:val="24"/>
        </w:rPr>
        <w:t xml:space="preserve"> good distribution practice</w:t>
      </w:r>
      <w:r>
        <w:rPr>
          <w:rFonts w:eastAsia="Times New Roman"/>
          <w:szCs w:val="24"/>
        </w:rPr>
        <w:t>s</w:t>
      </w:r>
      <w:r w:rsidRPr="004762F4">
        <w:rPr>
          <w:rFonts w:eastAsia="Times New Roman"/>
          <w:szCs w:val="24"/>
        </w:rPr>
        <w:t>.</w:t>
      </w:r>
      <w:r>
        <w:rPr>
          <w:rFonts w:eastAsia="Times New Roman"/>
          <w:szCs w:val="24"/>
        </w:rPr>
        <w:t xml:space="preserve"> The language the task group will be developing will be based upon the language in </w:t>
      </w:r>
      <w:r w:rsidRPr="004762F4">
        <w:rPr>
          <w:rFonts w:eastAsia="Times New Roman"/>
          <w:szCs w:val="24"/>
        </w:rPr>
        <w:t xml:space="preserve">Federal law </w:t>
      </w:r>
      <w:r>
        <w:rPr>
          <w:rFonts w:eastAsia="Times New Roman"/>
          <w:szCs w:val="24"/>
        </w:rPr>
        <w:t xml:space="preserve">which </w:t>
      </w:r>
      <w:r w:rsidRPr="004762F4">
        <w:rPr>
          <w:rFonts w:eastAsia="Times New Roman"/>
          <w:szCs w:val="24"/>
        </w:rPr>
        <w:t>speak</w:t>
      </w:r>
      <w:r>
        <w:rPr>
          <w:rFonts w:eastAsia="Times New Roman"/>
          <w:szCs w:val="24"/>
        </w:rPr>
        <w:t>s to</w:t>
      </w:r>
      <w:r w:rsidRPr="004762F4">
        <w:rPr>
          <w:rFonts w:eastAsia="Times New Roman"/>
          <w:szCs w:val="24"/>
        </w:rPr>
        <w:t xml:space="preserve"> </w:t>
      </w:r>
      <w:r>
        <w:rPr>
          <w:rFonts w:eastAsia="Times New Roman"/>
          <w:szCs w:val="24"/>
        </w:rPr>
        <w:t>“</w:t>
      </w:r>
      <w:r w:rsidRPr="004762F4">
        <w:rPr>
          <w:rFonts w:eastAsia="Times New Roman"/>
          <w:szCs w:val="24"/>
        </w:rPr>
        <w:t>reasonable variation</w:t>
      </w:r>
      <w:r>
        <w:rPr>
          <w:rFonts w:eastAsia="Times New Roman"/>
          <w:szCs w:val="24"/>
        </w:rPr>
        <w:t>”</w:t>
      </w:r>
      <w:r w:rsidRPr="004762F4">
        <w:rPr>
          <w:rFonts w:eastAsia="Times New Roman"/>
          <w:szCs w:val="24"/>
        </w:rPr>
        <w:t xml:space="preserve">. </w:t>
      </w:r>
    </w:p>
    <w:p w14:paraId="18D2ECEE" w14:textId="09CA4A68" w:rsidR="009A6B64" w:rsidRPr="00A43BF4" w:rsidRDefault="009A6B64" w:rsidP="00246881">
      <w:pPr>
        <w:rPr>
          <w:rFonts w:eastAsia="Times New Roman"/>
          <w:szCs w:val="24"/>
        </w:rPr>
      </w:pPr>
      <w:r w:rsidRPr="008B1174">
        <w:rPr>
          <w:rFonts w:eastAsia="Times New Roman"/>
          <w:szCs w:val="24"/>
        </w:rPr>
        <w:t>Mr. Aaron Yanker (Colorado Department of Agriculture, Weights and Measures)</w:t>
      </w:r>
      <w:r>
        <w:rPr>
          <w:rFonts w:eastAsia="Times New Roman"/>
          <w:szCs w:val="24"/>
        </w:rPr>
        <w:t xml:space="preserve">, Mr. Austin Shepherd (County of San Diego, California), and </w:t>
      </w:r>
      <w:r w:rsidRPr="000A0675">
        <w:rPr>
          <w:rFonts w:eastAsia="Times New Roman"/>
          <w:szCs w:val="24"/>
        </w:rPr>
        <w:t xml:space="preserve">Mr. Matt Douglas </w:t>
      </w:r>
      <w:r>
        <w:rPr>
          <w:rFonts w:eastAsia="Times New Roman"/>
          <w:szCs w:val="24"/>
        </w:rPr>
        <w:t>(</w:t>
      </w:r>
      <w:r w:rsidRPr="000A0675">
        <w:rPr>
          <w:rFonts w:eastAsia="Times New Roman"/>
          <w:szCs w:val="24"/>
        </w:rPr>
        <w:t>California</w:t>
      </w:r>
      <w:r>
        <w:rPr>
          <w:rFonts w:eastAsia="Times New Roman"/>
          <w:szCs w:val="24"/>
        </w:rPr>
        <w:t xml:space="preserve"> Division of Measurement Standards) expressed support for the task group and the comments made by Mr. Floren.</w:t>
      </w:r>
    </w:p>
    <w:p w14:paraId="3040049D" w14:textId="4F6685DC" w:rsidR="00D0707F" w:rsidRPr="00A43BF4" w:rsidRDefault="009A6B64" w:rsidP="00246881">
      <w:pPr>
        <w:rPr>
          <w:rFonts w:eastAsia="Times New Roman"/>
          <w:szCs w:val="24"/>
        </w:rPr>
      </w:pPr>
      <w:r>
        <w:rPr>
          <w:rFonts w:eastAsia="Times New Roman"/>
          <w:szCs w:val="24"/>
        </w:rPr>
        <w:t>The WWMA L&amp;R Committee recommends this item remain assigned.</w:t>
      </w:r>
    </w:p>
    <w:p w14:paraId="22FDCE22" w14:textId="7C437FA9" w:rsidR="00D0707F" w:rsidRDefault="00D0707F" w:rsidP="00D0707F">
      <w:pPr>
        <w:rPr>
          <w:rFonts w:eastAsia="Times New Roman"/>
          <w:szCs w:val="24"/>
          <w:u w:val="single"/>
        </w:rPr>
      </w:pPr>
      <w:r>
        <w:rPr>
          <w:rFonts w:eastAsia="Times New Roman"/>
          <w:szCs w:val="24"/>
          <w:u w:val="single"/>
        </w:rPr>
        <w:t>C</w:t>
      </w:r>
      <w:r w:rsidRPr="0051426D">
        <w:rPr>
          <w:rFonts w:eastAsia="Times New Roman"/>
          <w:szCs w:val="24"/>
          <w:u w:val="single"/>
        </w:rPr>
        <w:t>WMA 202</w:t>
      </w:r>
      <w:r>
        <w:rPr>
          <w:rFonts w:eastAsia="Times New Roman"/>
          <w:szCs w:val="24"/>
          <w:u w:val="single"/>
        </w:rPr>
        <w:t>5</w:t>
      </w:r>
      <w:r w:rsidRPr="0051426D">
        <w:rPr>
          <w:rFonts w:eastAsia="Times New Roman"/>
          <w:szCs w:val="24"/>
          <w:u w:val="single"/>
        </w:rPr>
        <w:t xml:space="preserve"> </w:t>
      </w:r>
      <w:r w:rsidR="006A6C83">
        <w:rPr>
          <w:rFonts w:eastAsia="Times New Roman"/>
          <w:szCs w:val="24"/>
          <w:u w:val="single"/>
        </w:rPr>
        <w:t>Interim</w:t>
      </w:r>
      <w:r w:rsidRPr="0051426D">
        <w:rPr>
          <w:rFonts w:eastAsia="Times New Roman"/>
          <w:szCs w:val="24"/>
          <w:u w:val="single"/>
        </w:rPr>
        <w:t xml:space="preserve"> Meeting:</w:t>
      </w:r>
    </w:p>
    <w:p w14:paraId="7AEBF27B" w14:textId="77777777" w:rsidR="00252A7D" w:rsidRPr="00A43BF4" w:rsidRDefault="00252A7D" w:rsidP="00252A7D">
      <w:pPr>
        <w:spacing w:after="0"/>
        <w:rPr>
          <w:rFonts w:eastAsia="Times New Roman"/>
          <w:szCs w:val="24"/>
        </w:rPr>
      </w:pPr>
      <w:r>
        <w:rPr>
          <w:rFonts w:eastAsia="Times New Roman"/>
          <w:szCs w:val="24"/>
        </w:rPr>
        <w:t xml:space="preserve">One regulator recommended withdrawal while another regulator recommend assigned status.  Concerns were raised regarding the definitions of “Allowances Considerations”.  </w:t>
      </w:r>
    </w:p>
    <w:p w14:paraId="4FFB4FBE" w14:textId="15269745" w:rsidR="00726F20" w:rsidRPr="00252A7D" w:rsidRDefault="00252A7D" w:rsidP="003A543E">
      <w:pPr>
        <w:spacing w:before="240" w:after="0"/>
        <w:jc w:val="left"/>
        <w:rPr>
          <w:rFonts w:eastAsia="Times New Roman"/>
          <w:szCs w:val="24"/>
        </w:rPr>
      </w:pPr>
      <w:r>
        <w:rPr>
          <w:rFonts w:eastAsia="Times New Roman"/>
          <w:szCs w:val="24"/>
        </w:rPr>
        <w:t>The CWMA L&amp;R Committee recommends this item remain assigned.</w:t>
      </w:r>
    </w:p>
    <w:p w14:paraId="3139B92D" w14:textId="77777777" w:rsidR="00EE0428" w:rsidRDefault="00D0707F" w:rsidP="003A543E">
      <w:pPr>
        <w:keepNext/>
        <w:keepLines/>
        <w:spacing w:before="240"/>
        <w:jc w:val="left"/>
        <w:rPr>
          <w:u w:val="single"/>
        </w:rPr>
      </w:pPr>
      <w:r w:rsidRPr="006C7BFB">
        <w:rPr>
          <w:u w:val="single"/>
        </w:rPr>
        <w:lastRenderedPageBreak/>
        <w:t>NEWMA 202</w:t>
      </w:r>
      <w:r>
        <w:rPr>
          <w:u w:val="single"/>
        </w:rPr>
        <w:t>5</w:t>
      </w:r>
      <w:r w:rsidRPr="006C7BFB">
        <w:rPr>
          <w:u w:val="single"/>
        </w:rPr>
        <w:t xml:space="preserve"> Interim Meeting:</w:t>
      </w:r>
    </w:p>
    <w:p w14:paraId="2944ECBB" w14:textId="4C28D7CE" w:rsidR="007751C6" w:rsidRDefault="007751C6" w:rsidP="003A543E">
      <w:pPr>
        <w:keepNext/>
        <w:keepLines/>
        <w:rPr>
          <w:rFonts w:eastAsia="Times New Roman"/>
          <w:szCs w:val="24"/>
        </w:rPr>
      </w:pPr>
      <w:r>
        <w:rPr>
          <w:rFonts w:eastAsia="Times New Roman"/>
          <w:szCs w:val="24"/>
        </w:rPr>
        <w:t>Comments were heard together on all items in Block 4.  All comments heard apply to each item in this Block 4.</w:t>
      </w:r>
    </w:p>
    <w:p w14:paraId="66E15353" w14:textId="6DFB9322" w:rsidR="007751C6" w:rsidRDefault="007751C6" w:rsidP="003A543E">
      <w:pPr>
        <w:keepNext/>
        <w:keepLines/>
        <w:rPr>
          <w:rFonts w:eastAsia="Times New Roman"/>
          <w:szCs w:val="24"/>
        </w:rPr>
      </w:pPr>
      <w:r>
        <w:rPr>
          <w:rFonts w:eastAsia="Times New Roman"/>
          <w:szCs w:val="24"/>
        </w:rPr>
        <w:t>A regulator from New York (and member of the Moisture Task Group) gave an update.  He commented that the task group met on October 7, 2025 and will be meeting monthly.  They are looking to align the language with federal language.  A regulator from New Jersey commented they are looking forward to the work of the task group and recommended an Assigned status.</w:t>
      </w:r>
    </w:p>
    <w:p w14:paraId="2CAF3BA4" w14:textId="323110B2" w:rsidR="00C23360" w:rsidRPr="009F1824" w:rsidRDefault="007751C6" w:rsidP="009F1824">
      <w:pPr>
        <w:spacing w:after="0"/>
        <w:rPr>
          <w:rFonts w:eastAsia="Times New Roman"/>
          <w:szCs w:val="24"/>
        </w:rPr>
      </w:pPr>
      <w:r>
        <w:rPr>
          <w:rFonts w:eastAsia="Times New Roman"/>
          <w:szCs w:val="24"/>
        </w:rPr>
        <w:t>After hearing comments from the floor, the committee recommended an Assigned status, and the body concurred.</w:t>
      </w:r>
    </w:p>
    <w:p w14:paraId="7DD9B2AF" w14:textId="0962C1BE" w:rsidR="00D0707F" w:rsidRDefault="00D0707F" w:rsidP="003A543E">
      <w:pPr>
        <w:spacing w:before="240"/>
        <w:rPr>
          <w:u w:val="single"/>
        </w:rPr>
      </w:pPr>
      <w:r>
        <w:rPr>
          <w:u w:val="single"/>
        </w:rPr>
        <w:t>S</w:t>
      </w:r>
      <w:r w:rsidRPr="00EF1ACC">
        <w:rPr>
          <w:u w:val="single"/>
        </w:rPr>
        <w:t>WMA 202</w:t>
      </w:r>
      <w:r>
        <w:rPr>
          <w:u w:val="single"/>
        </w:rPr>
        <w:t>5</w:t>
      </w:r>
      <w:r w:rsidRPr="00EF1ACC">
        <w:rPr>
          <w:u w:val="single"/>
        </w:rPr>
        <w:t xml:space="preserve"> </w:t>
      </w:r>
      <w:r w:rsidR="006A6C83">
        <w:rPr>
          <w:u w:val="single"/>
        </w:rPr>
        <w:t>Annual</w:t>
      </w:r>
      <w:r w:rsidRPr="00EF1ACC">
        <w:rPr>
          <w:u w:val="single"/>
        </w:rPr>
        <w:t xml:space="preserve"> Meeting</w:t>
      </w:r>
      <w:r>
        <w:rPr>
          <w:u w:val="single"/>
        </w:rPr>
        <w:t>:</w:t>
      </w:r>
    </w:p>
    <w:p w14:paraId="76CB5AED" w14:textId="6885DF1C" w:rsidR="00CE57D8" w:rsidRDefault="00CE57D8" w:rsidP="003A543E">
      <w:pPr>
        <w:rPr>
          <w:rFonts w:eastAsia="Times New Roman"/>
          <w:szCs w:val="24"/>
        </w:rPr>
      </w:pPr>
      <w:r>
        <w:rPr>
          <w:rFonts w:eastAsia="Times New Roman"/>
          <w:szCs w:val="24"/>
        </w:rPr>
        <w:t xml:space="preserve">Mr. Tory Brewer, moisture allowance task group chair, commented that the moisture allowance task group has met only once and has decided to rewrite the entire moisture allowance section. The group will meet again in November and plans on having a tentative draft that will be presented in January at the NCWM 2026 interim. </w:t>
      </w:r>
    </w:p>
    <w:p w14:paraId="0874D517" w14:textId="73B10DE2" w:rsidR="007751C6" w:rsidRPr="007751C6" w:rsidRDefault="00CE57D8" w:rsidP="003A543E">
      <w:pPr>
        <w:rPr>
          <w:rFonts w:eastAsia="Times New Roman"/>
          <w:szCs w:val="24"/>
        </w:rPr>
      </w:pPr>
      <w:r>
        <w:rPr>
          <w:rFonts w:eastAsia="Times New Roman"/>
          <w:szCs w:val="24"/>
        </w:rPr>
        <w:t>The Committee recommends this item remain Assigned. This applies to all items in Block 4.</w:t>
      </w:r>
    </w:p>
    <w:p w14:paraId="3B744460" w14:textId="6587EC82" w:rsidR="00E857B2" w:rsidRDefault="009D2986" w:rsidP="007D489A">
      <w:r>
        <w:t xml:space="preserve">Additional letters, presentation and data may have been submitted for consideration with this item.  Please refer to </w:t>
      </w:r>
      <w:hyperlink r:id="rId42" w:history="1">
        <w:r w:rsidRPr="002A1164">
          <w:rPr>
            <w:rStyle w:val="Hyperlink"/>
          </w:rPr>
          <w:t>https://www.ncwm.com/publication-15</w:t>
        </w:r>
      </w:hyperlink>
      <w:r>
        <w:t xml:space="preserve"> 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F63D53" w14:paraId="7DA8E461" w14:textId="77777777" w:rsidTr="00F63D53">
        <w:tc>
          <w:tcPr>
            <w:tcW w:w="4795" w:type="dxa"/>
            <w:tcBorders>
              <w:top w:val="nil"/>
              <w:left w:val="nil"/>
              <w:bottom w:val="single" w:sz="8" w:space="0" w:color="auto"/>
              <w:right w:val="nil"/>
            </w:tcBorders>
          </w:tcPr>
          <w:p w14:paraId="69B27113" w14:textId="77777777" w:rsidR="00F63D53" w:rsidRDefault="00F63D53">
            <w:pPr>
              <w:pStyle w:val="TableText"/>
              <w:keepNext/>
            </w:pPr>
          </w:p>
        </w:tc>
      </w:tr>
    </w:tbl>
    <w:p w14:paraId="7E24A3A9" w14:textId="33C25A9C" w:rsidR="00F63D53" w:rsidRPr="00C65A5A" w:rsidRDefault="002C05E0" w:rsidP="007D489A">
      <w:pPr>
        <w:pStyle w:val="CommitteeMemberNames"/>
        <w:suppressLineNumbers/>
        <w:spacing w:before="120"/>
        <w:rPr>
          <w:strike/>
        </w:rPr>
      </w:pPr>
      <w:r>
        <w:t xml:space="preserve">Mauricio Mejia, Florida </w:t>
      </w:r>
      <w:r w:rsidR="00F63D53">
        <w:t>| Chair</w:t>
      </w:r>
    </w:p>
    <w:p w14:paraId="5EA77D55" w14:textId="7A71E32E" w:rsidR="00F63D53" w:rsidRDefault="002C05E0" w:rsidP="007D489A">
      <w:pPr>
        <w:pStyle w:val="CommitteeMemberNames"/>
        <w:suppressLineNumbers/>
      </w:pPr>
      <w:r>
        <w:t>Mi</w:t>
      </w:r>
      <w:r w:rsidR="00EF7012">
        <w:t>chael</w:t>
      </w:r>
      <w:r>
        <w:t xml:space="preserve"> Peeler, New Jersey </w:t>
      </w:r>
      <w:r w:rsidR="00F63D53">
        <w:t xml:space="preserve">| </w:t>
      </w:r>
      <w:r w:rsidR="00262473">
        <w:t>Vice-Chair</w:t>
      </w:r>
    </w:p>
    <w:p w14:paraId="7F30DD18" w14:textId="2FF8AFA7" w:rsidR="00F63D53" w:rsidRDefault="00F63D53" w:rsidP="007D489A">
      <w:pPr>
        <w:pStyle w:val="CommitteeMemberNames"/>
        <w:suppressLineNumbers/>
      </w:pPr>
      <w:r>
        <w:t xml:space="preserve">Mike Harrington, Iowa </w:t>
      </w:r>
      <w:bookmarkStart w:id="878" w:name="_Hlk185318116"/>
      <w:r>
        <w:t>| Member</w:t>
      </w:r>
    </w:p>
    <w:bookmarkEnd w:id="878"/>
    <w:p w14:paraId="188D511F" w14:textId="78803A32" w:rsidR="00C65A5A" w:rsidRDefault="00C65A5A" w:rsidP="007D489A">
      <w:pPr>
        <w:pStyle w:val="CommitteeMemberNames"/>
        <w:suppressLineNumbers/>
      </w:pPr>
      <w:r>
        <w:t>Austin</w:t>
      </w:r>
      <w:r w:rsidR="00CB25A3">
        <w:t xml:space="preserve"> Shep</w:t>
      </w:r>
      <w:r w:rsidR="007B6CB1">
        <w:t>h</w:t>
      </w:r>
      <w:r w:rsidR="005B5E78">
        <w:t>e</w:t>
      </w:r>
      <w:r w:rsidR="00CB25A3">
        <w:t xml:space="preserve">rd, </w:t>
      </w:r>
      <w:r w:rsidR="00ED1CD7">
        <w:t>San Diego County | Member</w:t>
      </w:r>
    </w:p>
    <w:p w14:paraId="5AEC4ABE" w14:textId="07E6158D" w:rsidR="002C05E0" w:rsidRDefault="00F92E57" w:rsidP="007D489A">
      <w:pPr>
        <w:pStyle w:val="CommitteeMemberNames"/>
        <w:suppressLineNumbers/>
      </w:pPr>
      <w:r>
        <w:t>Jose Arriaga, Orange County, California</w:t>
      </w:r>
      <w:r w:rsidR="002C05E0">
        <w:t xml:space="preserve"> | Member</w:t>
      </w:r>
    </w:p>
    <w:p w14:paraId="109ED87C" w14:textId="6E23B053" w:rsidR="00F63D53" w:rsidRDefault="00F63D53" w:rsidP="007D489A">
      <w:pPr>
        <w:pStyle w:val="CommitteeMemberNames"/>
        <w:suppressLineNumbers/>
      </w:pPr>
      <w:r>
        <w:t>Brent Price, Gilbarco | AMC Representative</w:t>
      </w:r>
    </w:p>
    <w:p w14:paraId="3B48F2AC" w14:textId="477BD20B" w:rsidR="004C5924" w:rsidRDefault="004C5924" w:rsidP="007D489A">
      <w:pPr>
        <w:pStyle w:val="CommitteeMemberNames"/>
        <w:suppressLineNumbers/>
      </w:pPr>
      <w:r>
        <w:t>Rowan Hemsing, Measurement Canada | Canadian Technical Advisor</w:t>
      </w:r>
    </w:p>
    <w:p w14:paraId="38E3BCC7" w14:textId="1F444AA3" w:rsidR="00F63D53" w:rsidRDefault="002C05E0" w:rsidP="007D489A">
      <w:pPr>
        <w:suppressLineNumbers/>
        <w:spacing w:after="0"/>
        <w:jc w:val="left"/>
      </w:pPr>
      <w:r>
        <w:t>J</w:t>
      </w:r>
      <w:r w:rsidR="00F63D53">
        <w:t>ohn McGuire, NIST OWM | NIST Technical Advisor</w:t>
      </w:r>
    </w:p>
    <w:p w14:paraId="13CDECD2" w14:textId="11A65727" w:rsidR="00F63D53" w:rsidRDefault="00F63D53" w:rsidP="007D489A">
      <w:pPr>
        <w:suppressLineNumbers/>
        <w:spacing w:after="0"/>
        <w:jc w:val="left"/>
      </w:pPr>
      <w:r>
        <w:t>Loren Minnich, NIST OWM | NIST Technical Advisor</w:t>
      </w:r>
    </w:p>
    <w:p w14:paraId="32930415" w14:textId="50977A29" w:rsidR="00F63D53" w:rsidRDefault="00F63D53" w:rsidP="007D489A">
      <w:pPr>
        <w:pStyle w:val="CommitteeMemberNames"/>
        <w:suppressLineNumbers/>
      </w:pPr>
      <w:r>
        <w:t xml:space="preserve">Constantine Cotsoradis, NCWM | Committee Coordinator </w:t>
      </w:r>
    </w:p>
    <w:p w14:paraId="6AAA5E9B" w14:textId="11D41698" w:rsidR="007D489A" w:rsidRDefault="00F63D53" w:rsidP="00A94B54">
      <w:pPr>
        <w:suppressLineNumbers/>
        <w:spacing w:before="120" w:after="0"/>
        <w:jc w:val="left"/>
        <w:rPr>
          <w:b/>
          <w:bCs/>
        </w:rPr>
        <w:sectPr w:rsidR="007D489A" w:rsidSect="006B4156">
          <w:headerReference w:type="even" r:id="rId43"/>
          <w:headerReference w:type="default" r:id="rId44"/>
          <w:footerReference w:type="even" r:id="rId45"/>
          <w:footerReference w:type="default" r:id="rId46"/>
          <w:pgSz w:w="12240" w:h="15840"/>
          <w:pgMar w:top="1440" w:right="1350" w:bottom="1440" w:left="1440" w:header="720" w:footer="360" w:gutter="0"/>
          <w:lnNumType w:countBy="1"/>
          <w:pgNumType w:start="27"/>
          <w:cols w:space="720"/>
          <w:docGrid w:linePitch="360"/>
        </w:sectPr>
      </w:pPr>
      <w:r>
        <w:rPr>
          <w:b/>
          <w:bCs/>
        </w:rPr>
        <w:t>Laws and Regulations Committee</w:t>
      </w:r>
      <w:r w:rsidR="007D489A">
        <w:rPr>
          <w:b/>
          <w:bCs/>
        </w:rPr>
        <w:br w:type="page"/>
      </w:r>
    </w:p>
    <w:p w14:paraId="4B205E90" w14:textId="77777777" w:rsidR="00A11A19" w:rsidRDefault="00A11A19" w:rsidP="00A11A19">
      <w:pPr>
        <w:suppressLineNumbers/>
        <w:suppressAutoHyphens/>
        <w:spacing w:after="0"/>
        <w:jc w:val="center"/>
        <w:rPr>
          <w:b/>
          <w:sz w:val="28"/>
          <w:szCs w:val="28"/>
        </w:rPr>
      </w:pPr>
      <w:bookmarkStart w:id="879" w:name="_Toc301768233"/>
      <w:bookmarkStart w:id="880" w:name="_Toc308595428"/>
      <w:bookmarkStart w:id="881" w:name="_Toc308595834"/>
      <w:bookmarkStart w:id="882" w:name="_Toc308596039"/>
    </w:p>
    <w:p w14:paraId="17D7E0E9" w14:textId="77777777" w:rsidR="00A11A19" w:rsidRDefault="00A11A19" w:rsidP="00A11A19">
      <w:pPr>
        <w:suppressLineNumbers/>
        <w:suppressAutoHyphens/>
        <w:spacing w:after="0"/>
        <w:jc w:val="center"/>
        <w:rPr>
          <w:b/>
          <w:sz w:val="28"/>
          <w:szCs w:val="28"/>
        </w:rPr>
      </w:pPr>
    </w:p>
    <w:p w14:paraId="471AECA3" w14:textId="77777777" w:rsidR="00A11A19" w:rsidRDefault="00A11A19" w:rsidP="00A11A19">
      <w:pPr>
        <w:suppressLineNumbers/>
        <w:suppressAutoHyphens/>
        <w:spacing w:after="0"/>
        <w:jc w:val="center"/>
        <w:rPr>
          <w:b/>
          <w:sz w:val="28"/>
          <w:szCs w:val="28"/>
        </w:rPr>
      </w:pPr>
    </w:p>
    <w:p w14:paraId="4B1DE3C1" w14:textId="77777777" w:rsidR="00A11A19" w:rsidRDefault="00A11A19" w:rsidP="00A11A19">
      <w:pPr>
        <w:suppressLineNumbers/>
        <w:suppressAutoHyphens/>
        <w:spacing w:after="0"/>
        <w:jc w:val="center"/>
        <w:rPr>
          <w:b/>
          <w:sz w:val="28"/>
          <w:szCs w:val="28"/>
        </w:rPr>
      </w:pPr>
    </w:p>
    <w:p w14:paraId="1511A9A9" w14:textId="77777777" w:rsidR="00A11A19" w:rsidRDefault="00A11A19" w:rsidP="00A11A19">
      <w:pPr>
        <w:suppressLineNumbers/>
        <w:suppressAutoHyphens/>
        <w:spacing w:after="0"/>
        <w:jc w:val="center"/>
        <w:rPr>
          <w:b/>
          <w:sz w:val="28"/>
          <w:szCs w:val="28"/>
        </w:rPr>
      </w:pPr>
    </w:p>
    <w:p w14:paraId="493753AA" w14:textId="77777777" w:rsidR="00A11A19" w:rsidRDefault="00A11A19" w:rsidP="00A11A19">
      <w:pPr>
        <w:suppressLineNumbers/>
        <w:suppressAutoHyphens/>
        <w:spacing w:after="0"/>
        <w:jc w:val="center"/>
        <w:rPr>
          <w:b/>
          <w:sz w:val="28"/>
          <w:szCs w:val="28"/>
        </w:rPr>
      </w:pPr>
    </w:p>
    <w:p w14:paraId="6BFBFB86" w14:textId="77777777" w:rsidR="00A11A19" w:rsidRDefault="00A11A19" w:rsidP="00A11A19">
      <w:pPr>
        <w:suppressLineNumbers/>
        <w:suppressAutoHyphens/>
        <w:spacing w:after="0"/>
        <w:jc w:val="center"/>
        <w:rPr>
          <w:b/>
          <w:sz w:val="28"/>
          <w:szCs w:val="28"/>
        </w:rPr>
      </w:pPr>
    </w:p>
    <w:p w14:paraId="74FBCABA" w14:textId="77777777" w:rsidR="00A11A19" w:rsidRDefault="00A11A19" w:rsidP="00A11A19">
      <w:pPr>
        <w:suppressLineNumbers/>
        <w:suppressAutoHyphens/>
        <w:spacing w:after="0"/>
        <w:jc w:val="center"/>
        <w:rPr>
          <w:b/>
          <w:sz w:val="28"/>
          <w:szCs w:val="28"/>
        </w:rPr>
      </w:pPr>
    </w:p>
    <w:p w14:paraId="7A7322D2" w14:textId="77777777" w:rsidR="00A11A19" w:rsidRDefault="00A11A19" w:rsidP="00A11A19">
      <w:pPr>
        <w:suppressLineNumbers/>
        <w:suppressAutoHyphens/>
        <w:spacing w:after="0"/>
        <w:jc w:val="center"/>
        <w:rPr>
          <w:b/>
          <w:sz w:val="28"/>
          <w:szCs w:val="28"/>
        </w:rPr>
      </w:pPr>
    </w:p>
    <w:p w14:paraId="1321A55B" w14:textId="77777777" w:rsidR="00A11A19" w:rsidRDefault="00A11A19" w:rsidP="00A11A19">
      <w:pPr>
        <w:suppressLineNumbers/>
        <w:suppressAutoHyphens/>
        <w:spacing w:after="0"/>
        <w:jc w:val="center"/>
        <w:rPr>
          <w:b/>
          <w:sz w:val="28"/>
          <w:szCs w:val="28"/>
        </w:rPr>
      </w:pPr>
    </w:p>
    <w:p w14:paraId="552AB380" w14:textId="77777777" w:rsidR="00A11A19" w:rsidRDefault="00A11A19" w:rsidP="00A11A19">
      <w:pPr>
        <w:suppressLineNumbers/>
        <w:suppressAutoHyphens/>
        <w:spacing w:after="0"/>
        <w:jc w:val="center"/>
        <w:rPr>
          <w:b/>
          <w:sz w:val="28"/>
          <w:szCs w:val="28"/>
        </w:rPr>
      </w:pPr>
    </w:p>
    <w:p w14:paraId="281EB3D7" w14:textId="77777777" w:rsidR="00A11A19" w:rsidRDefault="00A11A19" w:rsidP="00A11A19">
      <w:pPr>
        <w:suppressLineNumbers/>
        <w:suppressAutoHyphens/>
        <w:spacing w:after="0"/>
        <w:jc w:val="center"/>
        <w:rPr>
          <w:b/>
          <w:sz w:val="28"/>
          <w:szCs w:val="28"/>
        </w:rPr>
      </w:pPr>
    </w:p>
    <w:p w14:paraId="60160794" w14:textId="77777777" w:rsidR="00A11A19" w:rsidRDefault="00A11A19" w:rsidP="00A11A19">
      <w:pPr>
        <w:suppressLineNumbers/>
        <w:suppressAutoHyphens/>
        <w:spacing w:after="0"/>
        <w:jc w:val="center"/>
        <w:rPr>
          <w:b/>
          <w:sz w:val="28"/>
          <w:szCs w:val="28"/>
        </w:rPr>
      </w:pPr>
    </w:p>
    <w:p w14:paraId="1AB3CF93" w14:textId="77777777" w:rsidR="00A11A19" w:rsidRDefault="00A11A19" w:rsidP="00A11A19">
      <w:pPr>
        <w:suppressLineNumbers/>
        <w:suppressAutoHyphens/>
        <w:spacing w:after="0"/>
        <w:jc w:val="center"/>
        <w:rPr>
          <w:b/>
          <w:sz w:val="28"/>
          <w:szCs w:val="28"/>
        </w:rPr>
      </w:pPr>
    </w:p>
    <w:p w14:paraId="46E43CD9" w14:textId="77777777" w:rsidR="00A11A19" w:rsidRDefault="00A11A19" w:rsidP="00A11A19">
      <w:pPr>
        <w:suppressLineNumbers/>
        <w:suppressAutoHyphens/>
        <w:spacing w:after="0"/>
        <w:jc w:val="center"/>
        <w:rPr>
          <w:b/>
          <w:sz w:val="28"/>
          <w:szCs w:val="28"/>
        </w:rPr>
      </w:pPr>
    </w:p>
    <w:p w14:paraId="26370196" w14:textId="77777777" w:rsidR="00A11A19" w:rsidRDefault="00A11A19" w:rsidP="00A11A19">
      <w:pPr>
        <w:suppressLineNumbers/>
        <w:suppressAutoHyphens/>
        <w:spacing w:after="0"/>
        <w:jc w:val="center"/>
        <w:rPr>
          <w:b/>
          <w:sz w:val="28"/>
          <w:szCs w:val="28"/>
        </w:rPr>
      </w:pPr>
    </w:p>
    <w:p w14:paraId="0EE6F77D" w14:textId="77777777" w:rsidR="00A11A19" w:rsidRDefault="00A11A19" w:rsidP="00A11A19">
      <w:pPr>
        <w:suppressLineNumbers/>
        <w:suppressAutoHyphens/>
        <w:spacing w:after="0"/>
        <w:jc w:val="center"/>
        <w:rPr>
          <w:b/>
          <w:sz w:val="28"/>
          <w:szCs w:val="28"/>
        </w:rPr>
      </w:pPr>
    </w:p>
    <w:p w14:paraId="21BA6E77" w14:textId="77777777" w:rsidR="00A11A19" w:rsidRPr="00352B45" w:rsidRDefault="00A11A19" w:rsidP="00A11A19">
      <w:pPr>
        <w:suppressLineNumbers/>
        <w:suppressAutoHyphens/>
        <w:spacing w:after="0"/>
        <w:jc w:val="center"/>
        <w:rPr>
          <w:b/>
          <w:sz w:val="36"/>
          <w:szCs w:val="36"/>
        </w:rPr>
      </w:pPr>
    </w:p>
    <w:p w14:paraId="50813A18" w14:textId="4DB1313A" w:rsidR="007D489A" w:rsidRPr="00352B45" w:rsidRDefault="00B314B4" w:rsidP="00A11A19">
      <w:pPr>
        <w:suppressLineNumbers/>
        <w:suppressAutoHyphens/>
        <w:spacing w:after="0"/>
        <w:jc w:val="center"/>
        <w:rPr>
          <w:b/>
          <w:sz w:val="36"/>
          <w:szCs w:val="36"/>
        </w:rPr>
      </w:pPr>
      <w:bookmarkStart w:id="883" w:name="AppendixA"/>
      <w:bookmarkStart w:id="884" w:name="Appendix1"/>
      <w:r w:rsidRPr="00352B45">
        <w:rPr>
          <w:b/>
          <w:sz w:val="36"/>
          <w:szCs w:val="36"/>
        </w:rPr>
        <w:t>Appendix A</w:t>
      </w:r>
      <w:bookmarkEnd w:id="883"/>
      <w:r w:rsidRPr="00352B45">
        <w:rPr>
          <w:b/>
          <w:sz w:val="36"/>
          <w:szCs w:val="36"/>
        </w:rPr>
        <w:t xml:space="preserve"> </w:t>
      </w:r>
    </w:p>
    <w:p w14:paraId="144737F1" w14:textId="7F425875" w:rsidR="00671778" w:rsidRDefault="00B314B4" w:rsidP="00A11A19">
      <w:pPr>
        <w:suppressLineNumbers/>
        <w:suppressAutoHyphens/>
        <w:spacing w:after="0"/>
        <w:jc w:val="center"/>
        <w:rPr>
          <w:b/>
          <w:sz w:val="36"/>
          <w:szCs w:val="36"/>
        </w:rPr>
      </w:pPr>
      <w:r w:rsidRPr="00352B45">
        <w:rPr>
          <w:b/>
          <w:sz w:val="36"/>
          <w:szCs w:val="36"/>
        </w:rPr>
        <w:t>Quantit</w:t>
      </w:r>
      <w:r w:rsidR="00A11A19" w:rsidRPr="00352B45">
        <w:rPr>
          <w:b/>
          <w:sz w:val="36"/>
          <w:szCs w:val="36"/>
        </w:rPr>
        <w:t>y-Related Expressions on a Principal Display Panel</w:t>
      </w:r>
    </w:p>
    <w:p w14:paraId="2F486DAD" w14:textId="77777777" w:rsidR="00671778" w:rsidRDefault="00671778">
      <w:pPr>
        <w:spacing w:after="0"/>
        <w:jc w:val="left"/>
        <w:rPr>
          <w:b/>
          <w:sz w:val="36"/>
          <w:szCs w:val="36"/>
        </w:rPr>
      </w:pPr>
      <w:r>
        <w:rPr>
          <w:b/>
          <w:sz w:val="36"/>
          <w:szCs w:val="36"/>
        </w:rPr>
        <w:br w:type="page"/>
      </w:r>
    </w:p>
    <w:p w14:paraId="017EF9D0" w14:textId="77777777" w:rsidR="00B314B4" w:rsidRPr="00352B45" w:rsidRDefault="00B314B4" w:rsidP="00A11A19">
      <w:pPr>
        <w:suppressLineNumbers/>
        <w:suppressAutoHyphens/>
        <w:spacing w:after="0"/>
        <w:jc w:val="center"/>
        <w:rPr>
          <w:b/>
          <w:sz w:val="36"/>
          <w:szCs w:val="36"/>
        </w:rPr>
      </w:pPr>
    </w:p>
    <w:bookmarkEnd w:id="884"/>
    <w:p w14:paraId="4738B220" w14:textId="77777777" w:rsidR="007D489A" w:rsidRDefault="007D489A" w:rsidP="007D489A">
      <w:pPr>
        <w:suppressLineNumbers/>
        <w:suppressAutoHyphens/>
        <w:jc w:val="center"/>
        <w:rPr>
          <w:b/>
          <w:sz w:val="28"/>
          <w:szCs w:val="28"/>
        </w:rPr>
      </w:pPr>
    </w:p>
    <w:p w14:paraId="24E7AEE9" w14:textId="698CEA42" w:rsidR="00B314B4" w:rsidRDefault="00B314B4">
      <w:pPr>
        <w:spacing w:after="0"/>
        <w:jc w:val="left"/>
        <w:rPr>
          <w:b/>
          <w:sz w:val="28"/>
          <w:szCs w:val="28"/>
        </w:rPr>
      </w:pPr>
      <w:r>
        <w:rPr>
          <w:b/>
          <w:sz w:val="28"/>
          <w:szCs w:val="28"/>
        </w:rPr>
        <w:br w:type="page"/>
      </w:r>
    </w:p>
    <w:p w14:paraId="192F3E58" w14:textId="211147FD" w:rsidR="007D489A" w:rsidRDefault="00B314B4" w:rsidP="007D489A">
      <w:pPr>
        <w:suppressLineNumbers/>
        <w:suppressAutoHyphens/>
        <w:jc w:val="center"/>
        <w:rPr>
          <w:b/>
          <w:sz w:val="28"/>
          <w:szCs w:val="28"/>
        </w:rPr>
      </w:pPr>
      <w:r>
        <w:rPr>
          <w:noProof/>
        </w:rPr>
        <w:lastRenderedPageBreak/>
        <w:drawing>
          <wp:anchor distT="0" distB="0" distL="114300" distR="114300" simplePos="0" relativeHeight="251736064" behindDoc="0" locked="0" layoutInCell="1" allowOverlap="1" wp14:anchorId="101939AF" wp14:editId="0DE57C8B">
            <wp:simplePos x="0" y="0"/>
            <wp:positionH relativeFrom="column">
              <wp:posOffset>4943475</wp:posOffset>
            </wp:positionH>
            <wp:positionV relativeFrom="paragraph">
              <wp:posOffset>0</wp:posOffset>
            </wp:positionV>
            <wp:extent cx="1319979" cy="1307163"/>
            <wp:effectExtent l="0" t="0" r="0" b="7620"/>
            <wp:wrapSquare wrapText="bothSides"/>
            <wp:docPr id="16825149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0274" name="Picture 59"/>
                    <pic:cNvPicPr/>
                  </pic:nvPicPr>
                  <pic:blipFill>
                    <a:blip r:embed="rId47">
                      <a:extLst>
                        <a:ext uri="{28A0092B-C50C-407E-A947-70E740481C1C}">
                          <a14:useLocalDpi xmlns:a14="http://schemas.microsoft.com/office/drawing/2010/main" val="0"/>
                        </a:ext>
                      </a:extLst>
                    </a:blip>
                    <a:stretch>
                      <a:fillRect/>
                    </a:stretch>
                  </pic:blipFill>
                  <pic:spPr>
                    <a:xfrm>
                      <a:off x="0" y="0"/>
                      <a:ext cx="1319979" cy="1307163"/>
                    </a:xfrm>
                    <a:prstGeom prst="rect">
                      <a:avLst/>
                    </a:prstGeom>
                  </pic:spPr>
                </pic:pic>
              </a:graphicData>
            </a:graphic>
          </wp:anchor>
        </w:drawing>
      </w:r>
    </w:p>
    <w:p w14:paraId="691D6228" w14:textId="77777777" w:rsidR="007D489A" w:rsidRDefault="007D489A" w:rsidP="007D489A">
      <w:pPr>
        <w:suppressLineNumbers/>
        <w:suppressAutoHyphens/>
        <w:jc w:val="center"/>
        <w:rPr>
          <w:b/>
          <w:sz w:val="28"/>
          <w:szCs w:val="28"/>
        </w:rPr>
      </w:pPr>
    </w:p>
    <w:bookmarkEnd w:id="882" w:displacedByCustomXml="next"/>
    <w:bookmarkEnd w:id="881" w:displacedByCustomXml="next"/>
    <w:bookmarkEnd w:id="880" w:displacedByCustomXml="next"/>
    <w:bookmarkEnd w:id="879" w:displacedByCustomXml="next"/>
    <w:sdt>
      <w:sdtPr>
        <w:rPr>
          <w:rFonts w:ascii="Calibri" w:hAnsi="Calibri"/>
          <w:sz w:val="22"/>
        </w:rPr>
        <w:id w:val="1386449988"/>
        <w:docPartObj>
          <w:docPartGallery w:val="Cover Pages"/>
          <w:docPartUnique/>
        </w:docPartObj>
      </w:sdtPr>
      <w:sdtEndPr>
        <w:rPr>
          <w:b/>
          <w:color w:val="FF0000"/>
        </w:rPr>
      </w:sdtEndPr>
      <w:sdtContent>
        <w:p w14:paraId="7FC60890" w14:textId="77777777" w:rsidR="000C465B" w:rsidRPr="000C465B" w:rsidRDefault="000C465B" w:rsidP="000C465B">
          <w:pPr>
            <w:keepNext/>
            <w:keepLines/>
            <w:spacing w:before="240" w:after="0" w:line="276" w:lineRule="auto"/>
            <w:jc w:val="left"/>
            <w:outlineLvl w:val="0"/>
            <w:rPr>
              <w:rFonts w:ascii="Cambria" w:eastAsia="Times New Roman" w:hAnsi="Cambria"/>
              <w:color w:val="365F91"/>
              <w:sz w:val="32"/>
              <w:szCs w:val="32"/>
            </w:rPr>
          </w:pPr>
          <w:r w:rsidRPr="000C465B">
            <w:rPr>
              <w:rFonts w:ascii="Cambria" w:eastAsia="Times New Roman" w:hAnsi="Cambria"/>
              <w:noProof/>
              <w:color w:val="365F91"/>
              <w:sz w:val="32"/>
              <w:szCs w:val="32"/>
            </w:rPr>
            <mc:AlternateContent>
              <mc:Choice Requires="wpg">
                <w:drawing>
                  <wp:anchor distT="0" distB="0" distL="114300" distR="114300" simplePos="0" relativeHeight="251723776" behindDoc="0" locked="0" layoutInCell="1" allowOverlap="1" wp14:anchorId="6A296803" wp14:editId="51881F1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7108353"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30644702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01244" name="Rectangle 802701244"/>
                            <wps:cNvSpPr/>
                            <wps:spPr>
                              <a:xfrm>
                                <a:off x="0" y="0"/>
                                <a:ext cx="7315200" cy="1216152"/>
                              </a:xfrm>
                              <a:prstGeom prst="rect">
                                <a:avLst/>
                              </a:prstGeom>
                              <a:blipFill>
                                <a:blip r:embed="rId48"/>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17CBCA" id="Group 157" o:spid="_x0000_s1026" style="position:absolute;margin-left:0;margin-top:0;width:8in;height:95.7pt;z-index:2517237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" path="m,l7312660,r,1129665l3619500,733425,,1091565,,xe" fillcolor="#4f81bd" stroked="f" strokeweight="2pt">
                      <v:path arrowok="t" o:connecttype="custom" o:connectlocs="0,0;7315200,0;7315200,1130373;3620757,733885;0,1092249;0,0" o:connectangles="0,0,0,0,0,0"/>
                    </v:shape>
                    <v:rect id="Rectangle 80270124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" stroked="f" strokeweight="2pt">
                      <v:fill r:id="rId49" o:title="" recolor="t" rotate="t" type="frame"/>
                    </v:rect>
                    <w10:wrap anchorx="page" anchory="page"/>
                  </v:group>
                </w:pict>
              </mc:Fallback>
            </mc:AlternateContent>
          </w:r>
        </w:p>
        <w:p w14:paraId="4D871497" w14:textId="6DC1B1EB" w:rsidR="00B314B4" w:rsidRDefault="000C465B" w:rsidP="00B314B4">
          <w:pPr>
            <w:spacing w:after="200" w:line="276" w:lineRule="auto"/>
            <w:jc w:val="left"/>
            <w:rPr>
              <w:rFonts w:ascii="Calibri" w:hAnsi="Calibri"/>
              <w:b/>
              <w:color w:val="FF0000"/>
              <w:sz w:val="22"/>
            </w:rPr>
          </w:pPr>
          <w:r w:rsidRPr="000C465B">
            <w:rPr>
              <w:rFonts w:ascii="Calibri" w:hAnsi="Calibri"/>
              <w:noProof/>
              <w:sz w:val="22"/>
            </w:rPr>
            <mc:AlternateContent>
              <mc:Choice Requires="wps">
                <w:drawing>
                  <wp:anchor distT="0" distB="0" distL="114300" distR="114300" simplePos="0" relativeHeight="251721728" behindDoc="0" locked="0" layoutInCell="1" allowOverlap="1" wp14:anchorId="6E1EAE8B" wp14:editId="2A1AF2DF">
                    <wp:simplePos x="0" y="0"/>
                    <wp:positionH relativeFrom="page">
                      <wp:posOffset>-1038225</wp:posOffset>
                    </wp:positionH>
                    <wp:positionV relativeFrom="page">
                      <wp:posOffset>3019425</wp:posOffset>
                    </wp:positionV>
                    <wp:extent cx="8523605" cy="4200525"/>
                    <wp:effectExtent l="0" t="0" r="0" b="9525"/>
                    <wp:wrapSquare wrapText="bothSides"/>
                    <wp:docPr id="305784802" name="Text Box 163"/>
                    <wp:cNvGraphicFramePr/>
                    <a:graphic xmlns:a="http://schemas.openxmlformats.org/drawingml/2006/main">
                      <a:graphicData uri="http://schemas.microsoft.com/office/word/2010/wordprocessingShape">
                        <wps:wsp>
                          <wps:cNvSpPr txBox="1"/>
                          <wps:spPr>
                            <a:xfrm>
                              <a:off x="0" y="0"/>
                              <a:ext cx="8523605" cy="4200525"/>
                            </a:xfrm>
                            <a:prstGeom prst="rect">
                              <a:avLst/>
                            </a:prstGeom>
                            <a:noFill/>
                            <a:ln w="6350">
                              <a:noFill/>
                            </a:ln>
                            <a:effectLst/>
                          </wps:spPr>
                          <wps:txbx>
                            <w:txbxContent>
                              <w:p w14:paraId="5B8874D7" w14:textId="59BD2022" w:rsidR="000C465B" w:rsidRPr="003D1041" w:rsidRDefault="000C465B" w:rsidP="000C465B">
                                <w:pPr>
                                  <w:pStyle w:val="NoSpacing"/>
                                  <w:jc w:val="right"/>
                                  <w:rPr>
                                    <w:b/>
                                    <w:bCs/>
                                    <w:color w:val="386398"/>
                                    <w:sz w:val="56"/>
                                    <w:szCs w:val="56"/>
                                  </w:rPr>
                                </w:pPr>
                                <w:r w:rsidRPr="003D1041">
                                  <w:rPr>
                                    <w:b/>
                                    <w:bCs/>
                                    <w:color w:val="386398"/>
                                    <w:sz w:val="56"/>
                                    <w:szCs w:val="56"/>
                                  </w:rPr>
                                  <w:t xml:space="preserve">Quantity-Related Expressions </w:t>
                                </w:r>
                              </w:p>
                              <w:p w14:paraId="1CF73247" w14:textId="77777777" w:rsidR="000C465B" w:rsidRPr="003D1041" w:rsidRDefault="000C465B" w:rsidP="000C465B">
                                <w:pPr>
                                  <w:pStyle w:val="NoSpacing"/>
                                  <w:jc w:val="right"/>
                                  <w:rPr>
                                    <w:b/>
                                    <w:bCs/>
                                    <w:color w:val="386398"/>
                                    <w:sz w:val="56"/>
                                    <w:szCs w:val="56"/>
                                  </w:rPr>
                                </w:pPr>
                                <w:r w:rsidRPr="003D1041">
                                  <w:rPr>
                                    <w:b/>
                                    <w:bCs/>
                                    <w:color w:val="386398"/>
                                    <w:sz w:val="56"/>
                                    <w:szCs w:val="56"/>
                                  </w:rPr>
                                  <w:t>on a Principal Display Panel</w:t>
                                </w:r>
                              </w:p>
                              <w:p w14:paraId="52507CEC" w14:textId="77777777" w:rsidR="000C465B" w:rsidRPr="000C465B" w:rsidRDefault="000C465B" w:rsidP="000C465B">
                                <w:pPr>
                                  <w:pStyle w:val="NoSpacing"/>
                                  <w:jc w:val="right"/>
                                  <w:rPr>
                                    <w:b/>
                                    <w:bCs/>
                                    <w:color w:val="4F81BD"/>
                                    <w:sz w:val="56"/>
                                    <w:szCs w:val="56"/>
                                  </w:rPr>
                                </w:pPr>
                              </w:p>
                              <w:sdt>
                                <w:sdtPr>
                                  <w:rPr>
                                    <w:b/>
                                    <w:bCs/>
                                    <w:color w:val="404040"/>
                                    <w:sz w:val="32"/>
                                    <w:szCs w:val="32"/>
                                  </w:rPr>
                                  <w:alias w:val="Subtitle"/>
                                  <w:tag w:val=""/>
                                  <w:id w:val="157824457"/>
                                  <w:showingPlcHdr/>
                                  <w:dataBinding w:prefixMappings="xmlns:ns0='http://purl.org/dc/elements/1.1/' xmlns:ns1='http://schemas.openxmlformats.org/package/2006/metadata/core-properties' " w:xpath="/ns1:coreProperties[1]/ns0:subject[1]" w:storeItemID="{6C3C8BC8-F283-45AE-878A-BAB7291924A1}"/>
                                  <w:text/>
                                </w:sdtPr>
                                <w:sdtEndPr/>
                                <w:sdtContent>
                                  <w:p w14:paraId="74D54D3C" w14:textId="77777777" w:rsidR="000C465B" w:rsidRPr="000C465B" w:rsidRDefault="000C465B" w:rsidP="000C465B">
                                    <w:pPr>
                                      <w:jc w:val="right"/>
                                      <w:rPr>
                                        <w:b/>
                                        <w:bCs/>
                                        <w:smallCaps/>
                                        <w:color w:val="404040"/>
                                        <w:sz w:val="32"/>
                                        <w:szCs w:val="32"/>
                                      </w:rPr>
                                    </w:pPr>
                                    <w:r w:rsidRPr="000C465B">
                                      <w:rPr>
                                        <w:b/>
                                        <w:bCs/>
                                        <w:color w:val="404040"/>
                                        <w:sz w:val="32"/>
                                        <w:szCs w:val="32"/>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1EAE8B" id="_x0000_t202" coordsize="21600,21600" o:spt="202" path="m,l,21600r21600,l21600,xe">
                    <v:stroke joinstyle="miter"/>
                    <v:path gradientshapeok="t" o:connecttype="rect"/>
                  </v:shapetype>
                  <v:shape id="Text Box 163" o:spid="_x0000_s1026" type="#_x0000_t202" style="position:absolute;margin-left:-81.75pt;margin-top:237.75pt;width:671.15pt;height:330.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" filled="f" stroked="f" strokeweight=".5pt">
                    <v:textbox inset="126pt,0,54pt,0">
                      <w:txbxContent>
                        <w:p w14:paraId="5B8874D7" w14:textId="59BD2022" w:rsidR="000C465B" w:rsidRPr="003D1041" w:rsidRDefault="000C465B" w:rsidP="000C465B">
                          <w:pPr>
                            <w:pStyle w:val="NoSpacing"/>
                            <w:jc w:val="right"/>
                            <w:rPr>
                              <w:b/>
                              <w:bCs/>
                              <w:color w:val="386398"/>
                              <w:sz w:val="56"/>
                              <w:szCs w:val="56"/>
                            </w:rPr>
                          </w:pPr>
                          <w:r w:rsidRPr="003D1041">
                            <w:rPr>
                              <w:b/>
                              <w:bCs/>
                              <w:color w:val="386398"/>
                              <w:sz w:val="56"/>
                              <w:szCs w:val="56"/>
                            </w:rPr>
                            <w:t xml:space="preserve">Quantity-Related Expressions </w:t>
                          </w:r>
                        </w:p>
                        <w:p w14:paraId="1CF73247" w14:textId="77777777" w:rsidR="000C465B" w:rsidRPr="003D1041" w:rsidRDefault="000C465B" w:rsidP="000C465B">
                          <w:pPr>
                            <w:pStyle w:val="NoSpacing"/>
                            <w:jc w:val="right"/>
                            <w:rPr>
                              <w:b/>
                              <w:bCs/>
                              <w:color w:val="386398"/>
                              <w:sz w:val="56"/>
                              <w:szCs w:val="56"/>
                            </w:rPr>
                          </w:pPr>
                          <w:r w:rsidRPr="003D1041">
                            <w:rPr>
                              <w:b/>
                              <w:bCs/>
                              <w:color w:val="386398"/>
                              <w:sz w:val="56"/>
                              <w:szCs w:val="56"/>
                            </w:rPr>
                            <w:t>on a Principal Display Panel</w:t>
                          </w:r>
                        </w:p>
                        <w:p w14:paraId="52507CEC" w14:textId="77777777" w:rsidR="000C465B" w:rsidRPr="000C465B" w:rsidRDefault="000C465B" w:rsidP="000C465B">
                          <w:pPr>
                            <w:pStyle w:val="NoSpacing"/>
                            <w:jc w:val="right"/>
                            <w:rPr>
                              <w:b/>
                              <w:bCs/>
                              <w:color w:val="4F81BD"/>
                              <w:sz w:val="56"/>
                              <w:szCs w:val="56"/>
                            </w:rPr>
                          </w:pPr>
                        </w:p>
                        <w:sdt>
                          <w:sdtPr>
                            <w:rPr>
                              <w:b/>
                              <w:bCs/>
                              <w:color w:val="404040"/>
                              <w:sz w:val="32"/>
                              <w:szCs w:val="32"/>
                            </w:rPr>
                            <w:alias w:val="Subtitle"/>
                            <w:tag w:val=""/>
                            <w:id w:val="157824457"/>
                            <w:showingPlcHdr/>
                            <w:dataBinding w:prefixMappings="xmlns:ns0='http://purl.org/dc/elements/1.1/' xmlns:ns1='http://schemas.openxmlformats.org/package/2006/metadata/core-properties' " w:xpath="/ns1:coreProperties[1]/ns0:subject[1]" w:storeItemID="{6C3C8BC8-F283-45AE-878A-BAB7291924A1}"/>
                            <w:text/>
                          </w:sdtPr>
                          <w:sdtEndPr/>
                          <w:sdtContent>
                            <w:p w14:paraId="74D54D3C" w14:textId="77777777" w:rsidR="000C465B" w:rsidRPr="000C465B" w:rsidRDefault="000C465B" w:rsidP="000C465B">
                              <w:pPr>
                                <w:jc w:val="right"/>
                                <w:rPr>
                                  <w:b/>
                                  <w:bCs/>
                                  <w:smallCaps/>
                                  <w:color w:val="404040"/>
                                  <w:sz w:val="32"/>
                                  <w:szCs w:val="32"/>
                                </w:rPr>
                              </w:pPr>
                              <w:r w:rsidRPr="000C465B">
                                <w:rPr>
                                  <w:b/>
                                  <w:bCs/>
                                  <w:color w:val="404040"/>
                                  <w:sz w:val="32"/>
                                  <w:szCs w:val="32"/>
                                </w:rPr>
                                <w:t xml:space="preserve">     </w:t>
                              </w:r>
                            </w:p>
                          </w:sdtContent>
                        </w:sdt>
                      </w:txbxContent>
                    </v:textbox>
                    <w10:wrap type="square" anchorx="page" anchory="page"/>
                  </v:shape>
                </w:pict>
              </mc:Fallback>
            </mc:AlternateContent>
          </w:r>
          <w:r w:rsidRPr="000C465B">
            <w:rPr>
              <w:rFonts w:ascii="Calibri" w:hAnsi="Calibri"/>
              <w:noProof/>
              <w:sz w:val="22"/>
            </w:rPr>
            <mc:AlternateContent>
              <mc:Choice Requires="wps">
                <w:drawing>
                  <wp:anchor distT="0" distB="0" distL="114300" distR="114300" simplePos="0" relativeHeight="251722752" behindDoc="0" locked="0" layoutInCell="1" allowOverlap="1" wp14:anchorId="66E42FE6" wp14:editId="5B0E710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635693576"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sdt>
                                <w:sdtPr>
                                  <w:rPr>
                                    <w:sz w:val="28"/>
                                    <w:szCs w:val="28"/>
                                  </w:rPr>
                                  <w:alias w:val="Author"/>
                                  <w:tag w:val=""/>
                                  <w:id w:val="1653642194"/>
                                  <w:dataBinding w:prefixMappings="xmlns:ns0='http://purl.org/dc/elements/1.1/' xmlns:ns1='http://schemas.openxmlformats.org/package/2006/metadata/core-properties' " w:xpath="/ns1:coreProperties[1]/ns0:creator[1]" w:storeItemID="{6C3C8BC8-F283-45AE-878A-BAB7291924A1}"/>
                                  <w:text/>
                                </w:sdtPr>
                                <w:sdtEndPr/>
                                <w:sdtContent>
                                  <w:p w14:paraId="5F527E43" w14:textId="27DC5333" w:rsidR="000C465B" w:rsidRPr="007A2E29" w:rsidRDefault="000C465B" w:rsidP="000C465B">
                                    <w:pPr>
                                      <w:pStyle w:val="NoSpacing"/>
                                      <w:jc w:val="right"/>
                                      <w:rPr>
                                        <w:sz w:val="28"/>
                                        <w:szCs w:val="28"/>
                                      </w:rPr>
                                    </w:pPr>
                                    <w:r>
                                      <w:rPr>
                                        <w:sz w:val="28"/>
                                        <w:szCs w:val="28"/>
                                      </w:rPr>
                                      <w:t>lisa.warfield@nist.gov</w:t>
                                    </w:r>
                                  </w:p>
                                </w:sdtContent>
                              </w:sdt>
                              <w:p w14:paraId="7AC2AF7F" w14:textId="77777777" w:rsidR="000C465B" w:rsidRPr="007A2E29" w:rsidRDefault="00AE5B44" w:rsidP="000C465B">
                                <w:pPr>
                                  <w:pStyle w:val="NoSpacing"/>
                                  <w:jc w:val="right"/>
                                </w:pPr>
                                <w:sdt>
                                  <w:sdtPr>
                                    <w:alias w:val="Email"/>
                                    <w:tag w:val="Email"/>
                                    <w:id w:val="1324781095"/>
                                    <w:showingPlcHdr/>
                                    <w:dataBinding w:prefixMappings="xmlns:ns0='http://schemas.microsoft.com/office/2006/coverPageProps' " w:xpath="/ns0:CoverPageProperties[1]/ns0:CompanyEmail[1]" w:storeItemID="{55AF091B-3C7A-41E3-B477-F2FDAA23CFDA}"/>
                                    <w:text/>
                                  </w:sdtPr>
                                  <w:sdtEndPr/>
                                  <w:sdtContent>
                                    <w:r w:rsidR="000C465B">
                                      <w:t xml:space="preserve">     </w:t>
                                    </w:r>
                                  </w:sdtContent>
                                </w:sdt>
                                <w:r w:rsidR="000C465B" w:rsidRPr="007A2E29">
                                  <w:t>ncwm.com   |   info@ncwm.com</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66E42FE6" id="Text Box 159" o:spid="_x0000_s1027" type="#_x0000_t202" style="position:absolute;margin-left:0;margin-top:0;width:8in;height:1in;z-index:25172275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" filled="f" stroked="f" strokeweight=".5pt">
                    <v:textbox inset="126pt,0,54pt,0">
                      <w:txbxContent>
                        <w:sdt>
                          <w:sdtPr>
                            <w:rPr>
                              <w:sz w:val="28"/>
                              <w:szCs w:val="28"/>
                            </w:rPr>
                            <w:alias w:val="Author"/>
                            <w:tag w:val=""/>
                            <w:id w:val="1653642194"/>
                            <w:dataBinding w:prefixMappings="xmlns:ns0='http://purl.org/dc/elements/1.1/' xmlns:ns1='http://schemas.openxmlformats.org/package/2006/metadata/core-properties' " w:xpath="/ns1:coreProperties[1]/ns0:creator[1]" w:storeItemID="{6C3C8BC8-F283-45AE-878A-BAB7291924A1}"/>
                            <w:text/>
                          </w:sdtPr>
                          <w:sdtEndPr/>
                          <w:sdtContent>
                            <w:p w14:paraId="5F527E43" w14:textId="27DC5333" w:rsidR="000C465B" w:rsidRPr="007A2E29" w:rsidRDefault="000C465B" w:rsidP="000C465B">
                              <w:pPr>
                                <w:pStyle w:val="NoSpacing"/>
                                <w:jc w:val="right"/>
                                <w:rPr>
                                  <w:sz w:val="28"/>
                                  <w:szCs w:val="28"/>
                                </w:rPr>
                              </w:pPr>
                              <w:r>
                                <w:rPr>
                                  <w:sz w:val="28"/>
                                  <w:szCs w:val="28"/>
                                </w:rPr>
                                <w:t>lisa.warfield@nist.gov</w:t>
                              </w:r>
                            </w:p>
                          </w:sdtContent>
                        </w:sdt>
                        <w:p w14:paraId="7AC2AF7F" w14:textId="77777777" w:rsidR="000C465B" w:rsidRPr="007A2E29" w:rsidRDefault="00A94B54" w:rsidP="000C465B">
                          <w:pPr>
                            <w:pStyle w:val="NoSpacing"/>
                            <w:jc w:val="right"/>
                          </w:pPr>
                          <w:sdt>
                            <w:sdtPr>
                              <w:alias w:val="Email"/>
                              <w:tag w:val="Email"/>
                              <w:id w:val="1324781095"/>
                              <w:showingPlcHdr/>
                              <w:dataBinding w:prefixMappings="xmlns:ns0='http://schemas.microsoft.com/office/2006/coverPageProps' " w:xpath="/ns0:CoverPageProperties[1]/ns0:CompanyEmail[1]" w:storeItemID="{55AF091B-3C7A-41E3-B477-F2FDAA23CFDA}"/>
                              <w:text/>
                            </w:sdtPr>
                            <w:sdtEndPr/>
                            <w:sdtContent>
                              <w:r w:rsidR="000C465B">
                                <w:t xml:space="preserve">     </w:t>
                              </w:r>
                            </w:sdtContent>
                          </w:sdt>
                          <w:r w:rsidR="000C465B" w:rsidRPr="007A2E29">
                            <w:t>ncwm.com   |   info@ncwm.com</w:t>
                          </w:r>
                        </w:p>
                      </w:txbxContent>
                    </v:textbox>
                    <w10:wrap type="square" anchorx="page" anchory="page"/>
                  </v:shape>
                </w:pict>
              </mc:Fallback>
            </mc:AlternateContent>
          </w:r>
        </w:p>
      </w:sdtContent>
    </w:sdt>
    <w:p w14:paraId="7C8BB266" w14:textId="10635380" w:rsidR="000C465B" w:rsidRPr="000C465B" w:rsidRDefault="000C465B" w:rsidP="00B314B4">
      <w:pPr>
        <w:spacing w:after="200" w:line="276" w:lineRule="auto"/>
        <w:jc w:val="left"/>
        <w:rPr>
          <w:rFonts w:ascii="Calibri" w:hAnsi="Calibri"/>
          <w:b/>
          <w:color w:val="FF0000"/>
          <w:sz w:val="22"/>
        </w:rPr>
      </w:pPr>
      <w:r w:rsidRPr="000C465B">
        <w:rPr>
          <w:rFonts w:ascii="Calibri" w:hAnsi="Calibri"/>
          <w:b/>
          <w:color w:val="FF0000"/>
          <w:sz w:val="22"/>
        </w:rPr>
        <w:br w:type="page"/>
      </w:r>
    </w:p>
    <w:p w14:paraId="1647E699" w14:textId="77777777" w:rsidR="000C465B" w:rsidRPr="000C465B" w:rsidRDefault="000C465B" w:rsidP="000C465B">
      <w:pPr>
        <w:spacing w:after="200" w:line="276" w:lineRule="auto"/>
        <w:jc w:val="left"/>
        <w:rPr>
          <w:rFonts w:ascii="Calibri" w:hAnsi="Calibri"/>
          <w:b/>
          <w:color w:val="FF0000"/>
          <w:sz w:val="22"/>
        </w:rPr>
      </w:pPr>
      <w:r w:rsidRPr="000C465B">
        <w:rPr>
          <w:noProof/>
          <w:sz w:val="24"/>
          <w:szCs w:val="24"/>
        </w:rPr>
        <w:lastRenderedPageBreak/>
        <mc:AlternateContent>
          <mc:Choice Requires="wps">
            <w:drawing>
              <wp:anchor distT="36576" distB="36576" distL="36576" distR="36576" simplePos="0" relativeHeight="251663360" behindDoc="0" locked="0" layoutInCell="1" allowOverlap="1" wp14:anchorId="04840BD8" wp14:editId="58C71584">
                <wp:simplePos x="0" y="0"/>
                <wp:positionH relativeFrom="column">
                  <wp:posOffset>-885824</wp:posOffset>
                </wp:positionH>
                <wp:positionV relativeFrom="paragraph">
                  <wp:posOffset>-27940</wp:posOffset>
                </wp:positionV>
                <wp:extent cx="7701280" cy="381000"/>
                <wp:effectExtent l="0" t="0" r="0" b="0"/>
                <wp:wrapNone/>
                <wp:docPr id="17305950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280" cy="381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632914" w14:textId="77777777" w:rsidR="000C465B" w:rsidRPr="00810BDD" w:rsidRDefault="000C465B" w:rsidP="000C465B">
                            <w:pPr>
                              <w:widowControl w:val="0"/>
                              <w:jc w:val="center"/>
                              <w:rPr>
                                <w:b/>
                                <w:bCs/>
                                <w:sz w:val="36"/>
                                <w:szCs w:val="36"/>
                              </w:rPr>
                            </w:pPr>
                            <w:r w:rsidRPr="00810BDD">
                              <w:rPr>
                                <w:b/>
                                <w:bCs/>
                                <w:sz w:val="36"/>
                                <w:szCs w:val="36"/>
                              </w:rPr>
                              <w:t>Table of Contents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0BD8" id="Text Box 54" o:spid="_x0000_s1028" type="#_x0000_t202" style="position:absolute;margin-left:-69.75pt;margin-top:-2.2pt;width:606.4pt;height:30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" filled="f" fillcolor="#5b9bd5" stroked="f" strokecolor="black [0]" strokeweight="2pt">
                <v:textbox inset="2.88pt,2.88pt,2.88pt,2.88pt">
                  <w:txbxContent>
                    <w:p w14:paraId="0E632914" w14:textId="77777777" w:rsidR="000C465B" w:rsidRPr="00810BDD" w:rsidRDefault="000C465B" w:rsidP="000C465B">
                      <w:pPr>
                        <w:widowControl w:val="0"/>
                        <w:jc w:val="center"/>
                        <w:rPr>
                          <w:b/>
                          <w:bCs/>
                          <w:sz w:val="36"/>
                          <w:szCs w:val="36"/>
                        </w:rPr>
                      </w:pPr>
                      <w:r w:rsidRPr="00810BDD">
                        <w:rPr>
                          <w:b/>
                          <w:bCs/>
                          <w:sz w:val="36"/>
                          <w:szCs w:val="36"/>
                        </w:rPr>
                        <w:t>Table of Contents</w:t>
                      </w:r>
                    </w:p>
                  </w:txbxContent>
                </v:textbox>
              </v:shape>
            </w:pict>
          </mc:Fallback>
        </mc:AlternateContent>
      </w:r>
      <w:r w:rsidRPr="000C465B">
        <w:rPr>
          <w:rFonts w:ascii="Calibri" w:hAnsi="Calibri"/>
          <w:b/>
          <w:color w:val="FF0000"/>
          <w:sz w:val="22"/>
        </w:rPr>
        <w:t>DRAFT 03/31/2026</w:t>
      </w:r>
      <w:r w:rsidRPr="000C465B">
        <w:rPr>
          <w:sz w:val="24"/>
          <w:szCs w:val="24"/>
        </w:rPr>
        <w:t xml:space="preserve"> </w:t>
      </w:r>
    </w:p>
    <w:p w14:paraId="5F6632A7" w14:textId="1577986F" w:rsidR="000C465B" w:rsidRPr="000C465B" w:rsidRDefault="000C465B" w:rsidP="000C465B">
      <w:pPr>
        <w:spacing w:after="200" w:line="276" w:lineRule="auto"/>
        <w:jc w:val="left"/>
        <w:rPr>
          <w:rFonts w:ascii="Calibri" w:hAnsi="Calibri"/>
          <w:b/>
          <w:color w:val="FF0000"/>
          <w:sz w:val="22"/>
        </w:rPr>
      </w:pPr>
    </w:p>
    <w:p w14:paraId="6EB21DE9" w14:textId="20159D2A" w:rsidR="000C465B" w:rsidRPr="000C465B" w:rsidRDefault="00F42F14" w:rsidP="000C465B">
      <w:pPr>
        <w:spacing w:after="200" w:line="276" w:lineRule="auto"/>
        <w:jc w:val="left"/>
        <w:rPr>
          <w:rFonts w:ascii="Calibri" w:hAnsi="Calibri"/>
          <w:b/>
          <w:color w:val="FF0000"/>
          <w:sz w:val="22"/>
        </w:rPr>
      </w:pPr>
      <w:r w:rsidRPr="000C465B">
        <w:rPr>
          <w:noProof/>
          <w:sz w:val="24"/>
          <w:szCs w:val="24"/>
        </w:rPr>
        <mc:AlternateContent>
          <mc:Choice Requires="wps">
            <w:drawing>
              <wp:anchor distT="36576" distB="36576" distL="36576" distR="36576" simplePos="0" relativeHeight="251715584" behindDoc="0" locked="0" layoutInCell="1" allowOverlap="1" wp14:anchorId="2FF2BCB2" wp14:editId="783B257A">
                <wp:simplePos x="0" y="0"/>
                <wp:positionH relativeFrom="column">
                  <wp:posOffset>2136161</wp:posOffset>
                </wp:positionH>
                <wp:positionV relativeFrom="paragraph">
                  <wp:posOffset>37449</wp:posOffset>
                </wp:positionV>
                <wp:extent cx="4292814" cy="8228965"/>
                <wp:effectExtent l="0" t="0" r="0" b="635"/>
                <wp:wrapNone/>
                <wp:docPr id="7223459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814" cy="8228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933546" w14:textId="32068845" w:rsidR="000C465B" w:rsidRPr="00C24F25" w:rsidRDefault="000C465B" w:rsidP="000C465B">
                            <w:pPr>
                              <w:widowControl w:val="0"/>
                              <w:spacing w:after="120"/>
                              <w:jc w:val="left"/>
                              <w:rPr>
                                <w:rStyle w:val="Hyperlink"/>
                                <w:b/>
                                <w:bCs/>
                                <w:sz w:val="26"/>
                                <w:szCs w:val="26"/>
                              </w:rPr>
                            </w:pPr>
                            <w:r w:rsidRPr="00CC519B">
                              <w:rPr>
                                <w:b/>
                                <w:bCs/>
                                <w:sz w:val="26"/>
                                <w:szCs w:val="26"/>
                              </w:rPr>
                              <w:fldChar w:fldCharType="begin"/>
                            </w:r>
                            <w:r w:rsidRPr="00CC519B">
                              <w:rPr>
                                <w:b/>
                                <w:bCs/>
                                <w:sz w:val="26"/>
                                <w:szCs w:val="26"/>
                              </w:rPr>
                              <w:instrText>HYPERLINK  \l "Introduction"</w:instrText>
                            </w:r>
                            <w:r w:rsidRPr="00CC519B">
                              <w:rPr>
                                <w:b/>
                                <w:bCs/>
                                <w:sz w:val="26"/>
                                <w:szCs w:val="26"/>
                              </w:rPr>
                            </w:r>
                            <w:r w:rsidRPr="00CC519B">
                              <w:rPr>
                                <w:b/>
                                <w:bCs/>
                                <w:sz w:val="26"/>
                                <w:szCs w:val="26"/>
                              </w:rPr>
                              <w:fldChar w:fldCharType="separate"/>
                            </w:r>
                            <w:r w:rsidRPr="00C24F25">
                              <w:rPr>
                                <w:rStyle w:val="Hyperlink"/>
                                <w:b/>
                                <w:bCs/>
                                <w:sz w:val="26"/>
                                <w:szCs w:val="26"/>
                              </w:rPr>
                              <w:t>Introduction</w:t>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t xml:space="preserve"> </w:t>
                            </w:r>
                            <w:r w:rsidR="00F42F14">
                              <w:rPr>
                                <w:rStyle w:val="Hyperlink"/>
                                <w:b/>
                                <w:bCs/>
                                <w:sz w:val="26"/>
                                <w:szCs w:val="26"/>
                                <w:u w:val="none"/>
                              </w:rPr>
                              <w:t xml:space="preserve">          </w:t>
                            </w:r>
                            <w:r w:rsidR="00F42F14" w:rsidRPr="00F42F14">
                              <w:rPr>
                                <w:rStyle w:val="Hyperlink"/>
                                <w:b/>
                                <w:bCs/>
                                <w:sz w:val="26"/>
                                <w:szCs w:val="26"/>
                                <w:u w:val="none"/>
                              </w:rPr>
                              <w:t>4</w:t>
                            </w:r>
                          </w:p>
                          <w:p w14:paraId="5B6F9EC9" w14:textId="77777777" w:rsidR="000C465B" w:rsidRPr="000C465B" w:rsidRDefault="000C465B" w:rsidP="000C465B">
                            <w:pPr>
                              <w:widowControl w:val="0"/>
                              <w:spacing w:after="0"/>
                              <w:ind w:left="720"/>
                              <w:rPr>
                                <w:sz w:val="22"/>
                              </w:rPr>
                            </w:pPr>
                            <w:r w:rsidRPr="00CC519B">
                              <w:rPr>
                                <w:b/>
                                <w:bCs/>
                                <w:sz w:val="26"/>
                                <w:szCs w:val="26"/>
                              </w:rPr>
                              <w:fldChar w:fldCharType="end"/>
                            </w:r>
                            <w:r w:rsidRPr="000C465B">
                              <w:rPr>
                                <w:sz w:val="22"/>
                              </w:rPr>
                              <w:t>Organization of Document</w:t>
                            </w:r>
                          </w:p>
                          <w:p w14:paraId="642B757C" w14:textId="77777777" w:rsidR="000C465B" w:rsidRPr="000C465B" w:rsidRDefault="000C465B" w:rsidP="000C465B">
                            <w:pPr>
                              <w:widowControl w:val="0"/>
                              <w:spacing w:after="120"/>
                              <w:ind w:left="720"/>
                              <w:rPr>
                                <w:sz w:val="22"/>
                              </w:rPr>
                            </w:pPr>
                            <w:r w:rsidRPr="000C465B">
                              <w:rPr>
                                <w:sz w:val="22"/>
                              </w:rPr>
                              <w:t>Discussion of Supplemental Statements</w:t>
                            </w:r>
                          </w:p>
                          <w:p w14:paraId="72470889" w14:textId="2274AC2E" w:rsidR="000C465B" w:rsidRPr="00CC519B" w:rsidRDefault="000C465B" w:rsidP="000C465B">
                            <w:pPr>
                              <w:widowControl w:val="0"/>
                              <w:spacing w:after="120"/>
                              <w:jc w:val="left"/>
                              <w:rPr>
                                <w:rFonts w:ascii="Calibri" w:hAnsi="Calibri" w:cs="Calibri"/>
                                <w:b/>
                                <w:bCs/>
                                <w:sz w:val="26"/>
                                <w:szCs w:val="26"/>
                              </w:rPr>
                            </w:pPr>
                            <w:hyperlink w:anchor="Background" w:history="1">
                              <w:r w:rsidRPr="00C24F25">
                                <w:rPr>
                                  <w:rStyle w:val="Hyperlink"/>
                                  <w:b/>
                                  <w:bCs/>
                                  <w:sz w:val="26"/>
                                  <w:szCs w:val="26"/>
                                </w:rPr>
                                <w:t>Background</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w:t>
                            </w:r>
                            <w:r w:rsidR="00F42F14">
                              <w:rPr>
                                <w:b/>
                                <w:bCs/>
                                <w:sz w:val="26"/>
                                <w:szCs w:val="26"/>
                              </w:rPr>
                              <w:tab/>
                              <w:t>6</w:t>
                            </w:r>
                          </w:p>
                          <w:p w14:paraId="2A1F5E97" w14:textId="1F33D4BA" w:rsidR="000C465B" w:rsidRPr="00C24F25" w:rsidRDefault="000C465B" w:rsidP="000C465B">
                            <w:pPr>
                              <w:widowControl w:val="0"/>
                              <w:spacing w:after="120"/>
                              <w:jc w:val="left"/>
                              <w:rPr>
                                <w:rStyle w:val="Hyperlink"/>
                                <w:b/>
                                <w:bCs/>
                                <w:sz w:val="26"/>
                                <w:szCs w:val="26"/>
                              </w:rPr>
                            </w:pPr>
                            <w:r w:rsidRPr="00CC519B">
                              <w:rPr>
                                <w:b/>
                                <w:bCs/>
                                <w:sz w:val="26"/>
                                <w:szCs w:val="26"/>
                              </w:rPr>
                              <w:fldChar w:fldCharType="begin"/>
                            </w:r>
                            <w:r w:rsidRPr="00CC519B">
                              <w:rPr>
                                <w:b/>
                                <w:bCs/>
                                <w:sz w:val="26"/>
                                <w:szCs w:val="26"/>
                              </w:rPr>
                              <w:instrText>HYPERLINK  \l "Expression_Categories"</w:instrText>
                            </w:r>
                            <w:r w:rsidRPr="00CC519B">
                              <w:rPr>
                                <w:b/>
                                <w:bCs/>
                                <w:sz w:val="26"/>
                                <w:szCs w:val="26"/>
                              </w:rPr>
                            </w:r>
                            <w:r w:rsidRPr="00CC519B">
                              <w:rPr>
                                <w:b/>
                                <w:bCs/>
                                <w:sz w:val="26"/>
                                <w:szCs w:val="26"/>
                              </w:rPr>
                              <w:fldChar w:fldCharType="separate"/>
                            </w:r>
                            <w:r w:rsidRPr="00C24F25">
                              <w:rPr>
                                <w:rStyle w:val="Hyperlink"/>
                                <w:b/>
                                <w:bCs/>
                                <w:sz w:val="26"/>
                                <w:szCs w:val="26"/>
                              </w:rPr>
                              <w:t>Expression Categories</w:t>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t xml:space="preserve"> </w:t>
                            </w:r>
                            <w:r w:rsidR="00F42F14" w:rsidRPr="00F42F14">
                              <w:rPr>
                                <w:rStyle w:val="Hyperlink"/>
                                <w:b/>
                                <w:bCs/>
                                <w:sz w:val="26"/>
                                <w:szCs w:val="26"/>
                                <w:u w:val="none"/>
                              </w:rPr>
                              <w:tab/>
                              <w:t>7</w:t>
                            </w:r>
                          </w:p>
                          <w:p w14:paraId="107C9336" w14:textId="77777777" w:rsidR="000C465B" w:rsidRPr="000C465B" w:rsidRDefault="000C465B" w:rsidP="000C465B">
                            <w:pPr>
                              <w:widowControl w:val="0"/>
                              <w:spacing w:after="0"/>
                              <w:ind w:left="1080" w:hanging="360"/>
                              <w:rPr>
                                <w:sz w:val="22"/>
                              </w:rPr>
                            </w:pPr>
                            <w:r w:rsidRPr="00CC519B">
                              <w:rPr>
                                <w:b/>
                                <w:bCs/>
                                <w:sz w:val="26"/>
                                <w:szCs w:val="26"/>
                              </w:rPr>
                              <w:fldChar w:fldCharType="end"/>
                            </w:r>
                            <w:r w:rsidRPr="000C465B">
                              <w:rPr>
                                <w:sz w:val="22"/>
                              </w:rPr>
                              <w:t>1. Additional Expression of Quantity</w:t>
                            </w:r>
                          </w:p>
                          <w:p w14:paraId="1628359E" w14:textId="77777777" w:rsidR="000C465B" w:rsidRPr="000C465B" w:rsidRDefault="000C465B" w:rsidP="000C465B">
                            <w:pPr>
                              <w:widowControl w:val="0"/>
                              <w:spacing w:after="0"/>
                              <w:ind w:left="1080" w:hanging="360"/>
                              <w:rPr>
                                <w:sz w:val="22"/>
                              </w:rPr>
                            </w:pPr>
                            <w:r w:rsidRPr="000C465B">
                              <w:rPr>
                                <w:sz w:val="22"/>
                              </w:rPr>
                              <w:t>2. Reconstituted Expression of Quantity</w:t>
                            </w:r>
                          </w:p>
                          <w:p w14:paraId="1F9DAE51" w14:textId="77777777" w:rsidR="000C465B" w:rsidRPr="000C465B" w:rsidRDefault="000C465B" w:rsidP="000C465B">
                            <w:pPr>
                              <w:widowControl w:val="0"/>
                              <w:spacing w:after="0"/>
                              <w:ind w:left="1080" w:hanging="360"/>
                              <w:rPr>
                                <w:sz w:val="22"/>
                              </w:rPr>
                            </w:pPr>
                            <w:r w:rsidRPr="000C465B">
                              <w:rPr>
                                <w:sz w:val="22"/>
                              </w:rPr>
                              <w:t>3. Derived Unit Expression</w:t>
                            </w:r>
                          </w:p>
                          <w:p w14:paraId="7F350A93" w14:textId="77777777" w:rsidR="000C465B" w:rsidRPr="000C465B" w:rsidRDefault="000C465B" w:rsidP="000C465B">
                            <w:pPr>
                              <w:widowControl w:val="0"/>
                              <w:spacing w:after="0"/>
                              <w:ind w:left="1080" w:hanging="360"/>
                              <w:rPr>
                                <w:sz w:val="22"/>
                              </w:rPr>
                            </w:pPr>
                            <w:r w:rsidRPr="000C465B">
                              <w:rPr>
                                <w:sz w:val="22"/>
                              </w:rPr>
                              <w:t>4. Comparative Quantity Representation</w:t>
                            </w:r>
                          </w:p>
                          <w:p w14:paraId="30E3AF9A" w14:textId="77777777" w:rsidR="000C465B" w:rsidRPr="000C465B" w:rsidRDefault="000C465B" w:rsidP="000C465B">
                            <w:pPr>
                              <w:widowControl w:val="0"/>
                              <w:spacing w:after="120"/>
                              <w:ind w:left="1080" w:hanging="360"/>
                              <w:rPr>
                                <w:sz w:val="22"/>
                              </w:rPr>
                            </w:pPr>
                            <w:r w:rsidRPr="000C465B">
                              <w:rPr>
                                <w:sz w:val="22"/>
                              </w:rPr>
                              <w:t>5. Comparative Performance Representation</w:t>
                            </w:r>
                          </w:p>
                          <w:p w14:paraId="29D466B6" w14:textId="3FF4457F" w:rsidR="000C465B" w:rsidRPr="00CC519B" w:rsidRDefault="000C465B" w:rsidP="000C465B">
                            <w:pPr>
                              <w:widowControl w:val="0"/>
                              <w:spacing w:after="120"/>
                              <w:jc w:val="left"/>
                              <w:rPr>
                                <w:rFonts w:ascii="Calibri" w:hAnsi="Calibri" w:cs="Calibri"/>
                                <w:b/>
                                <w:bCs/>
                                <w:spacing w:val="-3"/>
                                <w:sz w:val="26"/>
                                <w:szCs w:val="26"/>
                              </w:rPr>
                            </w:pPr>
                            <w:hyperlink w:anchor="Principles_Recommendations" w:history="1">
                              <w:r w:rsidRPr="00C24F25">
                                <w:rPr>
                                  <w:rStyle w:val="Hyperlink"/>
                                  <w:b/>
                                  <w:bCs/>
                                  <w:spacing w:val="-3"/>
                                  <w:sz w:val="26"/>
                                  <w:szCs w:val="26"/>
                                </w:rPr>
                                <w:t>Principles &amp; Recommendations by Expression Category</w:t>
                              </w:r>
                            </w:hyperlink>
                            <w:r w:rsidR="00F42F14">
                              <w:rPr>
                                <w:b/>
                                <w:bCs/>
                                <w:spacing w:val="-3"/>
                                <w:sz w:val="26"/>
                                <w:szCs w:val="26"/>
                              </w:rPr>
                              <w:t xml:space="preserve">     15</w:t>
                            </w:r>
                          </w:p>
                          <w:p w14:paraId="54751DB2" w14:textId="77777777" w:rsidR="000C465B" w:rsidRPr="000C465B" w:rsidRDefault="000C465B" w:rsidP="00F42F14">
                            <w:pPr>
                              <w:widowControl w:val="0"/>
                              <w:spacing w:after="120"/>
                              <w:ind w:left="720"/>
                              <w:jc w:val="left"/>
                              <w:rPr>
                                <w:sz w:val="22"/>
                              </w:rPr>
                            </w:pPr>
                            <w:hyperlink w:anchor="Table1" w:history="1">
                              <w:r w:rsidRPr="000C465B">
                                <w:rPr>
                                  <w:rStyle w:val="Hyperlink"/>
                                  <w:sz w:val="22"/>
                                </w:rPr>
                                <w:t>Table 1: Summary of Principles</w:t>
                              </w:r>
                            </w:hyperlink>
                            <w:r w:rsidRPr="000C465B">
                              <w:rPr>
                                <w:sz w:val="22"/>
                              </w:rPr>
                              <w:t xml:space="preserve"> </w:t>
                            </w:r>
                          </w:p>
                          <w:p w14:paraId="2C011DBE" w14:textId="77777777" w:rsidR="000C465B" w:rsidRPr="000C465B" w:rsidRDefault="000C465B" w:rsidP="00F42F14">
                            <w:pPr>
                              <w:widowControl w:val="0"/>
                              <w:spacing w:after="0"/>
                              <w:ind w:firstLine="720"/>
                              <w:jc w:val="left"/>
                              <w:rPr>
                                <w:rStyle w:val="Hyperlink"/>
                                <w:sz w:val="22"/>
                              </w:rPr>
                            </w:pPr>
                            <w:r w:rsidRPr="000C465B">
                              <w:rPr>
                                <w:sz w:val="22"/>
                              </w:rPr>
                              <w:fldChar w:fldCharType="begin"/>
                            </w:r>
                            <w:r w:rsidRPr="000C465B">
                              <w:rPr>
                                <w:sz w:val="22"/>
                              </w:rPr>
                              <w:instrText>HYPERLINK  \l "Table2"</w:instrText>
                            </w:r>
                            <w:r w:rsidRPr="000C465B">
                              <w:rPr>
                                <w:sz w:val="22"/>
                              </w:rPr>
                            </w:r>
                            <w:r w:rsidRPr="000C465B">
                              <w:rPr>
                                <w:sz w:val="22"/>
                              </w:rPr>
                              <w:fldChar w:fldCharType="separate"/>
                            </w:r>
                            <w:r w:rsidRPr="000C465B">
                              <w:rPr>
                                <w:rStyle w:val="Hyperlink"/>
                                <w:sz w:val="22"/>
                              </w:rPr>
                              <w:t>Table 2: Expression Principles and Guidance</w:t>
                            </w:r>
                          </w:p>
                          <w:p w14:paraId="41DEC0F7" w14:textId="77777777" w:rsidR="000C465B" w:rsidRPr="000C465B" w:rsidRDefault="000C465B" w:rsidP="00F42F14">
                            <w:pPr>
                              <w:widowControl w:val="0"/>
                              <w:spacing w:after="0"/>
                              <w:ind w:left="1440" w:hanging="360"/>
                              <w:jc w:val="left"/>
                              <w:rPr>
                                <w:sz w:val="22"/>
                              </w:rPr>
                            </w:pPr>
                            <w:r w:rsidRPr="000C465B">
                              <w:rPr>
                                <w:sz w:val="22"/>
                              </w:rPr>
                              <w:fldChar w:fldCharType="end"/>
                            </w:r>
                            <w:r w:rsidRPr="000C465B">
                              <w:rPr>
                                <w:sz w:val="22"/>
                              </w:rPr>
                              <w:t>1. Should be useful for consumers</w:t>
                            </w:r>
                          </w:p>
                          <w:p w14:paraId="199D8D63" w14:textId="77777777" w:rsidR="000C465B" w:rsidRPr="000C465B" w:rsidRDefault="000C465B" w:rsidP="00F42F14">
                            <w:pPr>
                              <w:widowControl w:val="0"/>
                              <w:spacing w:after="0"/>
                              <w:ind w:left="1440" w:hanging="360"/>
                              <w:jc w:val="left"/>
                              <w:rPr>
                                <w:sz w:val="22"/>
                              </w:rPr>
                            </w:pPr>
                            <w:r w:rsidRPr="000C465B">
                              <w:rPr>
                                <w:sz w:val="22"/>
                              </w:rPr>
                              <w:t>2. Must be accurate and verifiable</w:t>
                            </w:r>
                          </w:p>
                          <w:p w14:paraId="4C45D7A5" w14:textId="77777777" w:rsidR="000C465B" w:rsidRPr="000C465B" w:rsidRDefault="000C465B" w:rsidP="00F42F14">
                            <w:pPr>
                              <w:widowControl w:val="0"/>
                              <w:spacing w:after="0"/>
                              <w:ind w:left="1440" w:hanging="360"/>
                              <w:jc w:val="left"/>
                              <w:rPr>
                                <w:sz w:val="22"/>
                              </w:rPr>
                            </w:pPr>
                            <w:r w:rsidRPr="000C465B">
                              <w:rPr>
                                <w:sz w:val="22"/>
                              </w:rPr>
                              <w:t>3. Must be clear and unambiguous</w:t>
                            </w:r>
                          </w:p>
                          <w:p w14:paraId="2E6EB620" w14:textId="77777777" w:rsidR="000C465B" w:rsidRPr="000C465B" w:rsidRDefault="000C465B" w:rsidP="00F42F14">
                            <w:pPr>
                              <w:widowControl w:val="0"/>
                              <w:spacing w:after="0"/>
                              <w:ind w:left="1440" w:hanging="360"/>
                              <w:jc w:val="left"/>
                              <w:rPr>
                                <w:sz w:val="22"/>
                              </w:rPr>
                            </w:pPr>
                            <w:r w:rsidRPr="000C465B">
                              <w:rPr>
                                <w:sz w:val="22"/>
                              </w:rPr>
                              <w:t xml:space="preserve">4. Must not conflict with mandatory Declaration of </w:t>
                            </w:r>
                          </w:p>
                          <w:p w14:paraId="684DB3A7" w14:textId="77777777" w:rsidR="000C465B" w:rsidRPr="000C465B" w:rsidRDefault="000C465B" w:rsidP="00F42F14">
                            <w:pPr>
                              <w:widowControl w:val="0"/>
                              <w:spacing w:after="0"/>
                              <w:ind w:left="1080"/>
                              <w:jc w:val="left"/>
                              <w:rPr>
                                <w:sz w:val="22"/>
                              </w:rPr>
                            </w:pPr>
                            <w:r w:rsidRPr="000C465B">
                              <w:rPr>
                                <w:sz w:val="22"/>
                              </w:rPr>
                              <w:t xml:space="preserve">      Net Quantity (DoNQ)</w:t>
                            </w:r>
                          </w:p>
                          <w:p w14:paraId="07F1F932" w14:textId="77777777" w:rsidR="000C465B" w:rsidRPr="000C465B" w:rsidRDefault="000C465B" w:rsidP="00F42F14">
                            <w:pPr>
                              <w:widowControl w:val="0"/>
                              <w:spacing w:after="0"/>
                              <w:ind w:left="1440" w:hanging="360"/>
                              <w:jc w:val="left"/>
                              <w:rPr>
                                <w:sz w:val="22"/>
                              </w:rPr>
                            </w:pPr>
                            <w:r w:rsidRPr="000C465B">
                              <w:rPr>
                                <w:sz w:val="22"/>
                              </w:rPr>
                              <w:t xml:space="preserve">5. Location and prominence must be balanced against </w:t>
                            </w:r>
                          </w:p>
                          <w:p w14:paraId="68F19960" w14:textId="77777777" w:rsidR="000C465B" w:rsidRPr="000C465B" w:rsidRDefault="000C465B" w:rsidP="00F42F14">
                            <w:pPr>
                              <w:widowControl w:val="0"/>
                              <w:spacing w:after="0"/>
                              <w:ind w:left="1080"/>
                              <w:jc w:val="left"/>
                              <w:rPr>
                                <w:sz w:val="22"/>
                              </w:rPr>
                            </w:pPr>
                            <w:r w:rsidRPr="000C465B">
                              <w:rPr>
                                <w:sz w:val="22"/>
                              </w:rPr>
                              <w:t xml:space="preserve">      Declaration of Net Quantity</w:t>
                            </w:r>
                          </w:p>
                          <w:p w14:paraId="1795EA25" w14:textId="77777777" w:rsidR="000C465B" w:rsidRPr="000C465B" w:rsidRDefault="000C465B" w:rsidP="00F42F14">
                            <w:pPr>
                              <w:widowControl w:val="0"/>
                              <w:spacing w:after="0"/>
                              <w:ind w:left="1440" w:hanging="360"/>
                              <w:jc w:val="left"/>
                              <w:rPr>
                                <w:sz w:val="22"/>
                              </w:rPr>
                            </w:pPr>
                            <w:r w:rsidRPr="000C465B">
                              <w:rPr>
                                <w:sz w:val="22"/>
                              </w:rPr>
                              <w:t>6. Should provide consumer relevant information</w:t>
                            </w:r>
                          </w:p>
                          <w:p w14:paraId="6D4440FD" w14:textId="77777777" w:rsidR="000C465B" w:rsidRPr="000C465B" w:rsidRDefault="000C465B" w:rsidP="00F42F14">
                            <w:pPr>
                              <w:widowControl w:val="0"/>
                              <w:spacing w:after="0"/>
                              <w:ind w:left="1440" w:hanging="360"/>
                              <w:jc w:val="left"/>
                              <w:rPr>
                                <w:sz w:val="22"/>
                              </w:rPr>
                            </w:pPr>
                            <w:r w:rsidRPr="000C465B">
                              <w:rPr>
                                <w:sz w:val="22"/>
                              </w:rPr>
                              <w:t>7. Should not conflict with units of Legal Metrology</w:t>
                            </w:r>
                          </w:p>
                          <w:p w14:paraId="6E7E28E9" w14:textId="77777777" w:rsidR="000C465B" w:rsidRPr="000C465B" w:rsidRDefault="000C465B" w:rsidP="00F42F14">
                            <w:pPr>
                              <w:widowControl w:val="0"/>
                              <w:spacing w:after="0"/>
                              <w:ind w:left="1440" w:hanging="360"/>
                              <w:jc w:val="left"/>
                              <w:rPr>
                                <w:sz w:val="22"/>
                              </w:rPr>
                            </w:pPr>
                            <w:r w:rsidRPr="000C465B">
                              <w:rPr>
                                <w:sz w:val="22"/>
                              </w:rPr>
                              <w:t>8. Must provide directions for how to reconstitute</w:t>
                            </w:r>
                          </w:p>
                          <w:p w14:paraId="78F46E59" w14:textId="77777777" w:rsidR="000C465B" w:rsidRPr="000C465B" w:rsidRDefault="000C465B" w:rsidP="00F42F14">
                            <w:pPr>
                              <w:widowControl w:val="0"/>
                              <w:spacing w:after="0"/>
                              <w:ind w:left="1440" w:hanging="360"/>
                              <w:jc w:val="left"/>
                              <w:rPr>
                                <w:sz w:val="22"/>
                              </w:rPr>
                            </w:pPr>
                            <w:r w:rsidRPr="000C465B">
                              <w:rPr>
                                <w:sz w:val="22"/>
                              </w:rPr>
                              <w:t>9. Must provide definition of derived unit</w:t>
                            </w:r>
                          </w:p>
                          <w:p w14:paraId="543A4856" w14:textId="77777777" w:rsidR="000C465B" w:rsidRPr="000C465B" w:rsidRDefault="000C465B" w:rsidP="00F42F14">
                            <w:pPr>
                              <w:widowControl w:val="0"/>
                              <w:spacing w:after="0"/>
                              <w:ind w:left="1440" w:hanging="360"/>
                              <w:jc w:val="left"/>
                              <w:rPr>
                                <w:sz w:val="22"/>
                              </w:rPr>
                            </w:pPr>
                            <w:r w:rsidRPr="000C465B">
                              <w:rPr>
                                <w:sz w:val="22"/>
                              </w:rPr>
                              <w:t>10. Derived unit must be consistent across similar products</w:t>
                            </w:r>
                          </w:p>
                          <w:p w14:paraId="5AF5FCC2" w14:textId="77777777" w:rsidR="000C465B" w:rsidRPr="000C465B" w:rsidRDefault="000C465B" w:rsidP="00F42F14">
                            <w:pPr>
                              <w:widowControl w:val="0"/>
                              <w:spacing w:after="0"/>
                              <w:ind w:left="1440" w:hanging="360"/>
                              <w:jc w:val="left"/>
                              <w:rPr>
                                <w:sz w:val="22"/>
                              </w:rPr>
                            </w:pPr>
                            <w:r w:rsidRPr="000C465B">
                              <w:rPr>
                                <w:sz w:val="22"/>
                              </w:rPr>
                              <w:t>11. Comparative expression must appear in its entirety in upper 70% of Principal Display Panel (PDP)</w:t>
                            </w:r>
                          </w:p>
                          <w:p w14:paraId="29EE7F6F" w14:textId="77777777" w:rsidR="000C465B" w:rsidRPr="000C465B" w:rsidRDefault="000C465B" w:rsidP="00F42F14">
                            <w:pPr>
                              <w:widowControl w:val="0"/>
                              <w:spacing w:after="120"/>
                              <w:ind w:left="1440" w:hanging="360"/>
                              <w:jc w:val="left"/>
                              <w:rPr>
                                <w:sz w:val="22"/>
                              </w:rPr>
                            </w:pPr>
                            <w:r w:rsidRPr="000C465B">
                              <w:rPr>
                                <w:sz w:val="22"/>
                              </w:rPr>
                              <w:t>12. If no reference to recognized units of Legal               Metrology, must be balanced and complete</w:t>
                            </w:r>
                          </w:p>
                          <w:p w14:paraId="6583A4EE" w14:textId="77777777" w:rsidR="000C465B" w:rsidRDefault="000C465B" w:rsidP="000C465B">
                            <w:pPr>
                              <w:widowControl w:val="0"/>
                              <w:spacing w:after="120"/>
                              <w:rPr>
                                <w:b/>
                                <w:bCs/>
                                <w:sz w:val="26"/>
                                <w:szCs w:val="26"/>
                              </w:rPr>
                            </w:pPr>
                          </w:p>
                          <w:p w14:paraId="3D9BA0D0" w14:textId="04CEF8AC" w:rsidR="000C465B" w:rsidRPr="00CC519B" w:rsidRDefault="000C465B" w:rsidP="00F42F14">
                            <w:pPr>
                              <w:widowControl w:val="0"/>
                              <w:spacing w:after="0"/>
                              <w:rPr>
                                <w:b/>
                                <w:bCs/>
                                <w:sz w:val="26"/>
                                <w:szCs w:val="26"/>
                              </w:rPr>
                            </w:pPr>
                            <w:hyperlink w:anchor="Enforcement" w:history="1">
                              <w:r w:rsidRPr="00C24F25">
                                <w:rPr>
                                  <w:rStyle w:val="Hyperlink"/>
                                  <w:b/>
                                  <w:bCs/>
                                  <w:sz w:val="26"/>
                                  <w:szCs w:val="26"/>
                                </w:rPr>
                                <w:t>Enforcement</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29</w:t>
                            </w:r>
                          </w:p>
                          <w:p w14:paraId="722737F7" w14:textId="77777777" w:rsidR="000C465B" w:rsidRDefault="000C465B" w:rsidP="00F42F14">
                            <w:pPr>
                              <w:widowControl w:val="0"/>
                              <w:spacing w:after="0"/>
                              <w:rPr>
                                <w:b/>
                                <w:bCs/>
                                <w:sz w:val="26"/>
                                <w:szCs w:val="26"/>
                              </w:rPr>
                            </w:pPr>
                          </w:p>
                          <w:p w14:paraId="16751D16" w14:textId="013F2A45" w:rsidR="000C465B" w:rsidRPr="00CC519B" w:rsidRDefault="000C465B" w:rsidP="00F42F14">
                            <w:pPr>
                              <w:widowControl w:val="0"/>
                              <w:spacing w:after="0"/>
                              <w:rPr>
                                <w:rFonts w:ascii="Calibri" w:hAnsi="Calibri" w:cs="Calibri"/>
                                <w:b/>
                                <w:bCs/>
                                <w:sz w:val="26"/>
                                <w:szCs w:val="26"/>
                              </w:rPr>
                            </w:pPr>
                            <w:hyperlink w:anchor="Appendix1" w:history="1">
                              <w:r w:rsidRPr="00C24F25">
                                <w:rPr>
                                  <w:rStyle w:val="Hyperlink"/>
                                  <w:b/>
                                  <w:bCs/>
                                  <w:sz w:val="26"/>
                                  <w:szCs w:val="26"/>
                                </w:rPr>
                                <w:t>Appendix 1: Supplemental Statements</w:t>
                              </w:r>
                            </w:hyperlink>
                            <w:r w:rsidR="00F42F14">
                              <w:rPr>
                                <w:b/>
                                <w:bCs/>
                                <w:sz w:val="26"/>
                                <w:szCs w:val="26"/>
                              </w:rPr>
                              <w:tab/>
                            </w:r>
                            <w:r w:rsidR="00F42F14">
                              <w:rPr>
                                <w:b/>
                                <w:bCs/>
                                <w:sz w:val="26"/>
                                <w:szCs w:val="26"/>
                              </w:rPr>
                              <w:tab/>
                            </w:r>
                            <w:r w:rsidR="00F42F14">
                              <w:rPr>
                                <w:b/>
                                <w:bCs/>
                                <w:sz w:val="26"/>
                                <w:szCs w:val="26"/>
                              </w:rPr>
                              <w:tab/>
                              <w:t xml:space="preserve">         30</w:t>
                            </w:r>
                          </w:p>
                          <w:p w14:paraId="0632E893" w14:textId="77777777" w:rsidR="000C465B" w:rsidRDefault="000C465B" w:rsidP="00F42F14">
                            <w:pPr>
                              <w:widowControl w:val="0"/>
                              <w:spacing w:after="0"/>
                              <w:jc w:val="left"/>
                              <w:rPr>
                                <w:b/>
                                <w:bCs/>
                                <w:sz w:val="26"/>
                                <w:szCs w:val="26"/>
                              </w:rPr>
                            </w:pPr>
                          </w:p>
                          <w:p w14:paraId="25E9A072" w14:textId="5F835FA7" w:rsidR="000C465B" w:rsidRDefault="000C465B" w:rsidP="00F42F14">
                            <w:pPr>
                              <w:widowControl w:val="0"/>
                              <w:spacing w:after="0"/>
                              <w:jc w:val="left"/>
                              <w:rPr>
                                <w:b/>
                                <w:bCs/>
                                <w:sz w:val="26"/>
                                <w:szCs w:val="26"/>
                              </w:rPr>
                            </w:pPr>
                            <w:hyperlink w:anchor="Appendix2" w:history="1">
                              <w:r w:rsidRPr="00C24F25">
                                <w:rPr>
                                  <w:rStyle w:val="Hyperlink"/>
                                  <w:b/>
                                  <w:bCs/>
                                  <w:sz w:val="26"/>
                                  <w:szCs w:val="26"/>
                                </w:rPr>
                                <w:t>Appendix 2: Illustration</w:t>
                              </w:r>
                              <w:r>
                                <w:rPr>
                                  <w:rStyle w:val="Hyperlink"/>
                                  <w:b/>
                                  <w:bCs/>
                                  <w:sz w:val="26"/>
                                  <w:szCs w:val="26"/>
                                </w:rPr>
                                <w:t>s</w:t>
                              </w:r>
                              <w:r w:rsidRPr="00C24F25">
                                <w:rPr>
                                  <w:rStyle w:val="Hyperlink"/>
                                  <w:b/>
                                  <w:bCs/>
                                  <w:sz w:val="26"/>
                                  <w:szCs w:val="26"/>
                                </w:rPr>
                                <w:t xml:space="preserve"> and Discussion of</w:t>
                              </w:r>
                              <w:r w:rsidRPr="00F42F14">
                                <w:rPr>
                                  <w:rStyle w:val="Hyperlink"/>
                                  <w:b/>
                                  <w:bCs/>
                                  <w:sz w:val="26"/>
                                  <w:szCs w:val="26"/>
                                  <w:u w:val="none"/>
                                </w:rPr>
                                <w:t xml:space="preserve">                        </w:t>
                              </w:r>
                              <w:r w:rsidR="00F42F14" w:rsidRPr="00F42F14">
                                <w:rPr>
                                  <w:rStyle w:val="Hyperlink"/>
                                  <w:b/>
                                  <w:bCs/>
                                  <w:sz w:val="26"/>
                                  <w:szCs w:val="26"/>
                                  <w:u w:val="none"/>
                                </w:rPr>
                                <w:t>35</w:t>
                              </w:r>
                              <w:r w:rsidRPr="00C24F25">
                                <w:rPr>
                                  <w:rStyle w:val="Hyperlink"/>
                                  <w:b/>
                                  <w:bCs/>
                                  <w:sz w:val="26"/>
                                  <w:szCs w:val="26"/>
                                </w:rPr>
                                <w:t xml:space="preserve">               Voluntarily Added Expressions</w:t>
                              </w:r>
                            </w:hyperlink>
                          </w:p>
                          <w:p w14:paraId="311CE906" w14:textId="77777777" w:rsidR="000C465B" w:rsidRDefault="000C465B" w:rsidP="00F42F14">
                            <w:pPr>
                              <w:widowControl w:val="0"/>
                              <w:spacing w:after="0"/>
                              <w:rPr>
                                <w:b/>
                                <w:bCs/>
                                <w:sz w:val="26"/>
                                <w:szCs w:val="26"/>
                              </w:rPr>
                            </w:pPr>
                          </w:p>
                          <w:p w14:paraId="0EBD0BE2" w14:textId="4A53C541" w:rsidR="000C465B" w:rsidRPr="00CC519B" w:rsidRDefault="000C465B" w:rsidP="00F42F14">
                            <w:pPr>
                              <w:widowControl w:val="0"/>
                              <w:spacing w:after="0"/>
                              <w:rPr>
                                <w:rFonts w:ascii="Calibri" w:hAnsi="Calibri" w:cs="Calibri"/>
                                <w:b/>
                                <w:bCs/>
                                <w:sz w:val="26"/>
                                <w:szCs w:val="26"/>
                              </w:rPr>
                            </w:pPr>
                            <w:hyperlink w:anchor="Appendix1" w:history="1">
                              <w:r>
                                <w:rPr>
                                  <w:rStyle w:val="Hyperlink"/>
                                  <w:b/>
                                  <w:bCs/>
                                  <w:sz w:val="26"/>
                                  <w:szCs w:val="26"/>
                                </w:rPr>
                                <w:t>Resources</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48</w:t>
                            </w:r>
                          </w:p>
                          <w:p w14:paraId="057DA81C" w14:textId="77777777" w:rsidR="000C465B" w:rsidRPr="00CC519B" w:rsidRDefault="000C465B" w:rsidP="000C465B">
                            <w:pPr>
                              <w:widowControl w:val="0"/>
                              <w:spacing w:after="120"/>
                              <w:rPr>
                                <w:b/>
                                <w:bCs/>
                                <w:sz w:val="26"/>
                                <w:szCs w:val="26"/>
                              </w:rPr>
                            </w:pPr>
                          </w:p>
                          <w:p w14:paraId="40A6E6D4" w14:textId="77777777" w:rsidR="000C465B" w:rsidRPr="0074527D" w:rsidRDefault="000C465B" w:rsidP="000C465B">
                            <w:pPr>
                              <w:widowControl w:val="0"/>
                              <w:rPr>
                                <w:b/>
                                <w:bCs/>
                                <w:sz w:val="26"/>
                                <w:szCs w:val="26"/>
                              </w:rPr>
                            </w:pPr>
                            <w:r w:rsidRPr="0074527D">
                              <w:rPr>
                                <w:b/>
                                <w:bCs/>
                                <w:sz w:val="26"/>
                                <w:szCs w:val="26"/>
                              </w:rPr>
                              <w:t> </w:t>
                            </w:r>
                          </w:p>
                          <w:p w14:paraId="5DF236BE" w14:textId="77777777" w:rsidR="000C465B" w:rsidRDefault="000C465B" w:rsidP="000C465B">
                            <w:pPr>
                              <w:widowControl w:val="0"/>
                              <w:rPr>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BCB2" id="Text Box 55" o:spid="_x0000_s1029" type="#_x0000_t202" style="position:absolute;margin-left:168.2pt;margin-top:2.95pt;width:338pt;height:647.9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" filled="f" fillcolor="#5b9bd5" stroked="f" strokecolor="black [0]" strokeweight="2pt">
                <v:textbox inset="2.88pt,2.88pt,2.88pt,2.88pt">
                  <w:txbxContent>
                    <w:p w14:paraId="65933546" w14:textId="32068845" w:rsidR="000C465B" w:rsidRPr="00C24F25" w:rsidRDefault="000C465B" w:rsidP="000C465B">
                      <w:pPr>
                        <w:widowControl w:val="0"/>
                        <w:spacing w:after="120"/>
                        <w:jc w:val="left"/>
                        <w:rPr>
                          <w:rStyle w:val="Hyperlink"/>
                          <w:b/>
                          <w:bCs/>
                          <w:sz w:val="26"/>
                          <w:szCs w:val="26"/>
                        </w:rPr>
                      </w:pPr>
                      <w:r w:rsidRPr="00CC519B">
                        <w:rPr>
                          <w:b/>
                          <w:bCs/>
                          <w:sz w:val="26"/>
                          <w:szCs w:val="26"/>
                        </w:rPr>
                        <w:fldChar w:fldCharType="begin"/>
                      </w:r>
                      <w:r w:rsidRPr="00CC519B">
                        <w:rPr>
                          <w:b/>
                          <w:bCs/>
                          <w:sz w:val="26"/>
                          <w:szCs w:val="26"/>
                        </w:rPr>
                        <w:instrText>HYPERLINK  \l "Introduction"</w:instrText>
                      </w:r>
                      <w:r w:rsidRPr="00CC519B">
                        <w:rPr>
                          <w:b/>
                          <w:bCs/>
                          <w:sz w:val="26"/>
                          <w:szCs w:val="26"/>
                        </w:rPr>
                      </w:r>
                      <w:r w:rsidRPr="00CC519B">
                        <w:rPr>
                          <w:b/>
                          <w:bCs/>
                          <w:sz w:val="26"/>
                          <w:szCs w:val="26"/>
                        </w:rPr>
                        <w:fldChar w:fldCharType="separate"/>
                      </w:r>
                      <w:r w:rsidRPr="00C24F25">
                        <w:rPr>
                          <w:rStyle w:val="Hyperlink"/>
                          <w:b/>
                          <w:bCs/>
                          <w:sz w:val="26"/>
                          <w:szCs w:val="26"/>
                        </w:rPr>
                        <w:t>Introduction</w:t>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t xml:space="preserve"> </w:t>
                      </w:r>
                      <w:r w:rsidR="00F42F14">
                        <w:rPr>
                          <w:rStyle w:val="Hyperlink"/>
                          <w:b/>
                          <w:bCs/>
                          <w:sz w:val="26"/>
                          <w:szCs w:val="26"/>
                          <w:u w:val="none"/>
                        </w:rPr>
                        <w:t xml:space="preserve">          </w:t>
                      </w:r>
                      <w:r w:rsidR="00F42F14" w:rsidRPr="00F42F14">
                        <w:rPr>
                          <w:rStyle w:val="Hyperlink"/>
                          <w:b/>
                          <w:bCs/>
                          <w:sz w:val="26"/>
                          <w:szCs w:val="26"/>
                          <w:u w:val="none"/>
                        </w:rPr>
                        <w:t>4</w:t>
                      </w:r>
                    </w:p>
                    <w:p w14:paraId="5B6F9EC9" w14:textId="77777777" w:rsidR="000C465B" w:rsidRPr="000C465B" w:rsidRDefault="000C465B" w:rsidP="000C465B">
                      <w:pPr>
                        <w:widowControl w:val="0"/>
                        <w:spacing w:after="0"/>
                        <w:ind w:left="720"/>
                        <w:rPr>
                          <w:sz w:val="22"/>
                        </w:rPr>
                      </w:pPr>
                      <w:r w:rsidRPr="00CC519B">
                        <w:rPr>
                          <w:b/>
                          <w:bCs/>
                          <w:sz w:val="26"/>
                          <w:szCs w:val="26"/>
                        </w:rPr>
                        <w:fldChar w:fldCharType="end"/>
                      </w:r>
                      <w:r w:rsidRPr="000C465B">
                        <w:rPr>
                          <w:sz w:val="22"/>
                        </w:rPr>
                        <w:t>Organization of Document</w:t>
                      </w:r>
                    </w:p>
                    <w:p w14:paraId="642B757C" w14:textId="77777777" w:rsidR="000C465B" w:rsidRPr="000C465B" w:rsidRDefault="000C465B" w:rsidP="000C465B">
                      <w:pPr>
                        <w:widowControl w:val="0"/>
                        <w:spacing w:after="120"/>
                        <w:ind w:left="720"/>
                        <w:rPr>
                          <w:sz w:val="22"/>
                        </w:rPr>
                      </w:pPr>
                      <w:r w:rsidRPr="000C465B">
                        <w:rPr>
                          <w:sz w:val="22"/>
                        </w:rPr>
                        <w:t>Discussion of Supplemental Statements</w:t>
                      </w:r>
                    </w:p>
                    <w:p w14:paraId="72470889" w14:textId="2274AC2E" w:rsidR="000C465B" w:rsidRPr="00CC519B" w:rsidRDefault="00A94B54" w:rsidP="000C465B">
                      <w:pPr>
                        <w:widowControl w:val="0"/>
                        <w:spacing w:after="120"/>
                        <w:jc w:val="left"/>
                        <w:rPr>
                          <w:rFonts w:ascii="Calibri" w:hAnsi="Calibri" w:cs="Calibri"/>
                          <w:b/>
                          <w:bCs/>
                          <w:sz w:val="26"/>
                          <w:szCs w:val="26"/>
                        </w:rPr>
                      </w:pPr>
                      <w:hyperlink w:anchor="Background" w:history="1">
                        <w:r w:rsidR="000C465B" w:rsidRPr="00C24F25">
                          <w:rPr>
                            <w:rStyle w:val="Hyperlink"/>
                            <w:b/>
                            <w:bCs/>
                            <w:sz w:val="26"/>
                            <w:szCs w:val="26"/>
                          </w:rPr>
                          <w:t>Background</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w:t>
                      </w:r>
                      <w:r w:rsidR="00F42F14">
                        <w:rPr>
                          <w:b/>
                          <w:bCs/>
                          <w:sz w:val="26"/>
                          <w:szCs w:val="26"/>
                        </w:rPr>
                        <w:tab/>
                        <w:t>6</w:t>
                      </w:r>
                    </w:p>
                    <w:p w14:paraId="2A1F5E97" w14:textId="1F33D4BA" w:rsidR="000C465B" w:rsidRPr="00C24F25" w:rsidRDefault="000C465B" w:rsidP="000C465B">
                      <w:pPr>
                        <w:widowControl w:val="0"/>
                        <w:spacing w:after="120"/>
                        <w:jc w:val="left"/>
                        <w:rPr>
                          <w:rStyle w:val="Hyperlink"/>
                          <w:b/>
                          <w:bCs/>
                          <w:sz w:val="26"/>
                          <w:szCs w:val="26"/>
                        </w:rPr>
                      </w:pPr>
                      <w:r w:rsidRPr="00CC519B">
                        <w:rPr>
                          <w:b/>
                          <w:bCs/>
                          <w:sz w:val="26"/>
                          <w:szCs w:val="26"/>
                        </w:rPr>
                        <w:fldChar w:fldCharType="begin"/>
                      </w:r>
                      <w:r w:rsidRPr="00CC519B">
                        <w:rPr>
                          <w:b/>
                          <w:bCs/>
                          <w:sz w:val="26"/>
                          <w:szCs w:val="26"/>
                        </w:rPr>
                        <w:instrText>HYPERLINK  \l "Expression_Categories"</w:instrText>
                      </w:r>
                      <w:r w:rsidRPr="00CC519B">
                        <w:rPr>
                          <w:b/>
                          <w:bCs/>
                          <w:sz w:val="26"/>
                          <w:szCs w:val="26"/>
                        </w:rPr>
                      </w:r>
                      <w:r w:rsidRPr="00CC519B">
                        <w:rPr>
                          <w:b/>
                          <w:bCs/>
                          <w:sz w:val="26"/>
                          <w:szCs w:val="26"/>
                        </w:rPr>
                        <w:fldChar w:fldCharType="separate"/>
                      </w:r>
                      <w:r w:rsidRPr="00C24F25">
                        <w:rPr>
                          <w:rStyle w:val="Hyperlink"/>
                          <w:b/>
                          <w:bCs/>
                          <w:sz w:val="26"/>
                          <w:szCs w:val="26"/>
                        </w:rPr>
                        <w:t>Expression Categories</w:t>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r>
                      <w:r w:rsidR="00F42F14" w:rsidRPr="00F42F14">
                        <w:rPr>
                          <w:rStyle w:val="Hyperlink"/>
                          <w:b/>
                          <w:bCs/>
                          <w:sz w:val="26"/>
                          <w:szCs w:val="26"/>
                          <w:u w:val="none"/>
                        </w:rPr>
                        <w:tab/>
                        <w:t xml:space="preserve"> </w:t>
                      </w:r>
                      <w:r w:rsidR="00F42F14" w:rsidRPr="00F42F14">
                        <w:rPr>
                          <w:rStyle w:val="Hyperlink"/>
                          <w:b/>
                          <w:bCs/>
                          <w:sz w:val="26"/>
                          <w:szCs w:val="26"/>
                          <w:u w:val="none"/>
                        </w:rPr>
                        <w:tab/>
                        <w:t>7</w:t>
                      </w:r>
                    </w:p>
                    <w:p w14:paraId="107C9336" w14:textId="77777777" w:rsidR="000C465B" w:rsidRPr="000C465B" w:rsidRDefault="000C465B" w:rsidP="000C465B">
                      <w:pPr>
                        <w:widowControl w:val="0"/>
                        <w:spacing w:after="0"/>
                        <w:ind w:left="1080" w:hanging="360"/>
                        <w:rPr>
                          <w:sz w:val="22"/>
                        </w:rPr>
                      </w:pPr>
                      <w:r w:rsidRPr="00CC519B">
                        <w:rPr>
                          <w:b/>
                          <w:bCs/>
                          <w:sz w:val="26"/>
                          <w:szCs w:val="26"/>
                        </w:rPr>
                        <w:fldChar w:fldCharType="end"/>
                      </w:r>
                      <w:r w:rsidRPr="000C465B">
                        <w:rPr>
                          <w:sz w:val="22"/>
                        </w:rPr>
                        <w:t>1. Additional Expression of Quantity</w:t>
                      </w:r>
                    </w:p>
                    <w:p w14:paraId="1628359E" w14:textId="77777777" w:rsidR="000C465B" w:rsidRPr="000C465B" w:rsidRDefault="000C465B" w:rsidP="000C465B">
                      <w:pPr>
                        <w:widowControl w:val="0"/>
                        <w:spacing w:after="0"/>
                        <w:ind w:left="1080" w:hanging="360"/>
                        <w:rPr>
                          <w:sz w:val="22"/>
                        </w:rPr>
                      </w:pPr>
                      <w:r w:rsidRPr="000C465B">
                        <w:rPr>
                          <w:sz w:val="22"/>
                        </w:rPr>
                        <w:t>2. Reconstituted Expression of Quantity</w:t>
                      </w:r>
                    </w:p>
                    <w:p w14:paraId="1F9DAE51" w14:textId="77777777" w:rsidR="000C465B" w:rsidRPr="000C465B" w:rsidRDefault="000C465B" w:rsidP="000C465B">
                      <w:pPr>
                        <w:widowControl w:val="0"/>
                        <w:spacing w:after="0"/>
                        <w:ind w:left="1080" w:hanging="360"/>
                        <w:rPr>
                          <w:sz w:val="22"/>
                        </w:rPr>
                      </w:pPr>
                      <w:r w:rsidRPr="000C465B">
                        <w:rPr>
                          <w:sz w:val="22"/>
                        </w:rPr>
                        <w:t>3. Derived Unit Expression</w:t>
                      </w:r>
                    </w:p>
                    <w:p w14:paraId="7F350A93" w14:textId="77777777" w:rsidR="000C465B" w:rsidRPr="000C465B" w:rsidRDefault="000C465B" w:rsidP="000C465B">
                      <w:pPr>
                        <w:widowControl w:val="0"/>
                        <w:spacing w:after="0"/>
                        <w:ind w:left="1080" w:hanging="360"/>
                        <w:rPr>
                          <w:sz w:val="22"/>
                        </w:rPr>
                      </w:pPr>
                      <w:r w:rsidRPr="000C465B">
                        <w:rPr>
                          <w:sz w:val="22"/>
                        </w:rPr>
                        <w:t>4. Comparative Quantity Representation</w:t>
                      </w:r>
                    </w:p>
                    <w:p w14:paraId="30E3AF9A" w14:textId="77777777" w:rsidR="000C465B" w:rsidRPr="000C465B" w:rsidRDefault="000C465B" w:rsidP="000C465B">
                      <w:pPr>
                        <w:widowControl w:val="0"/>
                        <w:spacing w:after="120"/>
                        <w:ind w:left="1080" w:hanging="360"/>
                        <w:rPr>
                          <w:sz w:val="22"/>
                        </w:rPr>
                      </w:pPr>
                      <w:r w:rsidRPr="000C465B">
                        <w:rPr>
                          <w:sz w:val="22"/>
                        </w:rPr>
                        <w:t>5. Comparative Performance Representation</w:t>
                      </w:r>
                    </w:p>
                    <w:p w14:paraId="29D466B6" w14:textId="3FF4457F" w:rsidR="000C465B" w:rsidRPr="00CC519B" w:rsidRDefault="00A94B54" w:rsidP="000C465B">
                      <w:pPr>
                        <w:widowControl w:val="0"/>
                        <w:spacing w:after="120"/>
                        <w:jc w:val="left"/>
                        <w:rPr>
                          <w:rFonts w:ascii="Calibri" w:hAnsi="Calibri" w:cs="Calibri"/>
                          <w:b/>
                          <w:bCs/>
                          <w:spacing w:val="-3"/>
                          <w:sz w:val="26"/>
                          <w:szCs w:val="26"/>
                        </w:rPr>
                      </w:pPr>
                      <w:hyperlink w:anchor="Principles_Recommendations" w:history="1">
                        <w:r w:rsidR="000C465B" w:rsidRPr="00C24F25">
                          <w:rPr>
                            <w:rStyle w:val="Hyperlink"/>
                            <w:b/>
                            <w:bCs/>
                            <w:spacing w:val="-3"/>
                            <w:sz w:val="26"/>
                            <w:szCs w:val="26"/>
                          </w:rPr>
                          <w:t>Principles &amp; Recommendations by Expression Category</w:t>
                        </w:r>
                      </w:hyperlink>
                      <w:r w:rsidR="00F42F14">
                        <w:rPr>
                          <w:b/>
                          <w:bCs/>
                          <w:spacing w:val="-3"/>
                          <w:sz w:val="26"/>
                          <w:szCs w:val="26"/>
                        </w:rPr>
                        <w:t xml:space="preserve">     15</w:t>
                      </w:r>
                    </w:p>
                    <w:p w14:paraId="54751DB2" w14:textId="77777777" w:rsidR="000C465B" w:rsidRPr="000C465B" w:rsidRDefault="00A94B54" w:rsidP="00F42F14">
                      <w:pPr>
                        <w:widowControl w:val="0"/>
                        <w:spacing w:after="120"/>
                        <w:ind w:left="720"/>
                        <w:jc w:val="left"/>
                        <w:rPr>
                          <w:sz w:val="22"/>
                        </w:rPr>
                      </w:pPr>
                      <w:hyperlink w:anchor="Table1" w:history="1">
                        <w:r w:rsidR="000C465B" w:rsidRPr="000C465B">
                          <w:rPr>
                            <w:rStyle w:val="Hyperlink"/>
                            <w:sz w:val="22"/>
                          </w:rPr>
                          <w:t>Table 1: Summary of Principles</w:t>
                        </w:r>
                      </w:hyperlink>
                      <w:r w:rsidR="000C465B" w:rsidRPr="000C465B">
                        <w:rPr>
                          <w:sz w:val="22"/>
                        </w:rPr>
                        <w:t xml:space="preserve"> </w:t>
                      </w:r>
                    </w:p>
                    <w:p w14:paraId="2C011DBE" w14:textId="77777777" w:rsidR="000C465B" w:rsidRPr="000C465B" w:rsidRDefault="000C465B" w:rsidP="00F42F14">
                      <w:pPr>
                        <w:widowControl w:val="0"/>
                        <w:spacing w:after="0"/>
                        <w:ind w:firstLine="720"/>
                        <w:jc w:val="left"/>
                        <w:rPr>
                          <w:rStyle w:val="Hyperlink"/>
                          <w:sz w:val="22"/>
                        </w:rPr>
                      </w:pPr>
                      <w:r w:rsidRPr="000C465B">
                        <w:rPr>
                          <w:sz w:val="22"/>
                        </w:rPr>
                        <w:fldChar w:fldCharType="begin"/>
                      </w:r>
                      <w:r w:rsidRPr="000C465B">
                        <w:rPr>
                          <w:sz w:val="22"/>
                        </w:rPr>
                        <w:instrText>HYPERLINK  \l "Table2"</w:instrText>
                      </w:r>
                      <w:r w:rsidRPr="000C465B">
                        <w:rPr>
                          <w:sz w:val="22"/>
                        </w:rPr>
                      </w:r>
                      <w:r w:rsidRPr="000C465B">
                        <w:rPr>
                          <w:sz w:val="22"/>
                        </w:rPr>
                        <w:fldChar w:fldCharType="separate"/>
                      </w:r>
                      <w:r w:rsidRPr="000C465B">
                        <w:rPr>
                          <w:rStyle w:val="Hyperlink"/>
                          <w:sz w:val="22"/>
                        </w:rPr>
                        <w:t>Table 2: Expression Principles and Guidance</w:t>
                      </w:r>
                    </w:p>
                    <w:p w14:paraId="41DEC0F7" w14:textId="77777777" w:rsidR="000C465B" w:rsidRPr="000C465B" w:rsidRDefault="000C465B" w:rsidP="00F42F14">
                      <w:pPr>
                        <w:widowControl w:val="0"/>
                        <w:spacing w:after="0"/>
                        <w:ind w:left="1440" w:hanging="360"/>
                        <w:jc w:val="left"/>
                        <w:rPr>
                          <w:sz w:val="22"/>
                        </w:rPr>
                      </w:pPr>
                      <w:r w:rsidRPr="000C465B">
                        <w:rPr>
                          <w:sz w:val="22"/>
                        </w:rPr>
                        <w:fldChar w:fldCharType="end"/>
                      </w:r>
                      <w:r w:rsidRPr="000C465B">
                        <w:rPr>
                          <w:sz w:val="22"/>
                        </w:rPr>
                        <w:t>1. Should be useful for consumers</w:t>
                      </w:r>
                    </w:p>
                    <w:p w14:paraId="199D8D63" w14:textId="77777777" w:rsidR="000C465B" w:rsidRPr="000C465B" w:rsidRDefault="000C465B" w:rsidP="00F42F14">
                      <w:pPr>
                        <w:widowControl w:val="0"/>
                        <w:spacing w:after="0"/>
                        <w:ind w:left="1440" w:hanging="360"/>
                        <w:jc w:val="left"/>
                        <w:rPr>
                          <w:sz w:val="22"/>
                        </w:rPr>
                      </w:pPr>
                      <w:r w:rsidRPr="000C465B">
                        <w:rPr>
                          <w:sz w:val="22"/>
                        </w:rPr>
                        <w:t>2. Must be accurate and verifiable</w:t>
                      </w:r>
                    </w:p>
                    <w:p w14:paraId="4C45D7A5" w14:textId="77777777" w:rsidR="000C465B" w:rsidRPr="000C465B" w:rsidRDefault="000C465B" w:rsidP="00F42F14">
                      <w:pPr>
                        <w:widowControl w:val="0"/>
                        <w:spacing w:after="0"/>
                        <w:ind w:left="1440" w:hanging="360"/>
                        <w:jc w:val="left"/>
                        <w:rPr>
                          <w:sz w:val="22"/>
                        </w:rPr>
                      </w:pPr>
                      <w:r w:rsidRPr="000C465B">
                        <w:rPr>
                          <w:sz w:val="22"/>
                        </w:rPr>
                        <w:t>3. Must be clear and unambiguous</w:t>
                      </w:r>
                    </w:p>
                    <w:p w14:paraId="2E6EB620" w14:textId="77777777" w:rsidR="000C465B" w:rsidRPr="000C465B" w:rsidRDefault="000C465B" w:rsidP="00F42F14">
                      <w:pPr>
                        <w:widowControl w:val="0"/>
                        <w:spacing w:after="0"/>
                        <w:ind w:left="1440" w:hanging="360"/>
                        <w:jc w:val="left"/>
                        <w:rPr>
                          <w:sz w:val="22"/>
                        </w:rPr>
                      </w:pPr>
                      <w:r w:rsidRPr="000C465B">
                        <w:rPr>
                          <w:sz w:val="22"/>
                        </w:rPr>
                        <w:t xml:space="preserve">4. Must not conflict with mandatory Declaration of </w:t>
                      </w:r>
                    </w:p>
                    <w:p w14:paraId="684DB3A7" w14:textId="77777777" w:rsidR="000C465B" w:rsidRPr="000C465B" w:rsidRDefault="000C465B" w:rsidP="00F42F14">
                      <w:pPr>
                        <w:widowControl w:val="0"/>
                        <w:spacing w:after="0"/>
                        <w:ind w:left="1080"/>
                        <w:jc w:val="left"/>
                        <w:rPr>
                          <w:sz w:val="22"/>
                        </w:rPr>
                      </w:pPr>
                      <w:r w:rsidRPr="000C465B">
                        <w:rPr>
                          <w:sz w:val="22"/>
                        </w:rPr>
                        <w:t xml:space="preserve">      Net Quantity (DoNQ)</w:t>
                      </w:r>
                    </w:p>
                    <w:p w14:paraId="07F1F932" w14:textId="77777777" w:rsidR="000C465B" w:rsidRPr="000C465B" w:rsidRDefault="000C465B" w:rsidP="00F42F14">
                      <w:pPr>
                        <w:widowControl w:val="0"/>
                        <w:spacing w:after="0"/>
                        <w:ind w:left="1440" w:hanging="360"/>
                        <w:jc w:val="left"/>
                        <w:rPr>
                          <w:sz w:val="22"/>
                        </w:rPr>
                      </w:pPr>
                      <w:r w:rsidRPr="000C465B">
                        <w:rPr>
                          <w:sz w:val="22"/>
                        </w:rPr>
                        <w:t xml:space="preserve">5. Location and prominence must be balanced against </w:t>
                      </w:r>
                    </w:p>
                    <w:p w14:paraId="68F19960" w14:textId="77777777" w:rsidR="000C465B" w:rsidRPr="000C465B" w:rsidRDefault="000C465B" w:rsidP="00F42F14">
                      <w:pPr>
                        <w:widowControl w:val="0"/>
                        <w:spacing w:after="0"/>
                        <w:ind w:left="1080"/>
                        <w:jc w:val="left"/>
                        <w:rPr>
                          <w:sz w:val="22"/>
                        </w:rPr>
                      </w:pPr>
                      <w:r w:rsidRPr="000C465B">
                        <w:rPr>
                          <w:sz w:val="22"/>
                        </w:rPr>
                        <w:t xml:space="preserve">      Declaration of Net Quantity</w:t>
                      </w:r>
                    </w:p>
                    <w:p w14:paraId="1795EA25" w14:textId="77777777" w:rsidR="000C465B" w:rsidRPr="000C465B" w:rsidRDefault="000C465B" w:rsidP="00F42F14">
                      <w:pPr>
                        <w:widowControl w:val="0"/>
                        <w:spacing w:after="0"/>
                        <w:ind w:left="1440" w:hanging="360"/>
                        <w:jc w:val="left"/>
                        <w:rPr>
                          <w:sz w:val="22"/>
                        </w:rPr>
                      </w:pPr>
                      <w:r w:rsidRPr="000C465B">
                        <w:rPr>
                          <w:sz w:val="22"/>
                        </w:rPr>
                        <w:t>6. Should provide consumer relevant information</w:t>
                      </w:r>
                    </w:p>
                    <w:p w14:paraId="6D4440FD" w14:textId="77777777" w:rsidR="000C465B" w:rsidRPr="000C465B" w:rsidRDefault="000C465B" w:rsidP="00F42F14">
                      <w:pPr>
                        <w:widowControl w:val="0"/>
                        <w:spacing w:after="0"/>
                        <w:ind w:left="1440" w:hanging="360"/>
                        <w:jc w:val="left"/>
                        <w:rPr>
                          <w:sz w:val="22"/>
                        </w:rPr>
                      </w:pPr>
                      <w:r w:rsidRPr="000C465B">
                        <w:rPr>
                          <w:sz w:val="22"/>
                        </w:rPr>
                        <w:t>7. Should not conflict with units of Legal Metrology</w:t>
                      </w:r>
                    </w:p>
                    <w:p w14:paraId="6E7E28E9" w14:textId="77777777" w:rsidR="000C465B" w:rsidRPr="000C465B" w:rsidRDefault="000C465B" w:rsidP="00F42F14">
                      <w:pPr>
                        <w:widowControl w:val="0"/>
                        <w:spacing w:after="0"/>
                        <w:ind w:left="1440" w:hanging="360"/>
                        <w:jc w:val="left"/>
                        <w:rPr>
                          <w:sz w:val="22"/>
                        </w:rPr>
                      </w:pPr>
                      <w:r w:rsidRPr="000C465B">
                        <w:rPr>
                          <w:sz w:val="22"/>
                        </w:rPr>
                        <w:t>8. Must provide directions for how to reconstitute</w:t>
                      </w:r>
                    </w:p>
                    <w:p w14:paraId="78F46E59" w14:textId="77777777" w:rsidR="000C465B" w:rsidRPr="000C465B" w:rsidRDefault="000C465B" w:rsidP="00F42F14">
                      <w:pPr>
                        <w:widowControl w:val="0"/>
                        <w:spacing w:after="0"/>
                        <w:ind w:left="1440" w:hanging="360"/>
                        <w:jc w:val="left"/>
                        <w:rPr>
                          <w:sz w:val="22"/>
                        </w:rPr>
                      </w:pPr>
                      <w:r w:rsidRPr="000C465B">
                        <w:rPr>
                          <w:sz w:val="22"/>
                        </w:rPr>
                        <w:t>9. Must provide definition of derived unit</w:t>
                      </w:r>
                    </w:p>
                    <w:p w14:paraId="543A4856" w14:textId="77777777" w:rsidR="000C465B" w:rsidRPr="000C465B" w:rsidRDefault="000C465B" w:rsidP="00F42F14">
                      <w:pPr>
                        <w:widowControl w:val="0"/>
                        <w:spacing w:after="0"/>
                        <w:ind w:left="1440" w:hanging="360"/>
                        <w:jc w:val="left"/>
                        <w:rPr>
                          <w:sz w:val="22"/>
                        </w:rPr>
                      </w:pPr>
                      <w:r w:rsidRPr="000C465B">
                        <w:rPr>
                          <w:sz w:val="22"/>
                        </w:rPr>
                        <w:t>10. Derived unit must be consistent across similar products</w:t>
                      </w:r>
                    </w:p>
                    <w:p w14:paraId="5AF5FCC2" w14:textId="77777777" w:rsidR="000C465B" w:rsidRPr="000C465B" w:rsidRDefault="000C465B" w:rsidP="00F42F14">
                      <w:pPr>
                        <w:widowControl w:val="0"/>
                        <w:spacing w:after="0"/>
                        <w:ind w:left="1440" w:hanging="360"/>
                        <w:jc w:val="left"/>
                        <w:rPr>
                          <w:sz w:val="22"/>
                        </w:rPr>
                      </w:pPr>
                      <w:r w:rsidRPr="000C465B">
                        <w:rPr>
                          <w:sz w:val="22"/>
                        </w:rPr>
                        <w:t>11. Comparative expression must appear in its entirety in upper 70% of Principal Display Panel (PDP)</w:t>
                      </w:r>
                    </w:p>
                    <w:p w14:paraId="29EE7F6F" w14:textId="77777777" w:rsidR="000C465B" w:rsidRPr="000C465B" w:rsidRDefault="000C465B" w:rsidP="00F42F14">
                      <w:pPr>
                        <w:widowControl w:val="0"/>
                        <w:spacing w:after="120"/>
                        <w:ind w:left="1440" w:hanging="360"/>
                        <w:jc w:val="left"/>
                        <w:rPr>
                          <w:sz w:val="22"/>
                        </w:rPr>
                      </w:pPr>
                      <w:r w:rsidRPr="000C465B">
                        <w:rPr>
                          <w:sz w:val="22"/>
                        </w:rPr>
                        <w:t>12. If no reference to recognized units of Legal               Metrology, must be balanced and complete</w:t>
                      </w:r>
                    </w:p>
                    <w:p w14:paraId="6583A4EE" w14:textId="77777777" w:rsidR="000C465B" w:rsidRDefault="000C465B" w:rsidP="000C465B">
                      <w:pPr>
                        <w:widowControl w:val="0"/>
                        <w:spacing w:after="120"/>
                        <w:rPr>
                          <w:b/>
                          <w:bCs/>
                          <w:sz w:val="26"/>
                          <w:szCs w:val="26"/>
                        </w:rPr>
                      </w:pPr>
                    </w:p>
                    <w:p w14:paraId="3D9BA0D0" w14:textId="04CEF8AC" w:rsidR="000C465B" w:rsidRPr="00CC519B" w:rsidRDefault="00A94B54" w:rsidP="00F42F14">
                      <w:pPr>
                        <w:widowControl w:val="0"/>
                        <w:spacing w:after="0"/>
                        <w:rPr>
                          <w:b/>
                          <w:bCs/>
                          <w:sz w:val="26"/>
                          <w:szCs w:val="26"/>
                        </w:rPr>
                      </w:pPr>
                      <w:hyperlink w:anchor="Enforcement" w:history="1">
                        <w:r w:rsidR="000C465B" w:rsidRPr="00C24F25">
                          <w:rPr>
                            <w:rStyle w:val="Hyperlink"/>
                            <w:b/>
                            <w:bCs/>
                            <w:sz w:val="26"/>
                            <w:szCs w:val="26"/>
                          </w:rPr>
                          <w:t>Enforcement</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29</w:t>
                      </w:r>
                    </w:p>
                    <w:p w14:paraId="722737F7" w14:textId="77777777" w:rsidR="000C465B" w:rsidRDefault="000C465B" w:rsidP="00F42F14">
                      <w:pPr>
                        <w:widowControl w:val="0"/>
                        <w:spacing w:after="0"/>
                        <w:rPr>
                          <w:b/>
                          <w:bCs/>
                          <w:sz w:val="26"/>
                          <w:szCs w:val="26"/>
                        </w:rPr>
                      </w:pPr>
                    </w:p>
                    <w:p w14:paraId="16751D16" w14:textId="013F2A45" w:rsidR="000C465B" w:rsidRPr="00CC519B" w:rsidRDefault="00A94B54" w:rsidP="00F42F14">
                      <w:pPr>
                        <w:widowControl w:val="0"/>
                        <w:spacing w:after="0"/>
                        <w:rPr>
                          <w:rFonts w:ascii="Calibri" w:hAnsi="Calibri" w:cs="Calibri"/>
                          <w:b/>
                          <w:bCs/>
                          <w:sz w:val="26"/>
                          <w:szCs w:val="26"/>
                        </w:rPr>
                      </w:pPr>
                      <w:hyperlink w:anchor="Appendix1" w:history="1">
                        <w:r w:rsidR="000C465B" w:rsidRPr="00C24F25">
                          <w:rPr>
                            <w:rStyle w:val="Hyperlink"/>
                            <w:b/>
                            <w:bCs/>
                            <w:sz w:val="26"/>
                            <w:szCs w:val="26"/>
                          </w:rPr>
                          <w:t>Appendix 1: Supplemental Statements</w:t>
                        </w:r>
                      </w:hyperlink>
                      <w:r w:rsidR="00F42F14">
                        <w:rPr>
                          <w:b/>
                          <w:bCs/>
                          <w:sz w:val="26"/>
                          <w:szCs w:val="26"/>
                        </w:rPr>
                        <w:tab/>
                      </w:r>
                      <w:r w:rsidR="00F42F14">
                        <w:rPr>
                          <w:b/>
                          <w:bCs/>
                          <w:sz w:val="26"/>
                          <w:szCs w:val="26"/>
                        </w:rPr>
                        <w:tab/>
                      </w:r>
                      <w:r w:rsidR="00F42F14">
                        <w:rPr>
                          <w:b/>
                          <w:bCs/>
                          <w:sz w:val="26"/>
                          <w:szCs w:val="26"/>
                        </w:rPr>
                        <w:tab/>
                        <w:t xml:space="preserve">         30</w:t>
                      </w:r>
                    </w:p>
                    <w:p w14:paraId="0632E893" w14:textId="77777777" w:rsidR="000C465B" w:rsidRDefault="000C465B" w:rsidP="00F42F14">
                      <w:pPr>
                        <w:widowControl w:val="0"/>
                        <w:spacing w:after="0"/>
                        <w:jc w:val="left"/>
                        <w:rPr>
                          <w:b/>
                          <w:bCs/>
                          <w:sz w:val="26"/>
                          <w:szCs w:val="26"/>
                        </w:rPr>
                      </w:pPr>
                    </w:p>
                    <w:p w14:paraId="25E9A072" w14:textId="5F835FA7" w:rsidR="000C465B" w:rsidRDefault="00A94B54" w:rsidP="00F42F14">
                      <w:pPr>
                        <w:widowControl w:val="0"/>
                        <w:spacing w:after="0"/>
                        <w:jc w:val="left"/>
                        <w:rPr>
                          <w:b/>
                          <w:bCs/>
                          <w:sz w:val="26"/>
                          <w:szCs w:val="26"/>
                        </w:rPr>
                      </w:pPr>
                      <w:hyperlink w:anchor="Appendix2" w:history="1">
                        <w:r w:rsidR="000C465B" w:rsidRPr="00C24F25">
                          <w:rPr>
                            <w:rStyle w:val="Hyperlink"/>
                            <w:b/>
                            <w:bCs/>
                            <w:sz w:val="26"/>
                            <w:szCs w:val="26"/>
                          </w:rPr>
                          <w:t>Appendix 2: Illustration</w:t>
                        </w:r>
                        <w:r w:rsidR="000C465B">
                          <w:rPr>
                            <w:rStyle w:val="Hyperlink"/>
                            <w:b/>
                            <w:bCs/>
                            <w:sz w:val="26"/>
                            <w:szCs w:val="26"/>
                          </w:rPr>
                          <w:t>s</w:t>
                        </w:r>
                        <w:r w:rsidR="000C465B" w:rsidRPr="00C24F25">
                          <w:rPr>
                            <w:rStyle w:val="Hyperlink"/>
                            <w:b/>
                            <w:bCs/>
                            <w:sz w:val="26"/>
                            <w:szCs w:val="26"/>
                          </w:rPr>
                          <w:t xml:space="preserve"> and Discussion of</w:t>
                        </w:r>
                        <w:r w:rsidR="000C465B" w:rsidRPr="00F42F14">
                          <w:rPr>
                            <w:rStyle w:val="Hyperlink"/>
                            <w:b/>
                            <w:bCs/>
                            <w:sz w:val="26"/>
                            <w:szCs w:val="26"/>
                            <w:u w:val="none"/>
                          </w:rPr>
                          <w:t xml:space="preserve">                        </w:t>
                        </w:r>
                        <w:r w:rsidR="00F42F14" w:rsidRPr="00F42F14">
                          <w:rPr>
                            <w:rStyle w:val="Hyperlink"/>
                            <w:b/>
                            <w:bCs/>
                            <w:sz w:val="26"/>
                            <w:szCs w:val="26"/>
                            <w:u w:val="none"/>
                          </w:rPr>
                          <w:t>35</w:t>
                        </w:r>
                        <w:r w:rsidR="000C465B" w:rsidRPr="00C24F25">
                          <w:rPr>
                            <w:rStyle w:val="Hyperlink"/>
                            <w:b/>
                            <w:bCs/>
                            <w:sz w:val="26"/>
                            <w:szCs w:val="26"/>
                          </w:rPr>
                          <w:t xml:space="preserve">               Voluntarily Added Expressions</w:t>
                        </w:r>
                      </w:hyperlink>
                    </w:p>
                    <w:p w14:paraId="311CE906" w14:textId="77777777" w:rsidR="000C465B" w:rsidRDefault="000C465B" w:rsidP="00F42F14">
                      <w:pPr>
                        <w:widowControl w:val="0"/>
                        <w:spacing w:after="0"/>
                        <w:rPr>
                          <w:b/>
                          <w:bCs/>
                          <w:sz w:val="26"/>
                          <w:szCs w:val="26"/>
                        </w:rPr>
                      </w:pPr>
                    </w:p>
                    <w:p w14:paraId="0EBD0BE2" w14:textId="4A53C541" w:rsidR="000C465B" w:rsidRPr="00CC519B" w:rsidRDefault="00A94B54" w:rsidP="00F42F14">
                      <w:pPr>
                        <w:widowControl w:val="0"/>
                        <w:spacing w:after="0"/>
                        <w:rPr>
                          <w:rFonts w:ascii="Calibri" w:hAnsi="Calibri" w:cs="Calibri"/>
                          <w:b/>
                          <w:bCs/>
                          <w:sz w:val="26"/>
                          <w:szCs w:val="26"/>
                        </w:rPr>
                      </w:pPr>
                      <w:hyperlink w:anchor="Appendix1" w:history="1">
                        <w:r w:rsidR="000C465B">
                          <w:rPr>
                            <w:rStyle w:val="Hyperlink"/>
                            <w:b/>
                            <w:bCs/>
                            <w:sz w:val="26"/>
                            <w:szCs w:val="26"/>
                          </w:rPr>
                          <w:t>Resources</w:t>
                        </w:r>
                      </w:hyperlink>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r>
                      <w:r w:rsidR="00F42F14">
                        <w:rPr>
                          <w:b/>
                          <w:bCs/>
                          <w:sz w:val="26"/>
                          <w:szCs w:val="26"/>
                        </w:rPr>
                        <w:tab/>
                        <w:t xml:space="preserve">         48</w:t>
                      </w:r>
                    </w:p>
                    <w:p w14:paraId="057DA81C" w14:textId="77777777" w:rsidR="000C465B" w:rsidRPr="00CC519B" w:rsidRDefault="000C465B" w:rsidP="000C465B">
                      <w:pPr>
                        <w:widowControl w:val="0"/>
                        <w:spacing w:after="120"/>
                        <w:rPr>
                          <w:b/>
                          <w:bCs/>
                          <w:sz w:val="26"/>
                          <w:szCs w:val="26"/>
                        </w:rPr>
                      </w:pPr>
                    </w:p>
                    <w:p w14:paraId="40A6E6D4" w14:textId="77777777" w:rsidR="000C465B" w:rsidRPr="0074527D" w:rsidRDefault="000C465B" w:rsidP="000C465B">
                      <w:pPr>
                        <w:widowControl w:val="0"/>
                        <w:rPr>
                          <w:b/>
                          <w:bCs/>
                          <w:sz w:val="26"/>
                          <w:szCs w:val="26"/>
                        </w:rPr>
                      </w:pPr>
                      <w:r w:rsidRPr="0074527D">
                        <w:rPr>
                          <w:b/>
                          <w:bCs/>
                          <w:sz w:val="26"/>
                          <w:szCs w:val="26"/>
                        </w:rPr>
                        <w:t> </w:t>
                      </w:r>
                    </w:p>
                    <w:p w14:paraId="5DF236BE" w14:textId="77777777" w:rsidR="000C465B" w:rsidRDefault="000C465B" w:rsidP="000C465B">
                      <w:pPr>
                        <w:widowControl w:val="0"/>
                        <w:rPr>
                          <w:szCs w:val="20"/>
                        </w:rPr>
                      </w:pPr>
                      <w:r>
                        <w:t> </w:t>
                      </w:r>
                    </w:p>
                  </w:txbxContent>
                </v:textbox>
              </v:shape>
            </w:pict>
          </mc:Fallback>
        </mc:AlternateContent>
      </w:r>
      <w:r w:rsidR="000C465B" w:rsidRPr="000C465B">
        <w:rPr>
          <w:noProof/>
          <w:sz w:val="24"/>
          <w:szCs w:val="24"/>
        </w:rPr>
        <mc:AlternateContent>
          <mc:Choice Requires="wps">
            <w:drawing>
              <wp:anchor distT="36576" distB="36576" distL="36576" distR="36576" simplePos="0" relativeHeight="251716608" behindDoc="0" locked="0" layoutInCell="1" allowOverlap="1" wp14:anchorId="68913DB2" wp14:editId="25FDE0B5">
                <wp:simplePos x="0" y="0"/>
                <wp:positionH relativeFrom="column">
                  <wp:posOffset>-47625</wp:posOffset>
                </wp:positionH>
                <wp:positionV relativeFrom="paragraph">
                  <wp:posOffset>40640</wp:posOffset>
                </wp:positionV>
                <wp:extent cx="2066925" cy="7648575"/>
                <wp:effectExtent l="0" t="0" r="9525" b="9525"/>
                <wp:wrapNone/>
                <wp:docPr id="5707096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648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E51727" w14:textId="77777777" w:rsidR="000C465B" w:rsidRPr="0089020A" w:rsidRDefault="000C465B" w:rsidP="000C465B">
                            <w:pPr>
                              <w:widowControl w:val="0"/>
                              <w:spacing w:after="0"/>
                              <w:jc w:val="left"/>
                              <w:rPr>
                                <w:b/>
                                <w:bCs/>
                                <w:sz w:val="24"/>
                                <w:szCs w:val="24"/>
                              </w:rPr>
                            </w:pPr>
                            <w:r w:rsidRPr="0089020A">
                              <w:rPr>
                                <w:b/>
                                <w:bCs/>
                                <w:sz w:val="24"/>
                                <w:szCs w:val="24"/>
                              </w:rPr>
                              <w:t xml:space="preserve">Contains Nonbinding </w:t>
                            </w:r>
                          </w:p>
                          <w:p w14:paraId="21B61FD1" w14:textId="77777777" w:rsidR="000C465B" w:rsidRPr="0089020A" w:rsidRDefault="000C465B" w:rsidP="000C465B">
                            <w:pPr>
                              <w:widowControl w:val="0"/>
                              <w:spacing w:after="0"/>
                              <w:jc w:val="left"/>
                              <w:rPr>
                                <w:b/>
                                <w:bCs/>
                                <w:sz w:val="24"/>
                                <w:szCs w:val="24"/>
                              </w:rPr>
                            </w:pPr>
                            <w:r w:rsidRPr="0089020A">
                              <w:rPr>
                                <w:b/>
                                <w:bCs/>
                                <w:sz w:val="24"/>
                                <w:szCs w:val="24"/>
                              </w:rPr>
                              <w:t>Recommendations</w:t>
                            </w:r>
                          </w:p>
                          <w:p w14:paraId="62EF56F0" w14:textId="77777777" w:rsidR="000C465B" w:rsidRDefault="000C465B" w:rsidP="000C465B">
                            <w:pPr>
                              <w:widowControl w:val="0"/>
                              <w:spacing w:after="0"/>
                              <w:rPr>
                                <w:b/>
                                <w:bCs/>
                                <w:sz w:val="28"/>
                                <w:szCs w:val="28"/>
                              </w:rPr>
                            </w:pPr>
                            <w:r>
                              <w:rPr>
                                <w:b/>
                                <w:bCs/>
                                <w:sz w:val="28"/>
                                <w:szCs w:val="28"/>
                              </w:rPr>
                              <w:t> </w:t>
                            </w:r>
                          </w:p>
                          <w:p w14:paraId="12E71001" w14:textId="77777777" w:rsidR="000C465B" w:rsidRDefault="000C465B" w:rsidP="000C465B">
                            <w:pPr>
                              <w:widowControl w:val="0"/>
                              <w:spacing w:after="0"/>
                              <w:jc w:val="left"/>
                              <w:rPr>
                                <w:b/>
                                <w:bCs/>
                                <w:sz w:val="24"/>
                                <w:szCs w:val="24"/>
                              </w:rPr>
                            </w:pPr>
                            <w:r>
                              <w:rPr>
                                <w:b/>
                                <w:bCs/>
                                <w:sz w:val="24"/>
                                <w:szCs w:val="24"/>
                              </w:rPr>
                              <w:t xml:space="preserve">Guidance and </w:t>
                            </w:r>
                          </w:p>
                          <w:p w14:paraId="455DAF89" w14:textId="77777777" w:rsidR="000C465B" w:rsidRDefault="000C465B" w:rsidP="000C465B">
                            <w:pPr>
                              <w:widowControl w:val="0"/>
                              <w:spacing w:after="0"/>
                              <w:jc w:val="left"/>
                              <w:rPr>
                                <w:b/>
                                <w:bCs/>
                                <w:sz w:val="24"/>
                                <w:szCs w:val="24"/>
                              </w:rPr>
                            </w:pPr>
                            <w:r>
                              <w:rPr>
                                <w:b/>
                                <w:bCs/>
                                <w:sz w:val="24"/>
                                <w:szCs w:val="24"/>
                              </w:rPr>
                              <w:t xml:space="preserve">Recommendations to </w:t>
                            </w:r>
                          </w:p>
                          <w:p w14:paraId="3623E4F3" w14:textId="77777777" w:rsidR="000C465B" w:rsidRDefault="000C465B" w:rsidP="000C465B">
                            <w:pPr>
                              <w:widowControl w:val="0"/>
                              <w:spacing w:after="0"/>
                              <w:jc w:val="left"/>
                              <w:rPr>
                                <w:b/>
                                <w:bCs/>
                                <w:sz w:val="24"/>
                                <w:szCs w:val="24"/>
                              </w:rPr>
                            </w:pPr>
                            <w:r>
                              <w:rPr>
                                <w:b/>
                                <w:bCs/>
                                <w:sz w:val="24"/>
                                <w:szCs w:val="24"/>
                              </w:rPr>
                              <w:t xml:space="preserve">Manufacturers and Regulators on Best Practices for U.S. </w:t>
                            </w:r>
                          </w:p>
                          <w:p w14:paraId="1A131160" w14:textId="77777777" w:rsidR="000C465B" w:rsidRDefault="000C465B" w:rsidP="000C465B">
                            <w:pPr>
                              <w:widowControl w:val="0"/>
                              <w:spacing w:after="0"/>
                              <w:jc w:val="left"/>
                              <w:rPr>
                                <w:b/>
                                <w:bCs/>
                                <w:sz w:val="24"/>
                                <w:szCs w:val="24"/>
                              </w:rPr>
                            </w:pPr>
                            <w:r>
                              <w:rPr>
                                <w:b/>
                                <w:bCs/>
                                <w:sz w:val="24"/>
                                <w:szCs w:val="24"/>
                              </w:rPr>
                              <w:t>Packages</w:t>
                            </w:r>
                          </w:p>
                          <w:p w14:paraId="688E5435" w14:textId="77777777" w:rsidR="000C465B" w:rsidRPr="009F4B77" w:rsidRDefault="000C465B" w:rsidP="000C465B">
                            <w:pPr>
                              <w:widowControl w:val="0"/>
                              <w:spacing w:after="0"/>
                              <w:jc w:val="left"/>
                              <w:rPr>
                                <w:b/>
                                <w:bCs/>
                                <w:sz w:val="10"/>
                                <w:szCs w:val="10"/>
                              </w:rPr>
                            </w:pPr>
                          </w:p>
                          <w:p w14:paraId="37416845" w14:textId="77777777" w:rsidR="000C465B" w:rsidRDefault="000C465B" w:rsidP="000C465B">
                            <w:pPr>
                              <w:spacing w:after="160"/>
                              <w:jc w:val="left"/>
                              <w:rPr>
                                <w:b/>
                                <w:bCs/>
                                <w:sz w:val="24"/>
                                <w:szCs w:val="24"/>
                              </w:rPr>
                            </w:pPr>
                            <w:r>
                              <w:rPr>
                                <w:b/>
                                <w:bCs/>
                                <w:sz w:val="24"/>
                                <w:szCs w:val="24"/>
                              </w:rPr>
                              <w:t>Quantity-Related Expressions Appearing on the Principal    Display Panel separate from   the Required Statement of Quantity</w:t>
                            </w:r>
                          </w:p>
                          <w:p w14:paraId="6349F1EF" w14:textId="77777777" w:rsidR="000C465B" w:rsidRPr="000C465B" w:rsidRDefault="000C465B" w:rsidP="000C465B">
                            <w:pPr>
                              <w:spacing w:line="360" w:lineRule="auto"/>
                              <w:jc w:val="left"/>
                              <w:rPr>
                                <w:i/>
                                <w:iCs/>
                                <w:sz w:val="22"/>
                              </w:rPr>
                            </w:pPr>
                            <w:r w:rsidRPr="000C465B">
                              <w:rPr>
                                <w:i/>
                                <w:iCs/>
                                <w:sz w:val="22"/>
                              </w:rPr>
                              <w:t xml:space="preserve">This document is intended to      provide guidance and                  recommendations regarding best practices for quantity-oriented    expressions which appear on a product Principal Display Panel (PDP) in addition to the required Declaration of Net Quantity (DoNQ). The National Council     on Weights and Measures (NCWM) has drafted this document to help manufacturers, regulators and retailers assure  this added information is truthful, non-misleading and is presented  in a manner that complements    the required Declaration of        Net Quantity.    </w:t>
                            </w:r>
                          </w:p>
                          <w:p w14:paraId="26D359FB" w14:textId="77777777" w:rsidR="000C465B" w:rsidRDefault="000C465B" w:rsidP="000C465B">
                            <w:pPr>
                              <w:rPr>
                                <w:rFonts w:ascii="Calibri" w:hAnsi="Calibri" w:cs="Calibri"/>
                                <w:b/>
                                <w:bCs/>
                                <w:sz w:val="24"/>
                                <w:szCs w:val="24"/>
                              </w:rPr>
                            </w:pPr>
                            <w:r>
                              <w:rPr>
                                <w:b/>
                                <w:bC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3DB2" id="Text Box 53" o:spid="_x0000_s1030" type="#_x0000_t202" style="position:absolute;margin-left:-3.75pt;margin-top:3.2pt;width:162.75pt;height:602.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" filled="f" fillcolor="#5b9bd5" stroked="f" strokecolor="black [0]" strokeweight="2pt">
                <v:textbox inset="2.88pt,2.88pt,2.88pt,2.88pt">
                  <w:txbxContent>
                    <w:p w14:paraId="5AE51727" w14:textId="77777777" w:rsidR="000C465B" w:rsidRPr="0089020A" w:rsidRDefault="000C465B" w:rsidP="000C465B">
                      <w:pPr>
                        <w:widowControl w:val="0"/>
                        <w:spacing w:after="0"/>
                        <w:jc w:val="left"/>
                        <w:rPr>
                          <w:b/>
                          <w:bCs/>
                          <w:sz w:val="24"/>
                          <w:szCs w:val="24"/>
                        </w:rPr>
                      </w:pPr>
                      <w:r w:rsidRPr="0089020A">
                        <w:rPr>
                          <w:b/>
                          <w:bCs/>
                          <w:sz w:val="24"/>
                          <w:szCs w:val="24"/>
                        </w:rPr>
                        <w:t xml:space="preserve">Contains Nonbinding </w:t>
                      </w:r>
                    </w:p>
                    <w:p w14:paraId="21B61FD1" w14:textId="77777777" w:rsidR="000C465B" w:rsidRPr="0089020A" w:rsidRDefault="000C465B" w:rsidP="000C465B">
                      <w:pPr>
                        <w:widowControl w:val="0"/>
                        <w:spacing w:after="0"/>
                        <w:jc w:val="left"/>
                        <w:rPr>
                          <w:b/>
                          <w:bCs/>
                          <w:sz w:val="24"/>
                          <w:szCs w:val="24"/>
                        </w:rPr>
                      </w:pPr>
                      <w:r w:rsidRPr="0089020A">
                        <w:rPr>
                          <w:b/>
                          <w:bCs/>
                          <w:sz w:val="24"/>
                          <w:szCs w:val="24"/>
                        </w:rPr>
                        <w:t>Recommendations</w:t>
                      </w:r>
                    </w:p>
                    <w:p w14:paraId="62EF56F0" w14:textId="77777777" w:rsidR="000C465B" w:rsidRDefault="000C465B" w:rsidP="000C465B">
                      <w:pPr>
                        <w:widowControl w:val="0"/>
                        <w:spacing w:after="0"/>
                        <w:rPr>
                          <w:b/>
                          <w:bCs/>
                          <w:sz w:val="28"/>
                          <w:szCs w:val="28"/>
                        </w:rPr>
                      </w:pPr>
                      <w:r>
                        <w:rPr>
                          <w:b/>
                          <w:bCs/>
                          <w:sz w:val="28"/>
                          <w:szCs w:val="28"/>
                        </w:rPr>
                        <w:t> </w:t>
                      </w:r>
                    </w:p>
                    <w:p w14:paraId="12E71001" w14:textId="77777777" w:rsidR="000C465B" w:rsidRDefault="000C465B" w:rsidP="000C465B">
                      <w:pPr>
                        <w:widowControl w:val="0"/>
                        <w:spacing w:after="0"/>
                        <w:jc w:val="left"/>
                        <w:rPr>
                          <w:b/>
                          <w:bCs/>
                          <w:sz w:val="24"/>
                          <w:szCs w:val="24"/>
                        </w:rPr>
                      </w:pPr>
                      <w:r>
                        <w:rPr>
                          <w:b/>
                          <w:bCs/>
                          <w:sz w:val="24"/>
                          <w:szCs w:val="24"/>
                        </w:rPr>
                        <w:t xml:space="preserve">Guidance and </w:t>
                      </w:r>
                    </w:p>
                    <w:p w14:paraId="455DAF89" w14:textId="77777777" w:rsidR="000C465B" w:rsidRDefault="000C465B" w:rsidP="000C465B">
                      <w:pPr>
                        <w:widowControl w:val="0"/>
                        <w:spacing w:after="0"/>
                        <w:jc w:val="left"/>
                        <w:rPr>
                          <w:b/>
                          <w:bCs/>
                          <w:sz w:val="24"/>
                          <w:szCs w:val="24"/>
                        </w:rPr>
                      </w:pPr>
                      <w:r>
                        <w:rPr>
                          <w:b/>
                          <w:bCs/>
                          <w:sz w:val="24"/>
                          <w:szCs w:val="24"/>
                        </w:rPr>
                        <w:t xml:space="preserve">Recommendations to </w:t>
                      </w:r>
                    </w:p>
                    <w:p w14:paraId="3623E4F3" w14:textId="77777777" w:rsidR="000C465B" w:rsidRDefault="000C465B" w:rsidP="000C465B">
                      <w:pPr>
                        <w:widowControl w:val="0"/>
                        <w:spacing w:after="0"/>
                        <w:jc w:val="left"/>
                        <w:rPr>
                          <w:b/>
                          <w:bCs/>
                          <w:sz w:val="24"/>
                          <w:szCs w:val="24"/>
                        </w:rPr>
                      </w:pPr>
                      <w:r>
                        <w:rPr>
                          <w:b/>
                          <w:bCs/>
                          <w:sz w:val="24"/>
                          <w:szCs w:val="24"/>
                        </w:rPr>
                        <w:t xml:space="preserve">Manufacturers and Regulators on Best Practices for U.S. </w:t>
                      </w:r>
                    </w:p>
                    <w:p w14:paraId="1A131160" w14:textId="77777777" w:rsidR="000C465B" w:rsidRDefault="000C465B" w:rsidP="000C465B">
                      <w:pPr>
                        <w:widowControl w:val="0"/>
                        <w:spacing w:after="0"/>
                        <w:jc w:val="left"/>
                        <w:rPr>
                          <w:b/>
                          <w:bCs/>
                          <w:sz w:val="24"/>
                          <w:szCs w:val="24"/>
                        </w:rPr>
                      </w:pPr>
                      <w:r>
                        <w:rPr>
                          <w:b/>
                          <w:bCs/>
                          <w:sz w:val="24"/>
                          <w:szCs w:val="24"/>
                        </w:rPr>
                        <w:t>Packages</w:t>
                      </w:r>
                    </w:p>
                    <w:p w14:paraId="688E5435" w14:textId="77777777" w:rsidR="000C465B" w:rsidRPr="009F4B77" w:rsidRDefault="000C465B" w:rsidP="000C465B">
                      <w:pPr>
                        <w:widowControl w:val="0"/>
                        <w:spacing w:after="0"/>
                        <w:jc w:val="left"/>
                        <w:rPr>
                          <w:b/>
                          <w:bCs/>
                          <w:sz w:val="10"/>
                          <w:szCs w:val="10"/>
                        </w:rPr>
                      </w:pPr>
                    </w:p>
                    <w:p w14:paraId="37416845" w14:textId="77777777" w:rsidR="000C465B" w:rsidRDefault="000C465B" w:rsidP="000C465B">
                      <w:pPr>
                        <w:spacing w:after="160"/>
                        <w:jc w:val="left"/>
                        <w:rPr>
                          <w:b/>
                          <w:bCs/>
                          <w:sz w:val="24"/>
                          <w:szCs w:val="24"/>
                        </w:rPr>
                      </w:pPr>
                      <w:r>
                        <w:rPr>
                          <w:b/>
                          <w:bCs/>
                          <w:sz w:val="24"/>
                          <w:szCs w:val="24"/>
                        </w:rPr>
                        <w:t>Quantity-Related Expressions Appearing on the Principal    Display Panel separate from   the Required Statement of Quantity</w:t>
                      </w:r>
                    </w:p>
                    <w:p w14:paraId="6349F1EF" w14:textId="77777777" w:rsidR="000C465B" w:rsidRPr="000C465B" w:rsidRDefault="000C465B" w:rsidP="000C465B">
                      <w:pPr>
                        <w:spacing w:line="360" w:lineRule="auto"/>
                        <w:jc w:val="left"/>
                        <w:rPr>
                          <w:i/>
                          <w:iCs/>
                          <w:sz w:val="22"/>
                        </w:rPr>
                      </w:pPr>
                      <w:r w:rsidRPr="000C465B">
                        <w:rPr>
                          <w:i/>
                          <w:iCs/>
                          <w:sz w:val="22"/>
                        </w:rPr>
                        <w:t xml:space="preserve">This document is intended to      provide guidance and                  recommendations regarding best practices for quantity-oriented    expressions which appear on a product Principal Display Panel (PDP) in addition to the required Declaration of Net Quantity (DoNQ). The National Council     on Weights and Measures (NCWM) has drafted this document to help manufacturers, regulators and retailers assure  this added information is truthful, non-misleading and is presented  in a manner that complements    the required Declaration of        Net Quantity.    </w:t>
                      </w:r>
                    </w:p>
                    <w:p w14:paraId="26D359FB" w14:textId="77777777" w:rsidR="000C465B" w:rsidRDefault="000C465B" w:rsidP="000C465B">
                      <w:pPr>
                        <w:rPr>
                          <w:rFonts w:ascii="Calibri" w:hAnsi="Calibri" w:cs="Calibri"/>
                          <w:b/>
                          <w:bCs/>
                          <w:sz w:val="24"/>
                          <w:szCs w:val="24"/>
                        </w:rPr>
                      </w:pPr>
                      <w:r>
                        <w:rPr>
                          <w:b/>
                          <w:bCs/>
                          <w:sz w:val="24"/>
                          <w:szCs w:val="24"/>
                        </w:rPr>
                        <w:t xml:space="preserve"> </w:t>
                      </w:r>
                    </w:p>
                  </w:txbxContent>
                </v:textbox>
              </v:shape>
            </w:pict>
          </mc:Fallback>
        </mc:AlternateContent>
      </w:r>
    </w:p>
    <w:p w14:paraId="42326D67" w14:textId="77777777" w:rsidR="000C465B" w:rsidRPr="000C465B" w:rsidRDefault="000C465B" w:rsidP="000C465B">
      <w:pPr>
        <w:spacing w:after="200" w:line="276" w:lineRule="auto"/>
        <w:jc w:val="left"/>
        <w:rPr>
          <w:rFonts w:ascii="Calibri" w:hAnsi="Calibri"/>
          <w:b/>
          <w:color w:val="FF0000"/>
          <w:sz w:val="22"/>
        </w:rPr>
      </w:pPr>
      <w:r w:rsidRPr="000C465B">
        <w:rPr>
          <w:rFonts w:ascii="Calibri" w:hAnsi="Calibri"/>
          <w:b/>
          <w:noProof/>
          <w:color w:val="FF0000"/>
          <w:sz w:val="22"/>
        </w:rPr>
        <mc:AlternateContent>
          <mc:Choice Requires="wps">
            <w:drawing>
              <wp:anchor distT="0" distB="0" distL="114300" distR="114300" simplePos="0" relativeHeight="251717632" behindDoc="0" locked="0" layoutInCell="1" allowOverlap="1" wp14:anchorId="2E3B73B8" wp14:editId="39D31E07">
                <wp:simplePos x="0" y="0"/>
                <wp:positionH relativeFrom="column">
                  <wp:posOffset>-10160</wp:posOffset>
                </wp:positionH>
                <wp:positionV relativeFrom="paragraph">
                  <wp:posOffset>269875</wp:posOffset>
                </wp:positionV>
                <wp:extent cx="1914525" cy="0"/>
                <wp:effectExtent l="0" t="19050" r="47625" b="38100"/>
                <wp:wrapNone/>
                <wp:docPr id="283283664" name="Straight Connector 56"/>
                <wp:cNvGraphicFramePr/>
                <a:graphic xmlns:a="http://schemas.openxmlformats.org/drawingml/2006/main">
                  <a:graphicData uri="http://schemas.microsoft.com/office/word/2010/wordprocessingShape">
                    <wps:wsp>
                      <wps:cNvCnPr/>
                      <wps:spPr>
                        <a:xfrm>
                          <a:off x="0" y="0"/>
                          <a:ext cx="1914525" cy="0"/>
                        </a:xfrm>
                        <a:prstGeom prst="line">
                          <a:avLst/>
                        </a:prstGeom>
                        <a:noFill/>
                        <a:ln w="57150" cap="flat" cmpd="sng" algn="ctr">
                          <a:solidFill>
                            <a:sysClr val="window" lastClr="FFFFFF">
                              <a:lumMod val="50000"/>
                            </a:sysClr>
                          </a:solidFill>
                          <a:prstDash val="solid"/>
                        </a:ln>
                        <a:effectLst/>
                      </wps:spPr>
                      <wps:bodyPr/>
                    </wps:wsp>
                  </a:graphicData>
                </a:graphic>
              </wp:anchor>
            </w:drawing>
          </mc:Choice>
          <mc:Fallback>
            <w:pict>
              <v:line w14:anchorId="47FF60CA" id="Straight Connector 5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pt,21.25pt" to="149.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" strokecolor="#7f7f7f" strokeweight="4.5pt"/>
            </w:pict>
          </mc:Fallback>
        </mc:AlternateContent>
      </w:r>
    </w:p>
    <w:p w14:paraId="239BE8B4" w14:textId="77777777" w:rsidR="000C465B" w:rsidRPr="000C465B" w:rsidRDefault="000C465B" w:rsidP="000C465B">
      <w:pPr>
        <w:spacing w:after="200" w:line="276" w:lineRule="auto"/>
        <w:jc w:val="left"/>
        <w:rPr>
          <w:rFonts w:ascii="Calibri" w:hAnsi="Calibri"/>
          <w:b/>
          <w:color w:val="FF0000"/>
          <w:sz w:val="22"/>
        </w:rPr>
      </w:pPr>
    </w:p>
    <w:p w14:paraId="2F3B0487" w14:textId="77777777" w:rsidR="000C465B" w:rsidRPr="000C465B" w:rsidRDefault="000C465B" w:rsidP="000C465B">
      <w:pPr>
        <w:spacing w:after="200" w:line="276" w:lineRule="auto"/>
        <w:jc w:val="left"/>
        <w:rPr>
          <w:rFonts w:ascii="Calibri" w:hAnsi="Calibri"/>
          <w:b/>
          <w:color w:val="FF0000"/>
          <w:sz w:val="22"/>
        </w:rPr>
      </w:pPr>
    </w:p>
    <w:p w14:paraId="06297F4C" w14:textId="77777777" w:rsidR="000C465B" w:rsidRPr="000C465B" w:rsidRDefault="000C465B" w:rsidP="000C465B">
      <w:pPr>
        <w:spacing w:after="200" w:line="276" w:lineRule="auto"/>
        <w:jc w:val="left"/>
        <w:rPr>
          <w:rFonts w:ascii="Calibri" w:hAnsi="Calibri"/>
          <w:b/>
          <w:color w:val="FF0000"/>
          <w:sz w:val="22"/>
        </w:rPr>
      </w:pPr>
    </w:p>
    <w:p w14:paraId="01052855" w14:textId="77777777" w:rsidR="000C465B" w:rsidRPr="000C465B" w:rsidRDefault="000C465B" w:rsidP="000C465B">
      <w:pPr>
        <w:spacing w:after="200" w:line="276" w:lineRule="auto"/>
        <w:jc w:val="left"/>
        <w:rPr>
          <w:rFonts w:ascii="Calibri" w:hAnsi="Calibri"/>
          <w:b/>
          <w:color w:val="FF0000"/>
          <w:sz w:val="22"/>
        </w:rPr>
      </w:pPr>
    </w:p>
    <w:p w14:paraId="3DE8EE51" w14:textId="77777777" w:rsidR="000C465B" w:rsidRPr="000C465B" w:rsidRDefault="000C465B" w:rsidP="000C465B">
      <w:pPr>
        <w:spacing w:after="200" w:line="276" w:lineRule="auto"/>
        <w:jc w:val="left"/>
        <w:rPr>
          <w:rFonts w:ascii="Calibri" w:hAnsi="Calibri"/>
          <w:b/>
          <w:color w:val="FF0000"/>
          <w:sz w:val="22"/>
        </w:rPr>
      </w:pPr>
    </w:p>
    <w:p w14:paraId="2C0B5E10" w14:textId="77777777" w:rsidR="000C465B" w:rsidRPr="000C465B" w:rsidRDefault="000C465B" w:rsidP="000C465B">
      <w:pPr>
        <w:spacing w:after="200" w:line="276" w:lineRule="auto"/>
        <w:jc w:val="left"/>
        <w:rPr>
          <w:rFonts w:ascii="Calibri" w:hAnsi="Calibri"/>
          <w:b/>
          <w:color w:val="FF0000"/>
          <w:sz w:val="22"/>
        </w:rPr>
      </w:pPr>
    </w:p>
    <w:p w14:paraId="4B245970" w14:textId="77777777" w:rsidR="000C465B" w:rsidRPr="000C465B" w:rsidRDefault="000C465B" w:rsidP="000C465B">
      <w:pPr>
        <w:spacing w:after="200" w:line="276" w:lineRule="auto"/>
        <w:jc w:val="left"/>
        <w:rPr>
          <w:rFonts w:ascii="Calibri" w:hAnsi="Calibri"/>
          <w:b/>
          <w:color w:val="FF0000"/>
          <w:sz w:val="22"/>
        </w:rPr>
      </w:pPr>
    </w:p>
    <w:p w14:paraId="4C87FE6B" w14:textId="77777777" w:rsidR="000C465B" w:rsidRPr="000C465B" w:rsidRDefault="000C465B" w:rsidP="000C465B">
      <w:pPr>
        <w:spacing w:after="200" w:line="276" w:lineRule="auto"/>
        <w:jc w:val="left"/>
        <w:rPr>
          <w:rFonts w:ascii="Calibri" w:hAnsi="Calibri"/>
          <w:b/>
          <w:color w:val="FF0000"/>
          <w:sz w:val="22"/>
        </w:rPr>
      </w:pPr>
    </w:p>
    <w:p w14:paraId="18383BD2" w14:textId="77777777" w:rsidR="000C465B" w:rsidRPr="000C465B" w:rsidRDefault="000C465B" w:rsidP="000C465B">
      <w:pPr>
        <w:spacing w:after="200" w:line="276" w:lineRule="auto"/>
        <w:jc w:val="left"/>
        <w:rPr>
          <w:rFonts w:ascii="Calibri" w:hAnsi="Calibri"/>
          <w:b/>
          <w:color w:val="FF0000"/>
          <w:sz w:val="22"/>
        </w:rPr>
      </w:pPr>
    </w:p>
    <w:p w14:paraId="405B9ED0" w14:textId="77777777" w:rsidR="000C465B" w:rsidRPr="000C465B" w:rsidRDefault="000C465B" w:rsidP="000C465B">
      <w:pPr>
        <w:spacing w:after="200" w:line="276" w:lineRule="auto"/>
        <w:jc w:val="left"/>
        <w:rPr>
          <w:rFonts w:ascii="Calibri" w:hAnsi="Calibri"/>
          <w:b/>
          <w:color w:val="FF0000"/>
          <w:sz w:val="22"/>
        </w:rPr>
      </w:pPr>
    </w:p>
    <w:p w14:paraId="15E85BE5" w14:textId="77777777" w:rsidR="000C465B" w:rsidRPr="000C465B" w:rsidRDefault="000C465B" w:rsidP="000C465B">
      <w:pPr>
        <w:spacing w:after="200" w:line="276" w:lineRule="auto"/>
        <w:jc w:val="left"/>
        <w:rPr>
          <w:rFonts w:ascii="Calibri" w:hAnsi="Calibri"/>
          <w:b/>
          <w:color w:val="FF0000"/>
          <w:sz w:val="22"/>
        </w:rPr>
      </w:pPr>
    </w:p>
    <w:p w14:paraId="0E1A1ADD" w14:textId="77777777" w:rsidR="000C465B" w:rsidRPr="000C465B" w:rsidRDefault="000C465B" w:rsidP="000C465B">
      <w:pPr>
        <w:spacing w:after="200" w:line="276" w:lineRule="auto"/>
        <w:jc w:val="left"/>
        <w:rPr>
          <w:rFonts w:ascii="Calibri" w:hAnsi="Calibri"/>
          <w:b/>
          <w:color w:val="FF0000"/>
          <w:sz w:val="22"/>
        </w:rPr>
      </w:pPr>
    </w:p>
    <w:p w14:paraId="1A854C61" w14:textId="77777777" w:rsidR="000C465B" w:rsidRPr="000C465B" w:rsidRDefault="000C465B" w:rsidP="000C465B">
      <w:pPr>
        <w:spacing w:after="200" w:line="276" w:lineRule="auto"/>
        <w:jc w:val="left"/>
        <w:rPr>
          <w:rFonts w:ascii="Calibri" w:hAnsi="Calibri"/>
          <w:b/>
          <w:color w:val="FF0000"/>
          <w:sz w:val="22"/>
        </w:rPr>
      </w:pPr>
    </w:p>
    <w:p w14:paraId="06CFF2A5" w14:textId="77777777" w:rsidR="000C465B" w:rsidRPr="000C465B" w:rsidRDefault="000C465B" w:rsidP="000C465B">
      <w:pPr>
        <w:spacing w:after="200" w:line="276" w:lineRule="auto"/>
        <w:jc w:val="left"/>
        <w:rPr>
          <w:rFonts w:ascii="Calibri" w:hAnsi="Calibri"/>
          <w:b/>
          <w:color w:val="FF0000"/>
          <w:sz w:val="22"/>
        </w:rPr>
      </w:pPr>
    </w:p>
    <w:p w14:paraId="729C4967" w14:textId="77777777" w:rsidR="000C465B" w:rsidRDefault="000C465B" w:rsidP="000C465B">
      <w:pPr>
        <w:spacing w:after="200" w:line="276" w:lineRule="auto"/>
        <w:jc w:val="left"/>
        <w:rPr>
          <w:rFonts w:ascii="Calibri" w:hAnsi="Calibri"/>
          <w:b/>
          <w:color w:val="FF0000"/>
          <w:sz w:val="22"/>
        </w:rPr>
      </w:pPr>
    </w:p>
    <w:p w14:paraId="4EDA2E0B" w14:textId="77777777" w:rsidR="000C465B" w:rsidRPr="000C465B" w:rsidRDefault="000C465B" w:rsidP="000C465B">
      <w:pPr>
        <w:spacing w:after="200" w:line="276" w:lineRule="auto"/>
        <w:jc w:val="left"/>
        <w:rPr>
          <w:rFonts w:ascii="Calibri" w:hAnsi="Calibri"/>
          <w:b/>
          <w:color w:val="FF0000"/>
          <w:sz w:val="22"/>
        </w:rPr>
      </w:pPr>
    </w:p>
    <w:p w14:paraId="70B8EDB9" w14:textId="77777777" w:rsidR="000C465B" w:rsidRPr="000C465B" w:rsidRDefault="000C465B" w:rsidP="000C465B">
      <w:pPr>
        <w:spacing w:after="200" w:line="276" w:lineRule="auto"/>
        <w:jc w:val="left"/>
        <w:rPr>
          <w:rFonts w:ascii="Calibri" w:hAnsi="Calibri"/>
          <w:b/>
          <w:color w:val="FF0000"/>
          <w:sz w:val="22"/>
        </w:rPr>
      </w:pPr>
    </w:p>
    <w:p w14:paraId="0184D569" w14:textId="77777777" w:rsidR="000C465B" w:rsidRPr="000C465B" w:rsidRDefault="000C465B" w:rsidP="000C465B">
      <w:pPr>
        <w:spacing w:after="200" w:line="276" w:lineRule="auto"/>
        <w:jc w:val="left"/>
        <w:rPr>
          <w:rFonts w:ascii="Calibri" w:hAnsi="Calibri"/>
          <w:b/>
          <w:color w:val="FF0000"/>
          <w:sz w:val="22"/>
        </w:rPr>
      </w:pPr>
    </w:p>
    <w:p w14:paraId="5FFBD2B7" w14:textId="77777777" w:rsidR="000C465B" w:rsidRPr="000C465B" w:rsidRDefault="000C465B" w:rsidP="000C465B">
      <w:pPr>
        <w:spacing w:after="200" w:line="276" w:lineRule="auto"/>
        <w:jc w:val="left"/>
        <w:rPr>
          <w:rFonts w:ascii="Calibri" w:hAnsi="Calibri"/>
          <w:b/>
          <w:color w:val="FF0000"/>
          <w:sz w:val="22"/>
        </w:rPr>
      </w:pPr>
    </w:p>
    <w:p w14:paraId="5ACFB1D0" w14:textId="77777777" w:rsidR="000C465B" w:rsidRPr="000C465B" w:rsidRDefault="000C465B" w:rsidP="000C465B">
      <w:pPr>
        <w:spacing w:after="200" w:line="276" w:lineRule="auto"/>
        <w:jc w:val="left"/>
        <w:rPr>
          <w:rFonts w:ascii="Calibri" w:hAnsi="Calibri"/>
          <w:b/>
          <w:color w:val="FF0000"/>
          <w:sz w:val="22"/>
        </w:rPr>
      </w:pPr>
    </w:p>
    <w:p w14:paraId="6CE55D1D" w14:textId="77777777" w:rsidR="000C465B" w:rsidRPr="000C465B" w:rsidRDefault="000C465B" w:rsidP="000C465B">
      <w:pPr>
        <w:spacing w:after="200" w:line="276" w:lineRule="auto"/>
        <w:jc w:val="left"/>
        <w:rPr>
          <w:rFonts w:ascii="Calibri" w:hAnsi="Calibri"/>
          <w:b/>
          <w:color w:val="FF0000"/>
          <w:sz w:val="22"/>
        </w:rPr>
      </w:pPr>
    </w:p>
    <w:p w14:paraId="1632BD73" w14:textId="77777777" w:rsidR="000C465B" w:rsidRPr="000C465B" w:rsidRDefault="000C465B" w:rsidP="00F42F14">
      <w:pPr>
        <w:spacing w:after="0" w:line="276" w:lineRule="auto"/>
        <w:jc w:val="center"/>
        <w:rPr>
          <w:b/>
          <w:sz w:val="36"/>
          <w:szCs w:val="36"/>
        </w:rPr>
      </w:pPr>
      <w:bookmarkStart w:id="885" w:name="Introduction"/>
      <w:bookmarkEnd w:id="885"/>
      <w:r w:rsidRPr="000C465B">
        <w:rPr>
          <w:b/>
          <w:sz w:val="36"/>
          <w:szCs w:val="36"/>
        </w:rPr>
        <w:lastRenderedPageBreak/>
        <w:t>Introduction</w:t>
      </w:r>
    </w:p>
    <w:p w14:paraId="339A922F" w14:textId="77777777" w:rsidR="000C465B" w:rsidRPr="000C465B" w:rsidRDefault="000C465B" w:rsidP="000C465B">
      <w:pPr>
        <w:spacing w:after="200" w:line="276" w:lineRule="auto"/>
        <w:rPr>
          <w:szCs w:val="20"/>
        </w:rPr>
      </w:pPr>
      <w:r w:rsidRPr="000C465B">
        <w:rPr>
          <w:szCs w:val="20"/>
        </w:rPr>
        <w:t xml:space="preserve">A number of product package Principal Display Panel (PDP) labels provide additional information regarding product quantity or product performance beyond the information provided in the required Declaration of Net Quantity (DoNQ).   In some instances, providing additional information that is not present in the DoNQ can help consumers make more informed product selections. In other instances, providing additional information can help consumers more easily identify the product size they seek. In still other instances, providing additional information can help educate consumers about a new product form or concentration. In short, there are a number of appropriate reasons why a product manufacturer may feel compelled to provide additional information for consumers and also why consumers would want and use this information to make better and more informed product purchase decisions.  </w:t>
      </w:r>
    </w:p>
    <w:p w14:paraId="4BE6F1C3" w14:textId="77777777" w:rsidR="000C465B" w:rsidRPr="000C465B" w:rsidRDefault="000C465B" w:rsidP="000C465B">
      <w:pPr>
        <w:spacing w:after="200" w:line="276" w:lineRule="auto"/>
        <w:rPr>
          <w:szCs w:val="20"/>
        </w:rPr>
      </w:pPr>
      <w:r w:rsidRPr="000C465B">
        <w:rPr>
          <w:szCs w:val="20"/>
        </w:rPr>
        <w:t xml:space="preserve">While federal and state laws and regulations provide substantial detail regarding the accuracy, location, and appearance of the information appearing in the required Declaration of Net Quantity, provisions for the accuracy, location, and appearance of other quantity-related expressions which manufacturers may add to the PDP relate to general requirements pertaining to product claim content truthful and non-misleading statements. Yet there is little information available to guide manufacturers in the presentation of added quantity-related expressions and information. While the majority of product PDPs that provide consumers additional information do this effectively in a manner that aids consumers, package PDP labels that have caused concerns amongst regulators and consumers have been identified periodically.  In several previous instances, certain product PDP labels have been submitted to the NCWM for possible development of regulations targeting a specific practice viewed to be of concern. To date, the consensus of the NCWM has been that the development of this best practice document for manufacturers is a better and more holistic solution as opposed to narrowly targeted regulation. It is believed that best practice information will be valuable to manufacturers at the time they are contemplating package label design, it will assist regulators by providing a source they can direct questions and concerns, and the result will be providing consumers with the best information possible at the time they make value comparisons and product selections.  </w:t>
      </w:r>
    </w:p>
    <w:p w14:paraId="75D593C3" w14:textId="77777777" w:rsidR="000C465B" w:rsidRPr="000C465B" w:rsidRDefault="000C465B" w:rsidP="000C465B">
      <w:pPr>
        <w:spacing w:after="200" w:line="276" w:lineRule="auto"/>
        <w:rPr>
          <w:szCs w:val="20"/>
        </w:rPr>
      </w:pPr>
      <w:r w:rsidRPr="000C465B">
        <w:rPr>
          <w:szCs w:val="20"/>
        </w:rPr>
        <w:t xml:space="preserve">The recommendations contained herein are intended to provide guidance to manufacturers contemplating the inclusion of additional expressions on their packages to ensure the expressions are clear, accurate, balanced, and non-misleading. These recommendations are also intended to help regulators responsible for package labeling requirements create more consistency in the marketplace.    </w:t>
      </w:r>
    </w:p>
    <w:p w14:paraId="1D929C73" w14:textId="77777777" w:rsidR="000C465B" w:rsidRPr="000C465B" w:rsidRDefault="000C465B" w:rsidP="00F42F14">
      <w:pPr>
        <w:spacing w:after="120" w:line="276" w:lineRule="auto"/>
        <w:jc w:val="left"/>
        <w:rPr>
          <w:b/>
          <w:sz w:val="24"/>
          <w:szCs w:val="24"/>
        </w:rPr>
      </w:pPr>
      <w:r w:rsidRPr="000C465B">
        <w:rPr>
          <w:b/>
          <w:sz w:val="24"/>
          <w:szCs w:val="24"/>
        </w:rPr>
        <w:t xml:space="preserve">Organization of Document </w:t>
      </w:r>
    </w:p>
    <w:p w14:paraId="1C889DF4" w14:textId="77777777" w:rsidR="000C465B" w:rsidRPr="000C465B" w:rsidRDefault="000C465B" w:rsidP="000C465B">
      <w:pPr>
        <w:spacing w:after="200" w:line="276" w:lineRule="auto"/>
        <w:jc w:val="left"/>
        <w:rPr>
          <w:szCs w:val="20"/>
        </w:rPr>
      </w:pPr>
      <w:r w:rsidRPr="000C465B">
        <w:rPr>
          <w:szCs w:val="20"/>
        </w:rPr>
        <w:t xml:space="preserve">This Best Practice document is organized into the following sections to help the user focus on a specific topic, although it is recommended that the document be viewed in its entirety first.  </w:t>
      </w:r>
    </w:p>
    <w:p w14:paraId="402059A1" w14:textId="77777777" w:rsidR="000C465B" w:rsidRPr="000C465B" w:rsidRDefault="000C465B" w:rsidP="000C465B">
      <w:pPr>
        <w:numPr>
          <w:ilvl w:val="0"/>
          <w:numId w:val="124"/>
        </w:numPr>
        <w:spacing w:after="0" w:line="276" w:lineRule="auto"/>
        <w:contextualSpacing/>
        <w:jc w:val="left"/>
        <w:rPr>
          <w:szCs w:val="20"/>
        </w:rPr>
      </w:pPr>
      <w:r w:rsidRPr="000C465B">
        <w:rPr>
          <w:szCs w:val="20"/>
        </w:rPr>
        <w:t>Discussion of Supplemental Statements</w:t>
      </w:r>
    </w:p>
    <w:p w14:paraId="341B53F9" w14:textId="77777777" w:rsidR="000C465B" w:rsidRPr="000C465B" w:rsidRDefault="000C465B" w:rsidP="000C465B">
      <w:pPr>
        <w:numPr>
          <w:ilvl w:val="0"/>
          <w:numId w:val="124"/>
        </w:numPr>
        <w:spacing w:after="0" w:line="276" w:lineRule="auto"/>
        <w:contextualSpacing/>
        <w:jc w:val="left"/>
        <w:rPr>
          <w:szCs w:val="20"/>
        </w:rPr>
      </w:pPr>
      <w:r w:rsidRPr="000C465B">
        <w:rPr>
          <w:szCs w:val="20"/>
        </w:rPr>
        <w:t>Background on Additional Expressions</w:t>
      </w:r>
    </w:p>
    <w:p w14:paraId="1771532C" w14:textId="77777777" w:rsidR="000C465B" w:rsidRPr="000C465B" w:rsidRDefault="000C465B" w:rsidP="000C465B">
      <w:pPr>
        <w:numPr>
          <w:ilvl w:val="0"/>
          <w:numId w:val="124"/>
        </w:numPr>
        <w:spacing w:after="0" w:line="276" w:lineRule="auto"/>
        <w:contextualSpacing/>
        <w:jc w:val="left"/>
        <w:rPr>
          <w:szCs w:val="20"/>
        </w:rPr>
      </w:pPr>
      <w:r w:rsidRPr="000C465B">
        <w:rPr>
          <w:szCs w:val="20"/>
        </w:rPr>
        <w:t>Categories of Expressions</w:t>
      </w:r>
    </w:p>
    <w:p w14:paraId="71907F0C" w14:textId="77777777" w:rsidR="000C465B" w:rsidRPr="000C465B" w:rsidRDefault="000C465B" w:rsidP="000C465B">
      <w:pPr>
        <w:numPr>
          <w:ilvl w:val="0"/>
          <w:numId w:val="124"/>
        </w:numPr>
        <w:spacing w:after="0" w:line="276" w:lineRule="auto"/>
        <w:contextualSpacing/>
        <w:jc w:val="left"/>
        <w:rPr>
          <w:szCs w:val="20"/>
        </w:rPr>
      </w:pPr>
      <w:r w:rsidRPr="000C465B">
        <w:rPr>
          <w:szCs w:val="20"/>
        </w:rPr>
        <w:t>Principles and Recommendations by Expression Categories</w:t>
      </w:r>
    </w:p>
    <w:p w14:paraId="4F66D4D0" w14:textId="77777777" w:rsidR="000C465B" w:rsidRPr="000C465B" w:rsidRDefault="000C465B" w:rsidP="000C465B">
      <w:pPr>
        <w:numPr>
          <w:ilvl w:val="0"/>
          <w:numId w:val="124"/>
        </w:numPr>
        <w:spacing w:after="0" w:line="276" w:lineRule="auto"/>
        <w:contextualSpacing/>
        <w:jc w:val="left"/>
        <w:rPr>
          <w:szCs w:val="20"/>
        </w:rPr>
      </w:pPr>
      <w:r w:rsidRPr="000C465B">
        <w:rPr>
          <w:szCs w:val="20"/>
        </w:rPr>
        <w:t xml:space="preserve">Enforcement Discussion </w:t>
      </w:r>
    </w:p>
    <w:p w14:paraId="36FF074E" w14:textId="77777777" w:rsidR="000C465B" w:rsidRPr="000C465B" w:rsidRDefault="000C465B" w:rsidP="000C465B">
      <w:pPr>
        <w:numPr>
          <w:ilvl w:val="0"/>
          <w:numId w:val="124"/>
        </w:numPr>
        <w:spacing w:after="0" w:line="276" w:lineRule="auto"/>
        <w:contextualSpacing/>
        <w:jc w:val="left"/>
        <w:rPr>
          <w:szCs w:val="20"/>
        </w:rPr>
      </w:pPr>
      <w:r w:rsidRPr="000C465B">
        <w:rPr>
          <w:szCs w:val="20"/>
        </w:rPr>
        <w:t>Supplemental Statement Requirements and Interpretations (Appendix 1)</w:t>
      </w:r>
    </w:p>
    <w:p w14:paraId="70C809B5" w14:textId="77777777" w:rsidR="000C465B" w:rsidRPr="000C465B" w:rsidRDefault="000C465B" w:rsidP="000C465B">
      <w:pPr>
        <w:numPr>
          <w:ilvl w:val="0"/>
          <w:numId w:val="124"/>
        </w:numPr>
        <w:spacing w:after="0" w:line="276" w:lineRule="auto"/>
        <w:contextualSpacing/>
        <w:jc w:val="left"/>
        <w:rPr>
          <w:szCs w:val="20"/>
        </w:rPr>
      </w:pPr>
      <w:r w:rsidRPr="000C465B">
        <w:rPr>
          <w:szCs w:val="20"/>
        </w:rPr>
        <w:t>Illustrations and Discussion of Voluntarily Added Expressions (Appendix 2)</w:t>
      </w:r>
    </w:p>
    <w:p w14:paraId="452964CE" w14:textId="77777777" w:rsidR="000C465B" w:rsidRPr="000C465B" w:rsidRDefault="000C465B" w:rsidP="000C465B">
      <w:pPr>
        <w:spacing w:after="200" w:line="276" w:lineRule="auto"/>
        <w:jc w:val="left"/>
        <w:rPr>
          <w:szCs w:val="20"/>
        </w:rPr>
      </w:pPr>
    </w:p>
    <w:p w14:paraId="600D1D02" w14:textId="77777777" w:rsidR="000C465B" w:rsidRPr="000C465B" w:rsidRDefault="000C465B" w:rsidP="000C465B">
      <w:pPr>
        <w:spacing w:after="200" w:line="276" w:lineRule="auto"/>
        <w:rPr>
          <w:sz w:val="22"/>
        </w:rPr>
      </w:pPr>
      <w:r w:rsidRPr="000C465B">
        <w:rPr>
          <w:szCs w:val="20"/>
        </w:rPr>
        <w:t xml:space="preserve">The recommended procedure for using this document is to first identify the category (or categories) an expression fits within and then to review the detailed principles and recommendations that apply to that category (or categories).   </w:t>
      </w:r>
      <w:r w:rsidRPr="000C465B">
        <w:rPr>
          <w:sz w:val="22"/>
        </w:rPr>
        <w:t xml:space="preserve"> </w:t>
      </w:r>
    </w:p>
    <w:p w14:paraId="138031C6" w14:textId="77777777" w:rsidR="00810BDD" w:rsidRDefault="00810BDD" w:rsidP="000C465B">
      <w:pPr>
        <w:spacing w:after="200" w:line="276" w:lineRule="auto"/>
        <w:jc w:val="left"/>
        <w:rPr>
          <w:b/>
          <w:bCs/>
          <w:sz w:val="24"/>
          <w:szCs w:val="24"/>
        </w:rPr>
      </w:pPr>
    </w:p>
    <w:p w14:paraId="721EBE53" w14:textId="22B4F74E" w:rsidR="000C465B" w:rsidRPr="000C465B" w:rsidRDefault="000C465B" w:rsidP="000C465B">
      <w:pPr>
        <w:spacing w:after="200" w:line="276" w:lineRule="auto"/>
        <w:jc w:val="left"/>
        <w:rPr>
          <w:b/>
          <w:bCs/>
          <w:sz w:val="24"/>
          <w:szCs w:val="24"/>
        </w:rPr>
      </w:pPr>
      <w:r w:rsidRPr="000C465B">
        <w:rPr>
          <w:b/>
          <w:bCs/>
          <w:sz w:val="24"/>
          <w:szCs w:val="24"/>
        </w:rPr>
        <w:lastRenderedPageBreak/>
        <w:t>Discussion of Supplemental Statements</w:t>
      </w:r>
    </w:p>
    <w:p w14:paraId="207865DF" w14:textId="77777777" w:rsidR="000C465B" w:rsidRPr="000C465B" w:rsidRDefault="000C465B" w:rsidP="000C465B">
      <w:pPr>
        <w:spacing w:after="200" w:line="276" w:lineRule="auto"/>
        <w:rPr>
          <w:szCs w:val="20"/>
        </w:rPr>
      </w:pPr>
      <w:r w:rsidRPr="000C465B">
        <w:rPr>
          <w:szCs w:val="20"/>
        </w:rPr>
        <w:t>A common question is whether statements of the type described in this Best Practice Document would be considered “supplemental statements” and, therefore, not lawfully allowed on the Principal Display Panel (PDP).  This question stems from a Fair Packaging and Labeling Act (FPLA) provision that allows supplemental statements that describe the net quantity in nondeceptive terms, provided they appear “at other places on the package” than the net quantity of contents statement and existing regulations that state supplemental statements should not appear on the PDP.</w:t>
      </w:r>
    </w:p>
    <w:p w14:paraId="45E8EF42" w14:textId="77777777" w:rsidR="000C465B" w:rsidRPr="000C465B" w:rsidRDefault="000C465B" w:rsidP="000C465B">
      <w:pPr>
        <w:spacing w:after="200" w:line="276" w:lineRule="auto"/>
        <w:rPr>
          <w:szCs w:val="20"/>
        </w:rPr>
      </w:pPr>
      <w:r w:rsidRPr="000C465B">
        <w:rPr>
          <w:szCs w:val="20"/>
        </w:rPr>
        <w:t>A close review of regulatory precedent reveals surprisingly few statements that have been considered "supplemental" by regulators over the past fifty years.  Only one example of formal agency guidance identifying a specific statement as supplemental was located – an FDA determination that a weight declaration is supplemental on a product for which the net contents must be declared in fluid ounces. (FDA Fair Packaging and Labeling Manual Guide 7563.15 – historical – no longer published.)  In contrast, numerous statements have been expressly determined to be not supplemental, including directions for use, reconstitution statements (e.g., Makes 1 quart), voluntary declarations of drained weight combined with total package weight including packing liquids, voluntary declarations of count, and metric labeling (prior to metric labeling being mandatory).  Numerous other statements have existed in the marketplace for years without challenge.  Finally, in an era where consumers increasingly demand more information about the products they purchase and use, regulatory agencies are recognizing that providing accurate information in clear and non-misleading ways would appear to be beneficial to consumers.  Additional detail regarding the history of supplemental statements is in Appendix 1.</w:t>
      </w:r>
    </w:p>
    <w:p w14:paraId="142F8940" w14:textId="77777777" w:rsidR="000C465B" w:rsidRPr="000C465B" w:rsidRDefault="000C465B" w:rsidP="000C465B">
      <w:pPr>
        <w:spacing w:after="200" w:line="276" w:lineRule="auto"/>
        <w:rPr>
          <w:szCs w:val="20"/>
        </w:rPr>
      </w:pPr>
      <w:r w:rsidRPr="000C465B">
        <w:rPr>
          <w:szCs w:val="20"/>
        </w:rPr>
        <w:t xml:space="preserve">In light of the regulatory history, the statements in this Best Practice Document are not considered to be prohibited from appearing on the PDP.  Every manufacturer, however, must make independent judgments and be prepared to explain why individual statements are permissible.  Similarly, regulators may question specific package PDP statements that they believe are misleading or cause consumer confusion.  </w:t>
      </w:r>
    </w:p>
    <w:p w14:paraId="7EB120A8" w14:textId="77777777" w:rsidR="000C465B" w:rsidRPr="000C465B" w:rsidRDefault="000C465B" w:rsidP="000C465B">
      <w:pPr>
        <w:spacing w:after="200" w:line="276" w:lineRule="auto"/>
        <w:jc w:val="left"/>
        <w:rPr>
          <w:rFonts w:ascii="Calibri" w:hAnsi="Calibri"/>
          <w:b/>
          <w:sz w:val="40"/>
          <w:szCs w:val="40"/>
        </w:rPr>
      </w:pPr>
    </w:p>
    <w:p w14:paraId="6C3EC703" w14:textId="77777777" w:rsidR="000C465B" w:rsidRPr="000C465B" w:rsidRDefault="000C465B" w:rsidP="000C465B">
      <w:pPr>
        <w:spacing w:after="200" w:line="276" w:lineRule="auto"/>
        <w:jc w:val="left"/>
        <w:rPr>
          <w:rFonts w:ascii="Calibri" w:hAnsi="Calibri"/>
          <w:b/>
          <w:sz w:val="40"/>
          <w:szCs w:val="40"/>
        </w:rPr>
      </w:pPr>
    </w:p>
    <w:p w14:paraId="3F65B334" w14:textId="77777777" w:rsidR="000C465B" w:rsidRPr="000C465B" w:rsidRDefault="000C465B" w:rsidP="000C465B">
      <w:pPr>
        <w:spacing w:after="200" w:line="276" w:lineRule="auto"/>
        <w:jc w:val="left"/>
        <w:rPr>
          <w:rFonts w:ascii="Calibri" w:hAnsi="Calibri"/>
          <w:b/>
          <w:sz w:val="40"/>
          <w:szCs w:val="40"/>
        </w:rPr>
      </w:pPr>
    </w:p>
    <w:p w14:paraId="3B98A822" w14:textId="77777777" w:rsidR="000C465B" w:rsidRPr="000C465B" w:rsidRDefault="000C465B" w:rsidP="000C465B">
      <w:pPr>
        <w:spacing w:after="200" w:line="276" w:lineRule="auto"/>
        <w:jc w:val="left"/>
        <w:rPr>
          <w:rFonts w:ascii="Calibri" w:hAnsi="Calibri"/>
          <w:b/>
          <w:sz w:val="40"/>
          <w:szCs w:val="40"/>
        </w:rPr>
      </w:pPr>
    </w:p>
    <w:p w14:paraId="7724A484" w14:textId="77777777" w:rsidR="000C465B" w:rsidRPr="000C465B" w:rsidRDefault="000C465B" w:rsidP="00F42F14">
      <w:pPr>
        <w:pageBreakBefore/>
        <w:spacing w:after="120" w:line="276" w:lineRule="auto"/>
        <w:jc w:val="center"/>
        <w:rPr>
          <w:b/>
          <w:sz w:val="36"/>
          <w:szCs w:val="36"/>
        </w:rPr>
      </w:pPr>
      <w:bookmarkStart w:id="886" w:name="Background"/>
      <w:bookmarkEnd w:id="886"/>
      <w:r w:rsidRPr="000C465B">
        <w:rPr>
          <w:b/>
          <w:sz w:val="36"/>
          <w:szCs w:val="36"/>
        </w:rPr>
        <w:lastRenderedPageBreak/>
        <w:t>Background</w:t>
      </w:r>
    </w:p>
    <w:p w14:paraId="53C85DA7" w14:textId="77777777" w:rsidR="000C465B" w:rsidRPr="000C465B" w:rsidRDefault="000C465B" w:rsidP="000C465B">
      <w:pPr>
        <w:spacing w:after="200" w:line="276" w:lineRule="auto"/>
        <w:rPr>
          <w:szCs w:val="20"/>
        </w:rPr>
      </w:pPr>
      <w:r w:rsidRPr="000C465B">
        <w:rPr>
          <w:szCs w:val="20"/>
        </w:rPr>
        <w:t>Manufacturers are responsible for supporting all statements that appear on their labels, including voluntary expressions related to package quantity.  Federal and state laws and regulations require voluntary quantity-related claims to be truthful and substantiated and, correspondingly, prohibit false or misleading information.  For example, weights and measures laws commonly prohibit selling less than the represented quantity or representing the quantity in a manner that tends to mislead or deceive another person.</w:t>
      </w:r>
      <w:r w:rsidRPr="000C465B">
        <w:rPr>
          <w:szCs w:val="20"/>
          <w:vertAlign w:val="superscript"/>
        </w:rPr>
        <w:footnoteReference w:id="3"/>
      </w:r>
      <w:r w:rsidRPr="000C465B">
        <w:rPr>
          <w:szCs w:val="20"/>
        </w:rPr>
        <w:t xml:space="preserve">  Consumer protection laws prohibit unfair and deceptive trade practices, such as the failure to possess a reasonable basis (substantiation) for objective claims.</w:t>
      </w:r>
      <w:r w:rsidRPr="000C465B">
        <w:rPr>
          <w:szCs w:val="20"/>
          <w:vertAlign w:val="superscript"/>
        </w:rPr>
        <w:footnoteReference w:id="4"/>
      </w:r>
      <w:r w:rsidRPr="000C465B">
        <w:rPr>
          <w:szCs w:val="20"/>
        </w:rPr>
        <w:t xml:space="preserve">  </w:t>
      </w:r>
    </w:p>
    <w:p w14:paraId="48BDB9B1" w14:textId="77777777" w:rsidR="000C465B" w:rsidRPr="000C465B" w:rsidRDefault="000C465B" w:rsidP="000C465B">
      <w:pPr>
        <w:spacing w:after="200" w:line="276" w:lineRule="auto"/>
        <w:rPr>
          <w:szCs w:val="20"/>
        </w:rPr>
      </w:pPr>
      <w:r w:rsidRPr="000C465B">
        <w:rPr>
          <w:szCs w:val="20"/>
        </w:rPr>
        <w:t>Federal agencies, including the Federal Trade Commission (FTC), the Food and Drug Administration (FDA), State regulatory agencies, and the National Advertising Division of the Council of Better Business Bureaus, may implement laws, regulations, and standards relating to quantity-related information.</w:t>
      </w:r>
      <w:r w:rsidRPr="000C465B">
        <w:rPr>
          <w:szCs w:val="20"/>
          <w:vertAlign w:val="superscript"/>
        </w:rPr>
        <w:footnoteReference w:id="5"/>
      </w:r>
      <w:r w:rsidRPr="000C465B">
        <w:rPr>
          <w:szCs w:val="20"/>
        </w:rPr>
        <w:t xml:space="preserve">   This document is intended as a resource for both industry and regulators in evaluating voluntary quantity-related statements.  For example, industry may find the guidance useful in developing claims and product labeling, and regulators may refer companies to the guidance when questions arise about the usefulness, implementation, or legal status of claims under federal or state requirements.  </w:t>
      </w:r>
    </w:p>
    <w:p w14:paraId="318995F7" w14:textId="77777777" w:rsidR="000C465B" w:rsidRPr="000C465B" w:rsidRDefault="000C465B" w:rsidP="000C465B">
      <w:pPr>
        <w:spacing w:after="200" w:line="276" w:lineRule="auto"/>
        <w:rPr>
          <w:szCs w:val="20"/>
        </w:rPr>
      </w:pPr>
      <w:r w:rsidRPr="000C465B">
        <w:rPr>
          <w:szCs w:val="20"/>
        </w:rPr>
        <w:t>The purpose of this document is not to redefine or re-interpret existing provisions for the required Declaration of Net Quantity required by the U.S. Fair Packaging and Labeling Act (FPLA) and the regulations promulgated to implement FPLA.  This document also does not establish or address methods of sale.  Existing Declaration of Net Quantity</w:t>
      </w:r>
      <w:r w:rsidRPr="000C465B">
        <w:rPr>
          <w:rFonts w:ascii="Calibri" w:hAnsi="Calibri"/>
          <w:szCs w:val="20"/>
        </w:rPr>
        <w:t xml:space="preserve"> </w:t>
      </w:r>
      <w:r w:rsidRPr="000C465B">
        <w:rPr>
          <w:szCs w:val="20"/>
        </w:rPr>
        <w:t xml:space="preserve">requirements are the baseline for regulatory compliance, and every recommendation in this document presumes the package already has a compliant Declaration of Net Quantity.       </w:t>
      </w:r>
    </w:p>
    <w:p w14:paraId="064AF655" w14:textId="77777777" w:rsidR="000C465B" w:rsidRPr="000C465B" w:rsidRDefault="000C465B" w:rsidP="000C465B">
      <w:pPr>
        <w:spacing w:after="200" w:line="276" w:lineRule="auto"/>
        <w:rPr>
          <w:szCs w:val="20"/>
        </w:rPr>
      </w:pPr>
      <w:r w:rsidRPr="000C465B">
        <w:rPr>
          <w:szCs w:val="20"/>
        </w:rPr>
        <w:t>This recommended practice represents the current thinking of the National Council on Weights and Measures (NCWM).  As guidance, this document does not establish legally enforceable rights or responsibilities</w:t>
      </w:r>
      <w:commentRangeStart w:id="887"/>
      <w:r w:rsidRPr="000C465B">
        <w:rPr>
          <w:szCs w:val="20"/>
        </w:rPr>
        <w:t xml:space="preserve">.  It does not legally bind either the public, federal or state regulators, and adherence to these guidelines  do not ensure legal compliance.  </w:t>
      </w:r>
      <w:commentRangeEnd w:id="887"/>
      <w:r w:rsidRPr="000C465B">
        <w:rPr>
          <w:rStyle w:val="CommentReference"/>
          <w:sz w:val="20"/>
          <w:szCs w:val="20"/>
        </w:rPr>
        <w:commentReference w:id="887"/>
      </w:r>
      <w:r w:rsidRPr="000C465B">
        <w:rPr>
          <w:szCs w:val="20"/>
        </w:rPr>
        <w:t xml:space="preserve">Additionally, companies may choose an approach other than the one set forth in this guidance document if it complies with the relevant statutes and regulations.  </w:t>
      </w:r>
    </w:p>
    <w:p w14:paraId="04D8C6F1" w14:textId="77777777" w:rsidR="000C465B" w:rsidRPr="000C465B" w:rsidRDefault="000C465B" w:rsidP="000C465B">
      <w:pPr>
        <w:spacing w:after="200" w:line="276" w:lineRule="auto"/>
        <w:jc w:val="left"/>
        <w:rPr>
          <w:rFonts w:ascii="Calibri" w:hAnsi="Calibri"/>
          <w:b/>
          <w:sz w:val="40"/>
          <w:szCs w:val="40"/>
        </w:rPr>
      </w:pPr>
    </w:p>
    <w:p w14:paraId="0B54B78A" w14:textId="77777777" w:rsidR="000C465B" w:rsidRPr="000C465B" w:rsidRDefault="000C465B" w:rsidP="000C465B">
      <w:pPr>
        <w:spacing w:after="200" w:line="276" w:lineRule="auto"/>
        <w:jc w:val="left"/>
        <w:rPr>
          <w:rFonts w:ascii="Calibri" w:hAnsi="Calibri"/>
          <w:b/>
          <w:sz w:val="40"/>
          <w:szCs w:val="40"/>
        </w:rPr>
      </w:pPr>
    </w:p>
    <w:p w14:paraId="6EEBF383" w14:textId="77777777" w:rsidR="000C465B" w:rsidRPr="000C465B" w:rsidRDefault="000C465B" w:rsidP="00F42F14">
      <w:pPr>
        <w:pageBreakBefore/>
        <w:spacing w:after="120" w:line="276" w:lineRule="auto"/>
        <w:jc w:val="center"/>
        <w:rPr>
          <w:b/>
          <w:sz w:val="36"/>
          <w:szCs w:val="36"/>
        </w:rPr>
      </w:pPr>
      <w:bookmarkStart w:id="888" w:name="Expression_Categories"/>
      <w:bookmarkEnd w:id="888"/>
      <w:r w:rsidRPr="000C465B">
        <w:rPr>
          <w:b/>
          <w:sz w:val="36"/>
          <w:szCs w:val="36"/>
        </w:rPr>
        <w:lastRenderedPageBreak/>
        <w:t>Expression Categories</w:t>
      </w:r>
    </w:p>
    <w:p w14:paraId="6CE9CFD7" w14:textId="77777777" w:rsidR="000C465B" w:rsidRPr="000C465B" w:rsidRDefault="000C465B" w:rsidP="000C465B">
      <w:pPr>
        <w:spacing w:after="200" w:line="276" w:lineRule="auto"/>
        <w:rPr>
          <w:szCs w:val="20"/>
        </w:rPr>
      </w:pPr>
      <w:r w:rsidRPr="000C465B">
        <w:rPr>
          <w:szCs w:val="20"/>
        </w:rPr>
        <w:t xml:space="preserve">In developing this best practice document, the National Council on Weights and Measures evaluated products in the marketplace to better understand the different kinds of expressions currently appearing on the Principal Display Panel (PDP) in addition to the Declaration of Net Quantity (DoNQ) required by the U.S. Fair Packaging and Labeling Act (FPLA).  Some of the expressions employ units of legal metrology (such as pound, ounce, fluid ounce, quart, liter, gram, kilogram, or count) while others appear in non-metrological units which relate to how a consumer might use the product (such as dose, use, load, application, pump, or scoop).  Some provide information regarding how much product is produced once the contents have been reconstituted.  Some statements are exact, others are inexact. Finally, some statements compare product usage or quantity to other products.   </w:t>
      </w:r>
    </w:p>
    <w:p w14:paraId="60D750A2" w14:textId="77777777" w:rsidR="000C465B" w:rsidRPr="000C465B" w:rsidRDefault="000C465B" w:rsidP="000C465B">
      <w:pPr>
        <w:spacing w:after="200" w:line="276" w:lineRule="auto"/>
        <w:rPr>
          <w:szCs w:val="20"/>
        </w:rPr>
      </w:pPr>
      <w:r w:rsidRPr="000C465B">
        <w:rPr>
          <w:rFonts w:eastAsia="Times New Roman"/>
          <w:noProof/>
          <w:szCs w:val="20"/>
        </w:rPr>
        <mc:AlternateContent>
          <mc:Choice Requires="wps">
            <w:drawing>
              <wp:anchor distT="0" distB="0" distL="114300" distR="114300" simplePos="0" relativeHeight="251719680" behindDoc="0" locked="0" layoutInCell="1" allowOverlap="1" wp14:anchorId="7333D79E" wp14:editId="26E3C9E0">
                <wp:simplePos x="0" y="0"/>
                <wp:positionH relativeFrom="column">
                  <wp:posOffset>2828925</wp:posOffset>
                </wp:positionH>
                <wp:positionV relativeFrom="paragraph">
                  <wp:posOffset>442595</wp:posOffset>
                </wp:positionV>
                <wp:extent cx="3286125" cy="762000"/>
                <wp:effectExtent l="0" t="0" r="9525" b="0"/>
                <wp:wrapNone/>
                <wp:docPr id="1113822095" name="Text Box 58"/>
                <wp:cNvGraphicFramePr/>
                <a:graphic xmlns:a="http://schemas.openxmlformats.org/drawingml/2006/main">
                  <a:graphicData uri="http://schemas.microsoft.com/office/word/2010/wordprocessingShape">
                    <wps:wsp>
                      <wps:cNvSpPr txBox="1"/>
                      <wps:spPr>
                        <a:xfrm>
                          <a:off x="0" y="0"/>
                          <a:ext cx="3286125" cy="762000"/>
                        </a:xfrm>
                        <a:prstGeom prst="rect">
                          <a:avLst/>
                        </a:prstGeom>
                        <a:solidFill>
                          <a:sysClr val="window" lastClr="FFFFFF"/>
                        </a:solidFill>
                        <a:ln w="6350">
                          <a:noFill/>
                        </a:ln>
                      </wps:spPr>
                      <wps:txbx>
                        <w:txbxContent>
                          <w:p w14:paraId="42B436F1" w14:textId="77777777" w:rsidR="000C465B" w:rsidRPr="00CF1727" w:rsidRDefault="000C465B" w:rsidP="000C465B">
                            <w:pPr>
                              <w:pStyle w:val="ListParagraph"/>
                              <w:numPr>
                                <w:ilvl w:val="0"/>
                                <w:numId w:val="126"/>
                              </w:numPr>
                              <w:spacing w:after="0"/>
                              <w:contextualSpacing/>
                              <w:jc w:val="left"/>
                            </w:pPr>
                            <w:r w:rsidRPr="00CF1727">
                              <w:t>Comparative Quantity Representation</w:t>
                            </w:r>
                          </w:p>
                          <w:p w14:paraId="16AC9C70" w14:textId="77777777" w:rsidR="000C465B" w:rsidRDefault="000C465B" w:rsidP="000C465B">
                            <w:pPr>
                              <w:numPr>
                                <w:ilvl w:val="0"/>
                                <w:numId w:val="126"/>
                              </w:numPr>
                              <w:spacing w:after="0"/>
                              <w:contextualSpacing/>
                              <w:jc w:val="left"/>
                              <w:rPr>
                                <w:rFonts w:eastAsia="Times New Roman"/>
                                <w:sz w:val="24"/>
                                <w:szCs w:val="24"/>
                              </w:rPr>
                            </w:pPr>
                            <w:r w:rsidRPr="00A34BF8">
                              <w:rPr>
                                <w:rFonts w:eastAsia="Times New Roman"/>
                                <w:sz w:val="24"/>
                                <w:szCs w:val="24"/>
                              </w:rPr>
                              <w:t xml:space="preserve">Comparative Performance Representation </w:t>
                            </w:r>
                          </w:p>
                          <w:p w14:paraId="76FA22D7"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D79E" id="Text Box 58" o:spid="_x0000_s1031" type="#_x0000_t202" style="position:absolute;left:0;text-align:left;margin-left:222.75pt;margin-top:34.85pt;width:258.75pt;height:60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" fillcolor="window" stroked="f" strokeweight=".5pt">
                <v:textbox>
                  <w:txbxContent>
                    <w:p w14:paraId="42B436F1" w14:textId="77777777" w:rsidR="000C465B" w:rsidRPr="00CF1727" w:rsidRDefault="000C465B" w:rsidP="000C465B">
                      <w:pPr>
                        <w:pStyle w:val="ListParagraph"/>
                        <w:numPr>
                          <w:ilvl w:val="0"/>
                          <w:numId w:val="126"/>
                        </w:numPr>
                        <w:spacing w:after="0"/>
                        <w:contextualSpacing/>
                        <w:jc w:val="left"/>
                      </w:pPr>
                      <w:r w:rsidRPr="00CF1727">
                        <w:t>Comparative Quantity Representation</w:t>
                      </w:r>
                    </w:p>
                    <w:p w14:paraId="16AC9C70" w14:textId="77777777" w:rsidR="000C465B" w:rsidRDefault="000C465B" w:rsidP="000C465B">
                      <w:pPr>
                        <w:numPr>
                          <w:ilvl w:val="0"/>
                          <w:numId w:val="126"/>
                        </w:numPr>
                        <w:spacing w:after="0"/>
                        <w:contextualSpacing/>
                        <w:jc w:val="left"/>
                        <w:rPr>
                          <w:rFonts w:eastAsia="Times New Roman"/>
                          <w:sz w:val="24"/>
                          <w:szCs w:val="24"/>
                        </w:rPr>
                      </w:pPr>
                      <w:r w:rsidRPr="00A34BF8">
                        <w:rPr>
                          <w:rFonts w:eastAsia="Times New Roman"/>
                          <w:sz w:val="24"/>
                          <w:szCs w:val="24"/>
                        </w:rPr>
                        <w:t xml:space="preserve">Comparative Performance Representation </w:t>
                      </w:r>
                    </w:p>
                    <w:p w14:paraId="76FA22D7" w14:textId="77777777" w:rsidR="000C465B" w:rsidRDefault="000C465B" w:rsidP="000C465B"/>
                  </w:txbxContent>
                </v:textbox>
              </v:shape>
            </w:pict>
          </mc:Fallback>
        </mc:AlternateContent>
      </w:r>
      <w:r w:rsidRPr="000C465B">
        <w:rPr>
          <w:szCs w:val="20"/>
        </w:rPr>
        <w:t>After evaluation of the various expressions currently appearing on the PDP in addition to the Declaration of Net Quantity, the NCWM has created the following five general categories for these statements.</w:t>
      </w:r>
    </w:p>
    <w:p w14:paraId="3F3D357D" w14:textId="77777777" w:rsidR="000C465B" w:rsidRPr="000C465B" w:rsidRDefault="000C465B" w:rsidP="000C465B">
      <w:pPr>
        <w:numPr>
          <w:ilvl w:val="0"/>
          <w:numId w:val="103"/>
        </w:numPr>
        <w:spacing w:after="0" w:line="276" w:lineRule="auto"/>
        <w:contextualSpacing/>
        <w:jc w:val="left"/>
        <w:rPr>
          <w:rFonts w:eastAsia="Times New Roman"/>
          <w:szCs w:val="20"/>
        </w:rPr>
      </w:pPr>
      <w:r w:rsidRPr="000C465B">
        <w:rPr>
          <w:rFonts w:eastAsia="Times New Roman"/>
          <w:szCs w:val="20"/>
        </w:rPr>
        <w:t xml:space="preserve">Additional Expression of Quantity </w:t>
      </w:r>
    </w:p>
    <w:p w14:paraId="2A39BFB3" w14:textId="77777777" w:rsidR="000C465B" w:rsidRPr="000C465B" w:rsidRDefault="000C465B" w:rsidP="000C465B">
      <w:pPr>
        <w:numPr>
          <w:ilvl w:val="0"/>
          <w:numId w:val="103"/>
        </w:numPr>
        <w:spacing w:after="0" w:line="276" w:lineRule="auto"/>
        <w:contextualSpacing/>
        <w:jc w:val="left"/>
        <w:rPr>
          <w:rFonts w:eastAsia="Times New Roman"/>
          <w:szCs w:val="20"/>
        </w:rPr>
      </w:pPr>
      <w:r w:rsidRPr="000C465B">
        <w:rPr>
          <w:rFonts w:eastAsia="Times New Roman"/>
          <w:szCs w:val="20"/>
        </w:rPr>
        <w:t xml:space="preserve">Reconstituted Expression of Quantity </w:t>
      </w:r>
    </w:p>
    <w:p w14:paraId="047BEDDA" w14:textId="77777777" w:rsidR="000C465B" w:rsidRPr="000C465B" w:rsidRDefault="000C465B" w:rsidP="000C465B">
      <w:pPr>
        <w:numPr>
          <w:ilvl w:val="0"/>
          <w:numId w:val="103"/>
        </w:numPr>
        <w:spacing w:after="0" w:line="276" w:lineRule="auto"/>
        <w:contextualSpacing/>
        <w:jc w:val="left"/>
        <w:rPr>
          <w:rFonts w:eastAsia="Times New Roman"/>
          <w:szCs w:val="20"/>
        </w:rPr>
      </w:pPr>
      <w:r w:rsidRPr="000C465B">
        <w:rPr>
          <w:rFonts w:eastAsia="Times New Roman"/>
          <w:szCs w:val="20"/>
        </w:rPr>
        <w:t>Derived Unit Expression</w:t>
      </w:r>
    </w:p>
    <w:p w14:paraId="21608409" w14:textId="77777777" w:rsidR="000C465B" w:rsidRPr="000C465B" w:rsidRDefault="000C465B" w:rsidP="000C465B">
      <w:pPr>
        <w:spacing w:after="0"/>
        <w:ind w:left="720"/>
        <w:contextualSpacing/>
        <w:jc w:val="left"/>
        <w:rPr>
          <w:rFonts w:eastAsia="Times New Roman"/>
          <w:szCs w:val="20"/>
        </w:rPr>
      </w:pPr>
    </w:p>
    <w:p w14:paraId="0EB61DD2" w14:textId="77777777" w:rsidR="000C465B" w:rsidRPr="000C465B" w:rsidRDefault="000C465B" w:rsidP="000C465B">
      <w:pPr>
        <w:spacing w:after="200" w:line="276" w:lineRule="auto"/>
        <w:rPr>
          <w:szCs w:val="20"/>
        </w:rPr>
      </w:pPr>
      <w:r w:rsidRPr="000C465B">
        <w:rPr>
          <w:szCs w:val="20"/>
        </w:rPr>
        <w:t xml:space="preserve">This document provides recommended practices for each of these categories with the overall purpose of promoting the communication of useful information to consumers at the point of purchase.   </w:t>
      </w:r>
    </w:p>
    <w:p w14:paraId="7BA2BEE0" w14:textId="77777777" w:rsidR="000C465B" w:rsidRPr="000C465B" w:rsidRDefault="000C465B" w:rsidP="000C465B">
      <w:pPr>
        <w:spacing w:after="200" w:line="276" w:lineRule="auto"/>
        <w:rPr>
          <w:szCs w:val="20"/>
        </w:rPr>
      </w:pPr>
      <w:r w:rsidRPr="000C465B">
        <w:rPr>
          <w:b/>
          <w:szCs w:val="20"/>
        </w:rPr>
        <w:t xml:space="preserve">1. </w:t>
      </w:r>
      <w:r w:rsidRPr="000C465B">
        <w:rPr>
          <w:b/>
          <w:szCs w:val="20"/>
          <w:u w:val="single"/>
        </w:rPr>
        <w:t>Additional Expression of Quantity (AEQ)</w:t>
      </w:r>
      <w:r w:rsidRPr="000C465B">
        <w:rPr>
          <w:b/>
          <w:bCs/>
          <w:szCs w:val="20"/>
        </w:rPr>
        <w:t xml:space="preserve"> </w:t>
      </w:r>
      <w:r w:rsidRPr="000C465B">
        <w:rPr>
          <w:szCs w:val="20"/>
        </w:rPr>
        <w:t>– an exact expression of a quantity appearing on the Principal Display Panel (PDP) in terms of legal metrology weight or measure, count or a defined unit of measure which is neither part of nor intended to be part of the required Declaration of Net Quantity (DoNQ). This expression may be identical to a declaration which is part of the DoNQ, may be a declaration equivalent to a declaration contained in the DoNQ, or be another accurate declaration expressing quantity in units or count not present in the DoNQ.</w:t>
      </w:r>
    </w:p>
    <w:p w14:paraId="2D81A36B" w14:textId="77777777" w:rsidR="000C465B" w:rsidRPr="000C465B" w:rsidRDefault="000C465B" w:rsidP="000C465B">
      <w:pPr>
        <w:spacing w:after="200" w:line="276" w:lineRule="auto"/>
        <w:rPr>
          <w:szCs w:val="20"/>
        </w:rPr>
      </w:pPr>
      <w:r w:rsidRPr="000C465B">
        <w:rPr>
          <w:szCs w:val="20"/>
        </w:rPr>
        <w:t xml:space="preserve">In the package below, the Additional Expression of Quantity (AEQ) would be the “6 Doughnuts” expression which is present on the PDP in addition to the required Declaration of Net Quantity.  </w:t>
      </w:r>
    </w:p>
    <w:p w14:paraId="61670614" w14:textId="77777777" w:rsidR="000C465B" w:rsidRPr="000C465B" w:rsidRDefault="000C465B" w:rsidP="00F42F14">
      <w:pPr>
        <w:widowControl w:val="0"/>
        <w:spacing w:after="0"/>
        <w:contextualSpacing/>
        <w:jc w:val="left"/>
        <w:rPr>
          <w:rFonts w:eastAsia="Times New Roman"/>
          <w:sz w:val="24"/>
          <w:szCs w:val="24"/>
        </w:rPr>
      </w:pPr>
      <w:r w:rsidRPr="000C465B">
        <w:rPr>
          <w:rFonts w:ascii="Calibri" w:hAnsi="Calibri"/>
          <w:noProof/>
          <w:sz w:val="22"/>
        </w:rPr>
        <mc:AlternateContent>
          <mc:Choice Requires="wps">
            <w:drawing>
              <wp:anchor distT="0" distB="0" distL="114300" distR="114300" simplePos="0" relativeHeight="251673600" behindDoc="0" locked="0" layoutInCell="1" allowOverlap="1" wp14:anchorId="0BC46B6C" wp14:editId="0959C7EF">
                <wp:simplePos x="0" y="0"/>
                <wp:positionH relativeFrom="column">
                  <wp:posOffset>3819525</wp:posOffset>
                </wp:positionH>
                <wp:positionV relativeFrom="paragraph">
                  <wp:posOffset>2760345</wp:posOffset>
                </wp:positionV>
                <wp:extent cx="2047875" cy="276225"/>
                <wp:effectExtent l="0" t="0" r="9525" b="9525"/>
                <wp:wrapNone/>
                <wp:docPr id="540348882" name="Text Box 540348882"/>
                <wp:cNvGraphicFramePr/>
                <a:graphic xmlns:a="http://schemas.openxmlformats.org/drawingml/2006/main">
                  <a:graphicData uri="http://schemas.microsoft.com/office/word/2010/wordprocessingShape">
                    <wps:wsp>
                      <wps:cNvSpPr txBox="1"/>
                      <wps:spPr>
                        <a:xfrm>
                          <a:off x="0" y="0"/>
                          <a:ext cx="2047875" cy="276225"/>
                        </a:xfrm>
                        <a:prstGeom prst="rect">
                          <a:avLst/>
                        </a:prstGeom>
                        <a:solidFill>
                          <a:srgbClr val="C0504D"/>
                        </a:solidFill>
                        <a:ln w="6350">
                          <a:noFill/>
                        </a:ln>
                      </wps:spPr>
                      <wps:txbx>
                        <w:txbxContent>
                          <w:p w14:paraId="23B3B9B1"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6B6C" id="Text Box 540348882" o:spid="_x0000_s1032" type="#_x0000_t202" style="position:absolute;margin-left:300.75pt;margin-top:217.35pt;width:161.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" fillcolor="#c0504d" stroked="f" strokeweight=".5pt">
                <v:textbox>
                  <w:txbxContent>
                    <w:p w14:paraId="23B3B9B1"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sz w:val="22"/>
        </w:rPr>
        <mc:AlternateContent>
          <mc:Choice Requires="wps">
            <w:drawing>
              <wp:anchor distT="0" distB="0" distL="114300" distR="114300" simplePos="0" relativeHeight="251665408" behindDoc="0" locked="0" layoutInCell="1" allowOverlap="1" wp14:anchorId="5457CA0E" wp14:editId="46EF57B2">
                <wp:simplePos x="0" y="0"/>
                <wp:positionH relativeFrom="column">
                  <wp:posOffset>2724785</wp:posOffset>
                </wp:positionH>
                <wp:positionV relativeFrom="paragraph">
                  <wp:posOffset>2901315</wp:posOffset>
                </wp:positionV>
                <wp:extent cx="1097280" cy="0"/>
                <wp:effectExtent l="0" t="95250" r="0" b="95250"/>
                <wp:wrapNone/>
                <wp:docPr id="1645747466" name="Straight Arrow Connector 1645747466"/>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noFill/>
                        <a:ln w="38100" cap="flat" cmpd="sng" algn="ctr">
                          <a:solidFill>
                            <a:srgbClr val="C0504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732CF5" id="_x0000_t32" coordsize="21600,21600" o:spt="32" o:oned="t" path="m,l21600,21600e" filled="f">
                <v:path arrowok="t" fillok="f" o:connecttype="none"/>
                <o:lock v:ext="edit" shapetype="t"/>
              </v:shapetype>
              <v:shape id="Straight Arrow Connector 1645747466" o:spid="_x0000_s1026" type="#_x0000_t32" style="position:absolute;margin-left:214.55pt;margin-top:228.45pt;width:86.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" strokecolor="#c0504d" strokeweight="3pt">
                <v:stroke endarrow="block"/>
              </v:shape>
            </w:pict>
          </mc:Fallback>
        </mc:AlternateContent>
      </w:r>
      <w:r w:rsidRPr="000C465B">
        <w:rPr>
          <w:rFonts w:ascii="Calibri" w:hAnsi="Calibri"/>
          <w:noProof/>
          <w:sz w:val="22"/>
        </w:rPr>
        <mc:AlternateContent>
          <mc:Choice Requires="wps">
            <w:drawing>
              <wp:anchor distT="0" distB="0" distL="114300" distR="114300" simplePos="0" relativeHeight="251672576" behindDoc="0" locked="0" layoutInCell="1" allowOverlap="1" wp14:anchorId="670434FB" wp14:editId="277181EA">
                <wp:simplePos x="0" y="0"/>
                <wp:positionH relativeFrom="column">
                  <wp:posOffset>1219199</wp:posOffset>
                </wp:positionH>
                <wp:positionV relativeFrom="paragraph">
                  <wp:posOffset>417195</wp:posOffset>
                </wp:positionV>
                <wp:extent cx="2441575" cy="1143000"/>
                <wp:effectExtent l="38100" t="19050" r="15875" b="57150"/>
                <wp:wrapNone/>
                <wp:docPr id="836968507" name="Straight Arrow Connector 836968507"/>
                <wp:cNvGraphicFramePr/>
                <a:graphic xmlns:a="http://schemas.openxmlformats.org/drawingml/2006/main">
                  <a:graphicData uri="http://schemas.microsoft.com/office/word/2010/wordprocessingShape">
                    <wps:wsp>
                      <wps:cNvCnPr/>
                      <wps:spPr>
                        <a:xfrm flipH="1">
                          <a:off x="0" y="0"/>
                          <a:ext cx="2441575" cy="1143000"/>
                        </a:xfrm>
                        <a:prstGeom prst="straightConnector1">
                          <a:avLst/>
                        </a:prstGeom>
                        <a:noFill/>
                        <a:ln w="38100" cap="flat" cmpd="sng" algn="ctr">
                          <a:solidFill>
                            <a:srgbClr val="003E7E"/>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0FA641" id="Straight Arrow Connector 836968507" o:spid="_x0000_s1026" type="#_x0000_t32" style="position:absolute;margin-left:96pt;margin-top:32.85pt;width:192.25pt;height:9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" strokecolor="#003e7e" strokeweight="3pt">
                <v:stroke endarrow="block"/>
              </v:shape>
            </w:pict>
          </mc:Fallback>
        </mc:AlternateContent>
      </w:r>
      <w:r w:rsidRPr="000C465B">
        <w:rPr>
          <w:rFonts w:ascii="Calibri" w:hAnsi="Calibri"/>
          <w:noProof/>
          <w:sz w:val="22"/>
        </w:rPr>
        <w:drawing>
          <wp:inline distT="0" distB="0" distL="0" distR="0" wp14:anchorId="4891A3BB" wp14:editId="2D7917CE">
            <wp:extent cx="2968144" cy="3091815"/>
            <wp:effectExtent l="0" t="0" r="0" b="0"/>
            <wp:docPr id="1650203432" name="Picture 1650203432" descr="D:\NCWM\PALS Diagrams\Set 4\1-AEQ\AEQ-S1a-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CWM\PALS Diagrams\Set 4\1-AEQ\AEQ-S1a-v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8144" cy="3091815"/>
                    </a:xfrm>
                    <a:prstGeom prst="rect">
                      <a:avLst/>
                    </a:prstGeom>
                    <a:noFill/>
                    <a:ln>
                      <a:noFill/>
                    </a:ln>
                  </pic:spPr>
                </pic:pic>
              </a:graphicData>
            </a:graphic>
          </wp:inline>
        </w:drawing>
      </w:r>
      <w:r w:rsidRPr="000C465B">
        <w:rPr>
          <w:rFonts w:ascii="Calibri" w:hAnsi="Calibri"/>
          <w:noProof/>
          <w:sz w:val="22"/>
        </w:rPr>
        <mc:AlternateContent>
          <mc:Choice Requires="wps">
            <w:drawing>
              <wp:anchor distT="0" distB="0" distL="114300" distR="114300" simplePos="0" relativeHeight="251671552" behindDoc="0" locked="0" layoutInCell="1" allowOverlap="1" wp14:anchorId="28294BF4" wp14:editId="5353A91B">
                <wp:simplePos x="0" y="0"/>
                <wp:positionH relativeFrom="column">
                  <wp:posOffset>3600450</wp:posOffset>
                </wp:positionH>
                <wp:positionV relativeFrom="paragraph">
                  <wp:posOffset>169545</wp:posOffset>
                </wp:positionV>
                <wp:extent cx="2362200" cy="276225"/>
                <wp:effectExtent l="0" t="0" r="0" b="9525"/>
                <wp:wrapNone/>
                <wp:docPr id="1023876265" name="Rectangle 1023876265"/>
                <wp:cNvGraphicFramePr/>
                <a:graphic xmlns:a="http://schemas.openxmlformats.org/drawingml/2006/main">
                  <a:graphicData uri="http://schemas.microsoft.com/office/word/2010/wordprocessingShape">
                    <wps:wsp>
                      <wps:cNvSpPr/>
                      <wps:spPr>
                        <a:xfrm>
                          <a:off x="0" y="0"/>
                          <a:ext cx="2362200" cy="276225"/>
                        </a:xfrm>
                        <a:prstGeom prst="rect">
                          <a:avLst/>
                        </a:prstGeom>
                        <a:solidFill>
                          <a:srgbClr val="003E7E"/>
                        </a:solidFill>
                        <a:ln w="12700" cap="flat" cmpd="sng" algn="ctr">
                          <a:noFill/>
                          <a:prstDash val="solid"/>
                        </a:ln>
                        <a:effectLst/>
                      </wps:spPr>
                      <wps:txbx>
                        <w:txbxContent>
                          <w:p w14:paraId="0AA58D8E" w14:textId="77777777" w:rsidR="000C465B" w:rsidRDefault="000C465B" w:rsidP="000C465B">
                            <w:pPr>
                              <w:jc w:val="center"/>
                            </w:pPr>
                            <w:r w:rsidRPr="0078570A">
                              <w:rPr>
                                <w:b/>
                                <w:color w:val="FFFFFF"/>
                              </w:rPr>
                              <w:t>Additional Expression of Quantity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4BF4" id="Rectangle 1023876265" o:spid="_x0000_s1033" style="position:absolute;margin-left:283.5pt;margin-top:13.35pt;width:186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" fillcolor="#003e7e" stroked="f" strokeweight="1pt">
                <v:textbox>
                  <w:txbxContent>
                    <w:p w14:paraId="0AA58D8E" w14:textId="77777777" w:rsidR="000C465B" w:rsidRDefault="000C465B" w:rsidP="000C465B">
                      <w:pPr>
                        <w:jc w:val="center"/>
                      </w:pPr>
                      <w:r w:rsidRPr="0078570A">
                        <w:rPr>
                          <w:b/>
                          <w:color w:val="FFFFFF"/>
                        </w:rPr>
                        <w:t>Additional Expression of Quantity</w:t>
                      </w:r>
                    </w:p>
                  </w:txbxContent>
                </v:textbox>
              </v:rect>
            </w:pict>
          </mc:Fallback>
        </mc:AlternateConten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465B" w:rsidRPr="000C465B" w14:paraId="222ED708" w14:textId="77777777" w:rsidTr="005F0F3E">
        <w:tc>
          <w:tcPr>
            <w:tcW w:w="9350" w:type="dxa"/>
          </w:tcPr>
          <w:p w14:paraId="48610EAC" w14:textId="77777777" w:rsidR="000C465B" w:rsidRPr="000C465B" w:rsidRDefault="000C465B" w:rsidP="000C465B">
            <w:pPr>
              <w:spacing w:after="0"/>
              <w:rPr>
                <w:sz w:val="20"/>
                <w:szCs w:val="20"/>
              </w:rPr>
            </w:pPr>
            <w:r w:rsidRPr="000C465B">
              <w:rPr>
                <w:sz w:val="20"/>
                <w:szCs w:val="20"/>
              </w:rPr>
              <w:lastRenderedPageBreak/>
              <w:t xml:space="preserve">Similarly, the AEQ in the package below would be the “1/2 Liter” expression present in addition to the requiredDoNQ.  </w:t>
            </w:r>
          </w:p>
          <w:p w14:paraId="4E7CBB6B" w14:textId="77777777" w:rsidR="000C465B" w:rsidRPr="000C465B" w:rsidRDefault="000C465B" w:rsidP="000C465B">
            <w:pPr>
              <w:spacing w:after="0"/>
              <w:jc w:val="left"/>
              <w:rPr>
                <w:rFonts w:ascii="Calibri" w:hAnsi="Calibri"/>
              </w:rPr>
            </w:pPr>
          </w:p>
        </w:tc>
      </w:tr>
      <w:tr w:rsidR="000C465B" w:rsidRPr="000C465B" w14:paraId="57BBF102" w14:textId="77777777" w:rsidTr="005F0F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top w:val="nil"/>
              <w:left w:val="nil"/>
              <w:bottom w:val="nil"/>
              <w:right w:val="nil"/>
            </w:tcBorders>
          </w:tcPr>
          <w:p w14:paraId="79FC1B9B" w14:textId="77777777" w:rsidR="000C465B" w:rsidRPr="000C465B" w:rsidRDefault="000C465B" w:rsidP="000C465B">
            <w:pPr>
              <w:spacing w:after="0"/>
              <w:jc w:val="left"/>
              <w:rPr>
                <w:rFonts w:ascii="Calibri" w:hAnsi="Calibri"/>
              </w:rPr>
            </w:pPr>
            <w:r w:rsidRPr="000C465B">
              <w:rPr>
                <w:rFonts w:ascii="Calibri" w:hAnsi="Calibri"/>
                <w:noProof/>
              </w:rPr>
              <mc:AlternateContent>
                <mc:Choice Requires="wps">
                  <w:drawing>
                    <wp:anchor distT="0" distB="0" distL="114300" distR="114300" simplePos="0" relativeHeight="251699200" behindDoc="0" locked="0" layoutInCell="1" allowOverlap="1" wp14:anchorId="4B8B4600" wp14:editId="39095BFF">
                      <wp:simplePos x="0" y="0"/>
                      <wp:positionH relativeFrom="column">
                        <wp:posOffset>1139825</wp:posOffset>
                      </wp:positionH>
                      <wp:positionV relativeFrom="paragraph">
                        <wp:posOffset>3934460</wp:posOffset>
                      </wp:positionV>
                      <wp:extent cx="1820545" cy="0"/>
                      <wp:effectExtent l="0" t="95250" r="0" b="95250"/>
                      <wp:wrapNone/>
                      <wp:docPr id="1714467738" name="Straight Arrow Connector 1714467738"/>
                      <wp:cNvGraphicFramePr/>
                      <a:graphic xmlns:a="http://schemas.openxmlformats.org/drawingml/2006/main">
                        <a:graphicData uri="http://schemas.microsoft.com/office/word/2010/wordprocessingShape">
                          <wps:wsp>
                            <wps:cNvCnPr/>
                            <wps:spPr>
                              <a:xfrm flipH="1">
                                <a:off x="0" y="0"/>
                                <a:ext cx="1820545"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195C5FEE" id="Straight Arrow Connector 1714467738" o:spid="_x0000_s1026" type="#_x0000_t32" style="position:absolute;margin-left:89.75pt;margin-top:309.8pt;width:143.35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" strokecolor="#c0504d"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75648" behindDoc="0" locked="0" layoutInCell="1" allowOverlap="1" wp14:anchorId="371B11FD" wp14:editId="248DF446">
                      <wp:simplePos x="0" y="0"/>
                      <wp:positionH relativeFrom="column">
                        <wp:posOffset>3072130</wp:posOffset>
                      </wp:positionH>
                      <wp:positionV relativeFrom="paragraph">
                        <wp:posOffset>3807460</wp:posOffset>
                      </wp:positionV>
                      <wp:extent cx="1819910" cy="261620"/>
                      <wp:effectExtent l="0" t="0" r="8890" b="5080"/>
                      <wp:wrapNone/>
                      <wp:docPr id="1887220903" name="Text Box 1887220903"/>
                      <wp:cNvGraphicFramePr/>
                      <a:graphic xmlns:a="http://schemas.openxmlformats.org/drawingml/2006/main">
                        <a:graphicData uri="http://schemas.microsoft.com/office/word/2010/wordprocessingShape">
                          <wps:wsp>
                            <wps:cNvSpPr txBox="1"/>
                            <wps:spPr>
                              <a:xfrm>
                                <a:off x="0" y="0"/>
                                <a:ext cx="1819910" cy="261620"/>
                              </a:xfrm>
                              <a:prstGeom prst="rect">
                                <a:avLst/>
                              </a:prstGeom>
                              <a:solidFill>
                                <a:srgbClr val="C0504D"/>
                              </a:solidFill>
                              <a:ln w="6350">
                                <a:noFill/>
                              </a:ln>
                            </wps:spPr>
                            <wps:txbx>
                              <w:txbxContent>
                                <w:p w14:paraId="47E0F0F4"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B11FD" id="Text Box 1887220903" o:spid="_x0000_s1034" type="#_x0000_t202" style="position:absolute;margin-left:241.9pt;margin-top:299.8pt;width:143.3pt;height:2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" fillcolor="#c0504d" stroked="f" strokeweight=".5pt">
                      <v:textbox>
                        <w:txbxContent>
                          <w:p w14:paraId="47E0F0F4"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74624" behindDoc="0" locked="0" layoutInCell="1" allowOverlap="1" wp14:anchorId="74E0E157" wp14:editId="7231C47B">
                      <wp:simplePos x="0" y="0"/>
                      <wp:positionH relativeFrom="column">
                        <wp:posOffset>2960370</wp:posOffset>
                      </wp:positionH>
                      <wp:positionV relativeFrom="paragraph">
                        <wp:posOffset>3783330</wp:posOffset>
                      </wp:positionV>
                      <wp:extent cx="2051050" cy="309880"/>
                      <wp:effectExtent l="0" t="0" r="6350" b="0"/>
                      <wp:wrapNone/>
                      <wp:docPr id="1293115969" name="Rectangle 1293115969"/>
                      <wp:cNvGraphicFramePr/>
                      <a:graphic xmlns:a="http://schemas.openxmlformats.org/drawingml/2006/main">
                        <a:graphicData uri="http://schemas.microsoft.com/office/word/2010/wordprocessingShape">
                          <wps:wsp>
                            <wps:cNvSpPr/>
                            <wps:spPr>
                              <a:xfrm>
                                <a:off x="0" y="0"/>
                                <a:ext cx="2051050"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B8B53" id="Rectangle 1293115969" o:spid="_x0000_s1026" style="position:absolute;margin-left:233.1pt;margin-top:297.9pt;width:161.5pt;height:2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" fillcolor="#c0504d" stroked="f" strokeweight="1pt"/>
                  </w:pict>
                </mc:Fallback>
              </mc:AlternateContent>
            </w:r>
            <w:r w:rsidRPr="000C465B">
              <w:rPr>
                <w:rFonts w:ascii="Calibri" w:hAnsi="Calibri"/>
                <w:noProof/>
              </w:rPr>
              <mc:AlternateContent>
                <mc:Choice Requires="wps">
                  <w:drawing>
                    <wp:anchor distT="0" distB="0" distL="114300" distR="114300" simplePos="0" relativeHeight="251686912" behindDoc="0" locked="0" layoutInCell="1" allowOverlap="1" wp14:anchorId="7A4BA8E0" wp14:editId="439AA5DE">
                      <wp:simplePos x="0" y="0"/>
                      <wp:positionH relativeFrom="column">
                        <wp:posOffset>2834005</wp:posOffset>
                      </wp:positionH>
                      <wp:positionV relativeFrom="paragraph">
                        <wp:posOffset>1072515</wp:posOffset>
                      </wp:positionV>
                      <wp:extent cx="2305685" cy="261620"/>
                      <wp:effectExtent l="0" t="0" r="0" b="5080"/>
                      <wp:wrapNone/>
                      <wp:docPr id="688343178" name="Text Box 688343178"/>
                      <wp:cNvGraphicFramePr/>
                      <a:graphic xmlns:a="http://schemas.openxmlformats.org/drawingml/2006/main">
                        <a:graphicData uri="http://schemas.microsoft.com/office/word/2010/wordprocessingShape">
                          <wps:wsp>
                            <wps:cNvSpPr txBox="1"/>
                            <wps:spPr>
                              <a:xfrm>
                                <a:off x="0" y="0"/>
                                <a:ext cx="2305685" cy="261620"/>
                              </a:xfrm>
                              <a:prstGeom prst="rect">
                                <a:avLst/>
                              </a:prstGeom>
                              <a:noFill/>
                              <a:ln w="6350">
                                <a:noFill/>
                              </a:ln>
                            </wps:spPr>
                            <wps:txbx>
                              <w:txbxContent>
                                <w:p w14:paraId="6192BE40" w14:textId="77777777" w:rsidR="000C465B" w:rsidRPr="0078570A" w:rsidRDefault="000C465B" w:rsidP="000C465B">
                                  <w:pPr>
                                    <w:pStyle w:val="NoSpacing"/>
                                    <w:jc w:val="center"/>
                                    <w:rPr>
                                      <w:b/>
                                      <w:color w:val="FFFFFF"/>
                                    </w:rPr>
                                  </w:pPr>
                                  <w:r w:rsidRPr="0078570A">
                                    <w:rPr>
                                      <w:b/>
                                      <w:color w:val="FFFFFF"/>
                                    </w:rPr>
                                    <w:t>Additional Expression of Quantity (AEQ)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A8E0" id="Text Box 688343178" o:spid="_x0000_s1035" type="#_x0000_t202" style="position:absolute;margin-left:223.15pt;margin-top:84.45pt;width:181.55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AvHAIAADM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" filled="f" stroked="f" strokeweight=".5pt">
                      <v:textbox>
                        <w:txbxContent>
                          <w:p w14:paraId="6192BE40" w14:textId="77777777" w:rsidR="000C465B" w:rsidRPr="0078570A" w:rsidRDefault="000C465B" w:rsidP="000C465B">
                            <w:pPr>
                              <w:pStyle w:val="NoSpacing"/>
                              <w:jc w:val="center"/>
                              <w:rPr>
                                <w:b/>
                                <w:color w:val="FFFFFF"/>
                              </w:rPr>
                            </w:pPr>
                            <w:r w:rsidRPr="0078570A">
                              <w:rPr>
                                <w:b/>
                                <w:color w:val="FFFFFF"/>
                              </w:rPr>
                              <w:t>Additional Expression of Quantity (AEQ)</w:t>
                            </w:r>
                          </w:p>
                        </w:txbxContent>
                      </v:textbox>
                    </v:shape>
                  </w:pict>
                </mc:Fallback>
              </mc:AlternateContent>
            </w:r>
            <w:r w:rsidRPr="000C465B">
              <w:rPr>
                <w:rFonts w:ascii="Calibri" w:hAnsi="Calibri"/>
                <w:noProof/>
                <w:color w:val="003E7E"/>
              </w:rPr>
              <mc:AlternateContent>
                <mc:Choice Requires="wps">
                  <w:drawing>
                    <wp:anchor distT="0" distB="0" distL="114300" distR="114300" simplePos="0" relativeHeight="251685888" behindDoc="0" locked="0" layoutInCell="1" allowOverlap="1" wp14:anchorId="1ED9FF4E" wp14:editId="2C241C05">
                      <wp:simplePos x="0" y="0"/>
                      <wp:positionH relativeFrom="column">
                        <wp:posOffset>2728595</wp:posOffset>
                      </wp:positionH>
                      <wp:positionV relativeFrom="paragraph">
                        <wp:posOffset>1049020</wp:posOffset>
                      </wp:positionV>
                      <wp:extent cx="2519680" cy="309880"/>
                      <wp:effectExtent l="0" t="0" r="0" b="0"/>
                      <wp:wrapNone/>
                      <wp:docPr id="644436337" name="Rectangle 644436337"/>
                      <wp:cNvGraphicFramePr/>
                      <a:graphic xmlns:a="http://schemas.openxmlformats.org/drawingml/2006/main">
                        <a:graphicData uri="http://schemas.microsoft.com/office/word/2010/wordprocessingShape">
                          <wps:wsp>
                            <wps:cNvSpPr/>
                            <wps:spPr>
                              <a:xfrm>
                                <a:off x="0" y="0"/>
                                <a:ext cx="2519680"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E2D80A" id="Rectangle 644436337" o:spid="_x0000_s1026" style="position:absolute;margin-left:214.85pt;margin-top:82.6pt;width:198.4pt;height:24.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" fillcolor="#003e7e" stroked="f" strokeweight="1pt"/>
                  </w:pict>
                </mc:Fallback>
              </mc:AlternateContent>
            </w:r>
            <w:r w:rsidRPr="000C465B">
              <w:rPr>
                <w:rFonts w:ascii="Calibri" w:hAnsi="Calibri"/>
                <w:noProof/>
              </w:rPr>
              <mc:AlternateContent>
                <mc:Choice Requires="wps">
                  <w:drawing>
                    <wp:anchor distT="0" distB="0" distL="114300" distR="114300" simplePos="0" relativeHeight="251698176" behindDoc="0" locked="0" layoutInCell="1" allowOverlap="1" wp14:anchorId="0053A6A4" wp14:editId="242C853F">
                      <wp:simplePos x="0" y="0"/>
                      <wp:positionH relativeFrom="column">
                        <wp:posOffset>1607820</wp:posOffset>
                      </wp:positionH>
                      <wp:positionV relativeFrom="paragraph">
                        <wp:posOffset>1200785</wp:posOffset>
                      </wp:positionV>
                      <wp:extent cx="1120775" cy="0"/>
                      <wp:effectExtent l="0" t="95250" r="0" b="95250"/>
                      <wp:wrapNone/>
                      <wp:docPr id="1031312352" name="Straight Arrow Connector 1031312352"/>
                      <wp:cNvGraphicFramePr/>
                      <a:graphic xmlns:a="http://schemas.openxmlformats.org/drawingml/2006/main">
                        <a:graphicData uri="http://schemas.microsoft.com/office/word/2010/wordprocessingShape">
                          <wps:wsp>
                            <wps:cNvCnPr/>
                            <wps:spPr>
                              <a:xfrm flipH="1">
                                <a:off x="0" y="0"/>
                                <a:ext cx="1120775"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0CBBC797" id="Straight Arrow Connector 1031312352" o:spid="_x0000_s1026" type="#_x0000_t32" style="position:absolute;margin-left:126.6pt;margin-top:94.55pt;width:88.2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" strokecolor="#003e7e" strokeweight="3pt">
                      <v:stroke endarrow="block"/>
                    </v:shape>
                  </w:pict>
                </mc:Fallback>
              </mc:AlternateContent>
            </w:r>
            <w:r w:rsidRPr="000C465B">
              <w:rPr>
                <w:rFonts w:ascii="Calibri" w:hAnsi="Calibri"/>
                <w:noProof/>
              </w:rPr>
              <w:drawing>
                <wp:inline distT="0" distB="0" distL="0" distR="0" wp14:anchorId="5B00870C" wp14:editId="3E49B253">
                  <wp:extent cx="1743162" cy="4676775"/>
                  <wp:effectExtent l="0" t="0" r="9525" b="0"/>
                  <wp:docPr id="1005807525" name="Picture 1005807525" descr="D:\NCWM\PALS Diagrams\Set 4\1-AEQ\AEQ-S1a-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CWM\PALS Diagrams\Set 4\1-AEQ\AEQ-S1a-v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849" cy="4702766"/>
                          </a:xfrm>
                          <a:prstGeom prst="rect">
                            <a:avLst/>
                          </a:prstGeom>
                          <a:noFill/>
                          <a:ln>
                            <a:noFill/>
                          </a:ln>
                        </pic:spPr>
                      </pic:pic>
                    </a:graphicData>
                  </a:graphic>
                </wp:inline>
              </w:drawing>
            </w:r>
          </w:p>
        </w:tc>
      </w:tr>
    </w:tbl>
    <w:p w14:paraId="6019C28D" w14:textId="77777777" w:rsidR="000C465B" w:rsidRPr="000C465B" w:rsidRDefault="000C465B" w:rsidP="000C465B">
      <w:pPr>
        <w:spacing w:after="0"/>
        <w:jc w:val="left"/>
        <w:rPr>
          <w:rFonts w:ascii="Calibri" w:hAnsi="Calibri"/>
          <w:sz w:val="22"/>
        </w:rPr>
      </w:pPr>
    </w:p>
    <w:p w14:paraId="5749797B" w14:textId="77777777" w:rsidR="000C465B" w:rsidRPr="000C465B" w:rsidRDefault="000C465B" w:rsidP="000C465B">
      <w:pPr>
        <w:spacing w:after="200" w:line="276" w:lineRule="auto"/>
        <w:jc w:val="left"/>
        <w:rPr>
          <w:szCs w:val="20"/>
        </w:rPr>
      </w:pPr>
      <w:r w:rsidRPr="000C465B">
        <w:rPr>
          <w:szCs w:val="20"/>
        </w:rPr>
        <w:t>Additional examples of an Additional Expression of Quantity would be:</w:t>
      </w:r>
    </w:p>
    <w:p w14:paraId="38C650DB"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“1 Quart” separately appearing on the PDP from the Declaration of Net Quantity reading “1 Quart (0.946 Liters)”</w:t>
      </w:r>
    </w:p>
    <w:p w14:paraId="2B18ADFD" w14:textId="77777777" w:rsidR="000C465B" w:rsidRPr="000C465B" w:rsidRDefault="000C465B" w:rsidP="000C465B">
      <w:pPr>
        <w:spacing w:after="0"/>
        <w:ind w:left="720"/>
        <w:contextualSpacing/>
        <w:jc w:val="left"/>
        <w:rPr>
          <w:rFonts w:eastAsia="Times New Roman"/>
          <w:szCs w:val="20"/>
        </w:rPr>
      </w:pPr>
    </w:p>
    <w:p w14:paraId="6CD780E0"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“32 Fluid Ounces” separately appearing on the PDP from the Declaration of Net Quantity reading “1 Quart (0.946 Liters)”</w:t>
      </w:r>
    </w:p>
    <w:p w14:paraId="2277F389" w14:textId="77777777" w:rsidR="000C465B" w:rsidRPr="000C465B" w:rsidRDefault="000C465B" w:rsidP="000C465B">
      <w:pPr>
        <w:spacing w:after="0"/>
        <w:contextualSpacing/>
        <w:jc w:val="left"/>
        <w:rPr>
          <w:rFonts w:eastAsia="Times New Roman"/>
          <w:szCs w:val="20"/>
        </w:rPr>
      </w:pPr>
    </w:p>
    <w:p w14:paraId="6EC68072"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“1.5 Liters” separately appearing on the PDP from the Declaration of Net Quantity reading “1.5 Liters (1.58 Quarts)”.  </w:t>
      </w:r>
    </w:p>
    <w:p w14:paraId="503A7FA9" w14:textId="77777777" w:rsidR="000C465B" w:rsidRPr="000C465B" w:rsidRDefault="000C465B" w:rsidP="000C465B">
      <w:pPr>
        <w:spacing w:after="0"/>
        <w:contextualSpacing/>
        <w:jc w:val="left"/>
        <w:rPr>
          <w:rFonts w:eastAsia="Times New Roman"/>
          <w:szCs w:val="20"/>
        </w:rPr>
      </w:pPr>
    </w:p>
    <w:p w14:paraId="6F40661C"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“3 Pounds” separately appearing on the PDP from the Declaration of Net Quantity reading “3 Pounds (1.36 Kilograms)”</w:t>
      </w:r>
    </w:p>
    <w:p w14:paraId="149A39B5" w14:textId="77777777" w:rsidR="000C465B" w:rsidRPr="000C465B" w:rsidRDefault="000C465B" w:rsidP="000C465B">
      <w:pPr>
        <w:spacing w:after="0"/>
        <w:contextualSpacing/>
        <w:jc w:val="left"/>
        <w:rPr>
          <w:rFonts w:eastAsia="Times New Roman"/>
          <w:szCs w:val="20"/>
        </w:rPr>
      </w:pPr>
    </w:p>
    <w:p w14:paraId="7BA4A034"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of “24 Count” separately appearing on the PDP from the Declaration of Net Quantity reading “3 Pounds (1.36 Kilograms)”</w:t>
      </w:r>
    </w:p>
    <w:p w14:paraId="75A2E7B8" w14:textId="77777777" w:rsidR="000C465B" w:rsidRPr="000C465B" w:rsidRDefault="000C465B" w:rsidP="000C465B">
      <w:pPr>
        <w:spacing w:after="0"/>
        <w:contextualSpacing/>
        <w:jc w:val="left"/>
        <w:rPr>
          <w:rFonts w:eastAsia="Times New Roman"/>
          <w:szCs w:val="20"/>
        </w:rPr>
      </w:pPr>
    </w:p>
    <w:p w14:paraId="05A06F5D"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lastRenderedPageBreak/>
        <w:t>Statement “1/2 Kilogram” separately appearing on the PDP from the Declaration of Net Quantity reading “500 Grams (1.1 Pounds)”</w:t>
      </w:r>
    </w:p>
    <w:p w14:paraId="76DCFD73" w14:textId="77777777" w:rsidR="000C465B" w:rsidRPr="000C465B" w:rsidRDefault="000C465B" w:rsidP="000C465B">
      <w:pPr>
        <w:spacing w:after="0"/>
        <w:contextualSpacing/>
        <w:jc w:val="left"/>
        <w:rPr>
          <w:rFonts w:eastAsia="Times New Roman"/>
          <w:szCs w:val="20"/>
        </w:rPr>
      </w:pPr>
    </w:p>
    <w:p w14:paraId="16F42D99"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“2 Dozen Cookies” separately appearing on the PDP from the Declaration of Net Quantity reading “2 Pounds (907 Grams)</w:t>
      </w:r>
    </w:p>
    <w:p w14:paraId="30861422" w14:textId="77777777" w:rsidR="000C465B" w:rsidRPr="000C465B" w:rsidRDefault="000C465B" w:rsidP="000C465B">
      <w:pPr>
        <w:spacing w:after="0"/>
        <w:contextualSpacing/>
        <w:jc w:val="left"/>
        <w:rPr>
          <w:rFonts w:eastAsia="Times New Roman"/>
          <w:szCs w:val="20"/>
        </w:rPr>
      </w:pPr>
    </w:p>
    <w:p w14:paraId="22BF361E"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A Declaration of Identity “8 Ounce Steaks” appearing in addition to a PDP Declaration of Net Quantity </w:t>
      </w:r>
    </w:p>
    <w:p w14:paraId="1C8BE79B" w14:textId="77777777" w:rsidR="000C465B" w:rsidRPr="000C465B" w:rsidRDefault="000C465B" w:rsidP="000C465B">
      <w:pPr>
        <w:spacing w:after="0"/>
        <w:contextualSpacing/>
        <w:jc w:val="left"/>
        <w:rPr>
          <w:rFonts w:eastAsia="Times New Roman"/>
          <w:szCs w:val="20"/>
        </w:rPr>
      </w:pPr>
    </w:p>
    <w:p w14:paraId="3E40DC75" w14:textId="77777777" w:rsidR="000C465B" w:rsidRPr="000C465B" w:rsidRDefault="000C465B" w:rsidP="000C465B">
      <w:pPr>
        <w:spacing w:after="200" w:line="276" w:lineRule="auto"/>
        <w:rPr>
          <w:szCs w:val="20"/>
        </w:rPr>
      </w:pPr>
      <w:r w:rsidRPr="000C465B">
        <w:rPr>
          <w:b/>
          <w:szCs w:val="20"/>
        </w:rPr>
        <w:t xml:space="preserve">2.  </w:t>
      </w:r>
      <w:r w:rsidRPr="000C465B">
        <w:rPr>
          <w:b/>
          <w:szCs w:val="20"/>
          <w:u w:val="single"/>
        </w:rPr>
        <w:t>Reconstituted Expression of Quantity (REQ)</w:t>
      </w:r>
      <w:r w:rsidRPr="000C465B">
        <w:rPr>
          <w:b/>
          <w:bCs/>
          <w:szCs w:val="20"/>
        </w:rPr>
        <w:t xml:space="preserve"> </w:t>
      </w:r>
      <w:r w:rsidRPr="000C465B">
        <w:rPr>
          <w:szCs w:val="20"/>
        </w:rPr>
        <w:t xml:space="preserve">– an exact expression appearing on the Principal Display Panel (PDP) in addition to the Declaration of Net Quantity (DoNQ), which details how much product the package contents provide when the product is prepared in accordance with label directions. This expression is most common for products requiring the addition of water but may be appropriate for other products.  This expression is generally most useful to consumers when the prescribed directions for product preparation are very straightforward, such as the addition of just water. These statements are less useful when multiple steps or added ingredients are involved.   </w:t>
      </w:r>
    </w:p>
    <w:p w14:paraId="5956425A" w14:textId="77777777" w:rsidR="000C465B" w:rsidRPr="000C465B" w:rsidRDefault="000C465B" w:rsidP="000C465B">
      <w:pPr>
        <w:spacing w:after="200" w:line="276" w:lineRule="auto"/>
        <w:rPr>
          <w:szCs w:val="20"/>
        </w:rPr>
      </w:pPr>
      <w:r w:rsidRPr="000C465B">
        <w:rPr>
          <w:szCs w:val="20"/>
        </w:rPr>
        <w:t>In the package diagram below, the Reconstituted Expression of Quantity (REQ) would be the “Makes 56 Quarts” expression which is present on the PDP in addition to the required Declaration of Net Quantity (DoNQ).</w:t>
      </w:r>
    </w:p>
    <w:p w14:paraId="5D3C6C55" w14:textId="77777777" w:rsidR="000C465B" w:rsidRPr="000C465B" w:rsidRDefault="000C465B" w:rsidP="000C465B">
      <w:pPr>
        <w:spacing w:after="200" w:line="276" w:lineRule="auto"/>
        <w:rPr>
          <w:sz w:val="22"/>
        </w:rPr>
      </w:pPr>
    </w:p>
    <w:tbl>
      <w:tblPr>
        <w:tblStyle w:val="TableGrid22"/>
        <w:tblW w:w="0" w:type="auto"/>
        <w:tblLook w:val="04A0" w:firstRow="1" w:lastRow="0" w:firstColumn="1" w:lastColumn="0" w:noHBand="0" w:noVBand="1"/>
      </w:tblPr>
      <w:tblGrid>
        <w:gridCol w:w="9350"/>
      </w:tblGrid>
      <w:tr w:rsidR="000C465B" w:rsidRPr="000C465B" w14:paraId="24E762E1" w14:textId="77777777" w:rsidTr="005F0F3E">
        <w:tc>
          <w:tcPr>
            <w:tcW w:w="9350" w:type="dxa"/>
            <w:tcBorders>
              <w:top w:val="nil"/>
              <w:left w:val="nil"/>
              <w:bottom w:val="nil"/>
              <w:right w:val="nil"/>
            </w:tcBorders>
          </w:tcPr>
          <w:p w14:paraId="7214D975" w14:textId="77777777" w:rsidR="000C465B" w:rsidRPr="000C465B" w:rsidRDefault="000C465B" w:rsidP="000C465B">
            <w:pPr>
              <w:spacing w:after="0"/>
              <w:jc w:val="left"/>
              <w:rPr>
                <w:rFonts w:ascii="Calibri" w:hAnsi="Calibri"/>
              </w:rPr>
            </w:pPr>
            <w:r w:rsidRPr="000C465B">
              <w:rPr>
                <w:rFonts w:ascii="Calibri" w:hAnsi="Calibri"/>
                <w:noProof/>
              </w:rPr>
              <mc:AlternateContent>
                <mc:Choice Requires="wps">
                  <w:drawing>
                    <wp:anchor distT="0" distB="0" distL="114300" distR="114300" simplePos="0" relativeHeight="251701248" behindDoc="0" locked="0" layoutInCell="1" allowOverlap="1" wp14:anchorId="2C4AE143" wp14:editId="4FB08947">
                      <wp:simplePos x="0" y="0"/>
                      <wp:positionH relativeFrom="column">
                        <wp:posOffset>2929062</wp:posOffset>
                      </wp:positionH>
                      <wp:positionV relativeFrom="paragraph">
                        <wp:posOffset>3613509</wp:posOffset>
                      </wp:positionV>
                      <wp:extent cx="882595" cy="0"/>
                      <wp:effectExtent l="0" t="95250" r="0" b="95250"/>
                      <wp:wrapNone/>
                      <wp:docPr id="689066946" name="Straight Arrow Connector 689066946"/>
                      <wp:cNvGraphicFramePr/>
                      <a:graphic xmlns:a="http://schemas.openxmlformats.org/drawingml/2006/main">
                        <a:graphicData uri="http://schemas.microsoft.com/office/word/2010/wordprocessingShape">
                          <wps:wsp>
                            <wps:cNvCnPr/>
                            <wps:spPr>
                              <a:xfrm flipH="1">
                                <a:off x="0" y="0"/>
                                <a:ext cx="882595"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16758E38" id="Straight Arrow Connector 689066946" o:spid="_x0000_s1026" type="#_x0000_t32" style="position:absolute;margin-left:230.65pt;margin-top:284.55pt;width:69.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" strokecolor="#c0504d"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77696" behindDoc="0" locked="0" layoutInCell="1" allowOverlap="1" wp14:anchorId="428F3CA3" wp14:editId="0C161CDF">
                      <wp:simplePos x="0" y="0"/>
                      <wp:positionH relativeFrom="column">
                        <wp:posOffset>3930512</wp:posOffset>
                      </wp:positionH>
                      <wp:positionV relativeFrom="paragraph">
                        <wp:posOffset>3485377</wp:posOffset>
                      </wp:positionV>
                      <wp:extent cx="1820020" cy="261620"/>
                      <wp:effectExtent l="0" t="0" r="8890" b="5080"/>
                      <wp:wrapNone/>
                      <wp:docPr id="593243275" name="Text Box 593243275"/>
                      <wp:cNvGraphicFramePr/>
                      <a:graphic xmlns:a="http://schemas.openxmlformats.org/drawingml/2006/main">
                        <a:graphicData uri="http://schemas.microsoft.com/office/word/2010/wordprocessingShape">
                          <wps:wsp>
                            <wps:cNvSpPr txBox="1"/>
                            <wps:spPr>
                              <a:xfrm>
                                <a:off x="0" y="0"/>
                                <a:ext cx="1820020" cy="261620"/>
                              </a:xfrm>
                              <a:prstGeom prst="rect">
                                <a:avLst/>
                              </a:prstGeom>
                              <a:solidFill>
                                <a:srgbClr val="C0504D"/>
                              </a:solidFill>
                              <a:ln w="6350">
                                <a:noFill/>
                              </a:ln>
                            </wps:spPr>
                            <wps:txbx>
                              <w:txbxContent>
                                <w:p w14:paraId="007C855A"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F3CA3" id="Text Box 593243275" o:spid="_x0000_s1036" type="#_x0000_t202" style="position:absolute;margin-left:309.5pt;margin-top:274.45pt;width:143.3pt;height:20.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" fillcolor="#c0504d" stroked="f" strokeweight=".5pt">
                      <v:textbox>
                        <w:txbxContent>
                          <w:p w14:paraId="007C855A"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76672" behindDoc="0" locked="0" layoutInCell="1" allowOverlap="1" wp14:anchorId="475E60D1" wp14:editId="0AB5088C">
                      <wp:simplePos x="0" y="0"/>
                      <wp:positionH relativeFrom="column">
                        <wp:posOffset>3809061</wp:posOffset>
                      </wp:positionH>
                      <wp:positionV relativeFrom="paragraph">
                        <wp:posOffset>3462020</wp:posOffset>
                      </wp:positionV>
                      <wp:extent cx="2051050" cy="309880"/>
                      <wp:effectExtent l="0" t="0" r="6350" b="0"/>
                      <wp:wrapNone/>
                      <wp:docPr id="686339255" name="Rectangle 686339255"/>
                      <wp:cNvGraphicFramePr/>
                      <a:graphic xmlns:a="http://schemas.openxmlformats.org/drawingml/2006/main">
                        <a:graphicData uri="http://schemas.microsoft.com/office/word/2010/wordprocessingShape">
                          <wps:wsp>
                            <wps:cNvSpPr/>
                            <wps:spPr>
                              <a:xfrm>
                                <a:off x="0" y="0"/>
                                <a:ext cx="2051050"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8C89C" id="Rectangle 686339255" o:spid="_x0000_s1026" style="position:absolute;margin-left:299.95pt;margin-top:272.6pt;width:161.5pt;height:2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" fillcolor="#c0504d" stroked="f" strokeweight="1pt"/>
                  </w:pict>
                </mc:Fallback>
              </mc:AlternateContent>
            </w:r>
            <w:r w:rsidRPr="000C465B">
              <w:rPr>
                <w:rFonts w:ascii="Calibri" w:hAnsi="Calibri"/>
                <w:noProof/>
                <w:color w:val="003E7E"/>
              </w:rPr>
              <mc:AlternateContent>
                <mc:Choice Requires="wps">
                  <w:drawing>
                    <wp:anchor distT="0" distB="0" distL="114300" distR="114300" simplePos="0" relativeHeight="251687936" behindDoc="0" locked="0" layoutInCell="1" allowOverlap="1" wp14:anchorId="5E15956F" wp14:editId="7D12B476">
                      <wp:simplePos x="0" y="0"/>
                      <wp:positionH relativeFrom="column">
                        <wp:posOffset>3382286</wp:posOffset>
                      </wp:positionH>
                      <wp:positionV relativeFrom="paragraph">
                        <wp:posOffset>2961502</wp:posOffset>
                      </wp:positionV>
                      <wp:extent cx="2488758" cy="309880"/>
                      <wp:effectExtent l="0" t="0" r="6985" b="0"/>
                      <wp:wrapNone/>
                      <wp:docPr id="1648358838" name="Rectangle 1648358838"/>
                      <wp:cNvGraphicFramePr/>
                      <a:graphic xmlns:a="http://schemas.openxmlformats.org/drawingml/2006/main">
                        <a:graphicData uri="http://schemas.microsoft.com/office/word/2010/wordprocessingShape">
                          <wps:wsp>
                            <wps:cNvSpPr/>
                            <wps:spPr>
                              <a:xfrm>
                                <a:off x="0" y="0"/>
                                <a:ext cx="2488758" cy="309880"/>
                              </a:xfrm>
                              <a:prstGeom prst="rect">
                                <a:avLst/>
                              </a:prstGeom>
                              <a:solidFill>
                                <a:srgbClr val="00206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4ECAB" id="Rectangle 1648358838" o:spid="_x0000_s1026" style="position:absolute;margin-left:266.3pt;margin-top:233.2pt;width:195.95pt;height:2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" fillcolor="#002060" stroked="f" strokeweight="1pt"/>
                  </w:pict>
                </mc:Fallback>
              </mc:AlternateContent>
            </w:r>
            <w:r w:rsidRPr="000C465B">
              <w:rPr>
                <w:rFonts w:ascii="Calibri" w:hAnsi="Calibri"/>
                <w:noProof/>
              </w:rPr>
              <mc:AlternateContent>
                <mc:Choice Requires="wps">
                  <w:drawing>
                    <wp:anchor distT="0" distB="0" distL="114300" distR="114300" simplePos="0" relativeHeight="251688960" behindDoc="0" locked="0" layoutInCell="1" allowOverlap="1" wp14:anchorId="51A21DB5" wp14:editId="535A98EC">
                      <wp:simplePos x="0" y="0"/>
                      <wp:positionH relativeFrom="column">
                        <wp:posOffset>3453848</wp:posOffset>
                      </wp:positionH>
                      <wp:positionV relativeFrom="paragraph">
                        <wp:posOffset>2977405</wp:posOffset>
                      </wp:positionV>
                      <wp:extent cx="2361537" cy="261620"/>
                      <wp:effectExtent l="0" t="0" r="0" b="5080"/>
                      <wp:wrapNone/>
                      <wp:docPr id="390163268" name="Text Box 390163268"/>
                      <wp:cNvGraphicFramePr/>
                      <a:graphic xmlns:a="http://schemas.openxmlformats.org/drawingml/2006/main">
                        <a:graphicData uri="http://schemas.microsoft.com/office/word/2010/wordprocessingShape">
                          <wps:wsp>
                            <wps:cNvSpPr txBox="1"/>
                            <wps:spPr>
                              <a:xfrm>
                                <a:off x="0" y="0"/>
                                <a:ext cx="2361537" cy="261620"/>
                              </a:xfrm>
                              <a:prstGeom prst="rect">
                                <a:avLst/>
                              </a:prstGeom>
                              <a:noFill/>
                              <a:ln w="6350">
                                <a:noFill/>
                              </a:ln>
                            </wps:spPr>
                            <wps:txbx>
                              <w:txbxContent>
                                <w:p w14:paraId="621F417C" w14:textId="77777777" w:rsidR="000C465B" w:rsidRPr="0078570A" w:rsidRDefault="000C465B" w:rsidP="000C465B">
                                  <w:pPr>
                                    <w:pStyle w:val="NoSpacing"/>
                                    <w:jc w:val="center"/>
                                    <w:rPr>
                                      <w:b/>
                                      <w:color w:val="FFFFFF"/>
                                    </w:rPr>
                                  </w:pPr>
                                  <w:r w:rsidRPr="0078570A">
                                    <w:rPr>
                                      <w:b/>
                                      <w:color w:val="FFFFFF"/>
                                    </w:rPr>
                                    <w:t>Reconstituted Expression of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1DB5" id="Text Box 390163268" o:spid="_x0000_s1037" type="#_x0000_t202" style="position:absolute;margin-left:271.95pt;margin-top:234.45pt;width:185.95pt;height:2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PGw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" filled="f" stroked="f" strokeweight=".5pt">
                      <v:textbox>
                        <w:txbxContent>
                          <w:p w14:paraId="621F417C" w14:textId="77777777" w:rsidR="000C465B" w:rsidRPr="0078570A" w:rsidRDefault="000C465B" w:rsidP="000C465B">
                            <w:pPr>
                              <w:pStyle w:val="NoSpacing"/>
                              <w:jc w:val="center"/>
                              <w:rPr>
                                <w:b/>
                                <w:color w:val="FFFFFF"/>
                              </w:rPr>
                            </w:pPr>
                            <w:r w:rsidRPr="0078570A">
                              <w:rPr>
                                <w:b/>
                                <w:color w:val="FFFFFF"/>
                              </w:rPr>
                              <w:t>Reconstituted Expression of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700224" behindDoc="0" locked="0" layoutInCell="1" allowOverlap="1" wp14:anchorId="55A96C5A" wp14:editId="5FAE91A2">
                      <wp:simplePos x="0" y="0"/>
                      <wp:positionH relativeFrom="column">
                        <wp:posOffset>941236</wp:posOffset>
                      </wp:positionH>
                      <wp:positionV relativeFrom="paragraph">
                        <wp:posOffset>3120528</wp:posOffset>
                      </wp:positionV>
                      <wp:extent cx="2441050" cy="0"/>
                      <wp:effectExtent l="0" t="95250" r="0" b="95250"/>
                      <wp:wrapNone/>
                      <wp:docPr id="1993635707" name="Straight Arrow Connector 1993635707"/>
                      <wp:cNvGraphicFramePr/>
                      <a:graphic xmlns:a="http://schemas.openxmlformats.org/drawingml/2006/main">
                        <a:graphicData uri="http://schemas.microsoft.com/office/word/2010/wordprocessingShape">
                          <wps:wsp>
                            <wps:cNvCnPr/>
                            <wps:spPr>
                              <a:xfrm flipH="1">
                                <a:off x="0" y="0"/>
                                <a:ext cx="2441050"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07DD4866" id="Straight Arrow Connector 1993635707" o:spid="_x0000_s1026" type="#_x0000_t32" style="position:absolute;margin-left:74.1pt;margin-top:245.7pt;width:192.2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" strokecolor="#003e7e" strokeweight="3pt">
                      <v:stroke endarrow="block"/>
                    </v:shape>
                  </w:pict>
                </mc:Fallback>
              </mc:AlternateContent>
            </w:r>
            <w:r w:rsidRPr="000C465B">
              <w:rPr>
                <w:rFonts w:ascii="Calibri" w:hAnsi="Calibri"/>
                <w:noProof/>
              </w:rPr>
              <w:drawing>
                <wp:inline distT="0" distB="0" distL="0" distR="0" wp14:anchorId="4715E4FE" wp14:editId="2DFEC8C1">
                  <wp:extent cx="3200400" cy="4114800"/>
                  <wp:effectExtent l="0" t="0" r="0" b="0"/>
                  <wp:docPr id="1837675192" name="Picture 183767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Q-S3b-v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0400" cy="4114800"/>
                          </a:xfrm>
                          <a:prstGeom prst="rect">
                            <a:avLst/>
                          </a:prstGeom>
                        </pic:spPr>
                      </pic:pic>
                    </a:graphicData>
                  </a:graphic>
                </wp:inline>
              </w:drawing>
            </w:r>
          </w:p>
        </w:tc>
      </w:tr>
    </w:tbl>
    <w:p w14:paraId="5BC91180" w14:textId="77777777" w:rsidR="000C465B" w:rsidRPr="000C465B" w:rsidRDefault="000C465B" w:rsidP="000C465B">
      <w:pPr>
        <w:spacing w:after="200" w:line="276" w:lineRule="auto"/>
        <w:jc w:val="left"/>
        <w:rPr>
          <w:rFonts w:ascii="Calibri" w:hAnsi="Calibri"/>
          <w:sz w:val="22"/>
        </w:rPr>
      </w:pPr>
    </w:p>
    <w:p w14:paraId="74EC779A" w14:textId="77777777" w:rsidR="00810BDD" w:rsidRDefault="00810BDD" w:rsidP="000C465B">
      <w:pPr>
        <w:spacing w:after="200" w:line="276" w:lineRule="auto"/>
        <w:jc w:val="left"/>
        <w:rPr>
          <w:szCs w:val="20"/>
        </w:rPr>
      </w:pPr>
    </w:p>
    <w:p w14:paraId="7C53FA6E" w14:textId="77777777" w:rsidR="00810BDD" w:rsidRDefault="00810BDD" w:rsidP="000C465B">
      <w:pPr>
        <w:spacing w:after="200" w:line="276" w:lineRule="auto"/>
        <w:jc w:val="left"/>
        <w:rPr>
          <w:szCs w:val="20"/>
        </w:rPr>
      </w:pPr>
    </w:p>
    <w:p w14:paraId="4BB14B71" w14:textId="2EB54CE7" w:rsidR="000C465B" w:rsidRPr="000C465B" w:rsidRDefault="000C465B" w:rsidP="000C465B">
      <w:pPr>
        <w:spacing w:after="200" w:line="276" w:lineRule="auto"/>
        <w:jc w:val="left"/>
        <w:rPr>
          <w:szCs w:val="20"/>
        </w:rPr>
      </w:pPr>
      <w:r w:rsidRPr="000C465B">
        <w:rPr>
          <w:szCs w:val="20"/>
        </w:rPr>
        <w:lastRenderedPageBreak/>
        <w:t>Additional examples of a Reconstituted Expression of Quantity (REQ) would be:</w:t>
      </w:r>
    </w:p>
    <w:p w14:paraId="6BA81620" w14:textId="77777777" w:rsidR="000C465B" w:rsidRPr="000C465B" w:rsidRDefault="000C465B" w:rsidP="000C465B">
      <w:pPr>
        <w:numPr>
          <w:ilvl w:val="0"/>
          <w:numId w:val="101"/>
        </w:numPr>
        <w:spacing w:after="120" w:line="276" w:lineRule="auto"/>
        <w:contextualSpacing/>
        <w:jc w:val="left"/>
        <w:rPr>
          <w:rFonts w:eastAsia="Times New Roman"/>
          <w:szCs w:val="20"/>
        </w:rPr>
      </w:pPr>
      <w:r w:rsidRPr="000C465B">
        <w:rPr>
          <w:rFonts w:eastAsia="Times New Roman"/>
          <w:szCs w:val="20"/>
        </w:rPr>
        <w:t>Statement “Makes 12 Gallons” separately appearing on the PDP from the Declaration of Net Quantity reading “8 Ounces (226 Grams)”</w:t>
      </w:r>
    </w:p>
    <w:p w14:paraId="2A65AEEE" w14:textId="77777777" w:rsidR="000C465B" w:rsidRPr="000C465B" w:rsidRDefault="000C465B" w:rsidP="000C465B">
      <w:pPr>
        <w:spacing w:after="120"/>
        <w:ind w:left="720"/>
        <w:contextualSpacing/>
        <w:jc w:val="left"/>
        <w:rPr>
          <w:rFonts w:eastAsia="Times New Roman"/>
          <w:szCs w:val="20"/>
        </w:rPr>
      </w:pPr>
    </w:p>
    <w:p w14:paraId="19F4AA1E" w14:textId="77777777" w:rsidR="000C465B" w:rsidRPr="000C465B" w:rsidRDefault="000C465B" w:rsidP="000C465B">
      <w:pPr>
        <w:numPr>
          <w:ilvl w:val="0"/>
          <w:numId w:val="101"/>
        </w:numPr>
        <w:spacing w:after="120" w:line="276" w:lineRule="auto"/>
        <w:contextualSpacing/>
        <w:jc w:val="left"/>
        <w:rPr>
          <w:rFonts w:eastAsia="Times New Roman"/>
          <w:szCs w:val="20"/>
        </w:rPr>
      </w:pPr>
      <w:r w:rsidRPr="000C465B">
        <w:rPr>
          <w:rFonts w:eastAsia="Times New Roman"/>
          <w:szCs w:val="20"/>
        </w:rPr>
        <w:t>Statement “Makes 2 Liters” separately appearing on the PDP from the Declaration of Net Quantity reading “4 Ounces (113 Grams)”</w:t>
      </w:r>
    </w:p>
    <w:p w14:paraId="5A2F0994" w14:textId="77777777" w:rsidR="000C465B" w:rsidRPr="000C465B" w:rsidRDefault="000C465B" w:rsidP="000C465B">
      <w:pPr>
        <w:spacing w:after="120"/>
        <w:contextualSpacing/>
        <w:jc w:val="left"/>
        <w:rPr>
          <w:rFonts w:eastAsia="Times New Roman"/>
          <w:szCs w:val="20"/>
        </w:rPr>
      </w:pPr>
    </w:p>
    <w:p w14:paraId="598F53F2" w14:textId="77777777" w:rsidR="000C465B" w:rsidRPr="000C465B" w:rsidRDefault="000C465B" w:rsidP="000C465B">
      <w:pPr>
        <w:numPr>
          <w:ilvl w:val="0"/>
          <w:numId w:val="101"/>
        </w:numPr>
        <w:spacing w:after="120" w:line="276" w:lineRule="auto"/>
        <w:contextualSpacing/>
        <w:jc w:val="left"/>
        <w:rPr>
          <w:rFonts w:eastAsia="Times New Roman"/>
          <w:szCs w:val="20"/>
        </w:rPr>
      </w:pPr>
      <w:r w:rsidRPr="000C465B">
        <w:rPr>
          <w:rFonts w:eastAsia="Times New Roman"/>
          <w:szCs w:val="20"/>
        </w:rPr>
        <w:t>Statement “Makes 50 Liters” separately appearing on the PDP from the Declaration of Net Quantity reading “1.5 Liters (1.58 Quarts)”</w:t>
      </w:r>
    </w:p>
    <w:p w14:paraId="6A945B4E" w14:textId="77777777" w:rsidR="000C465B" w:rsidRPr="000C465B" w:rsidRDefault="000C465B" w:rsidP="000C465B">
      <w:pPr>
        <w:spacing w:after="120"/>
        <w:contextualSpacing/>
        <w:jc w:val="left"/>
        <w:rPr>
          <w:rFonts w:eastAsia="Times New Roman"/>
          <w:szCs w:val="20"/>
        </w:rPr>
      </w:pPr>
    </w:p>
    <w:p w14:paraId="587FAADB" w14:textId="77777777" w:rsidR="000C465B" w:rsidRPr="000C465B" w:rsidRDefault="000C465B" w:rsidP="000C465B">
      <w:pPr>
        <w:numPr>
          <w:ilvl w:val="0"/>
          <w:numId w:val="101"/>
        </w:numPr>
        <w:spacing w:after="120" w:line="276" w:lineRule="auto"/>
        <w:contextualSpacing/>
        <w:jc w:val="left"/>
        <w:rPr>
          <w:rFonts w:eastAsia="Times New Roman"/>
          <w:szCs w:val="20"/>
        </w:rPr>
      </w:pPr>
      <w:r w:rsidRPr="000C465B">
        <w:rPr>
          <w:rFonts w:eastAsia="Times New Roman"/>
          <w:szCs w:val="20"/>
        </w:rPr>
        <w:t>Statement “Makes 20 Quarts” separately appearing on the PDP from the Declaration of Net Quantity reading “1 Liter (1.05 Quart)”</w:t>
      </w:r>
    </w:p>
    <w:p w14:paraId="34CA8680" w14:textId="77777777" w:rsidR="000C465B" w:rsidRPr="000C465B" w:rsidRDefault="000C465B" w:rsidP="000C465B">
      <w:pPr>
        <w:spacing w:after="200" w:line="276" w:lineRule="auto"/>
        <w:jc w:val="left"/>
        <w:rPr>
          <w:b/>
          <w:szCs w:val="20"/>
        </w:rPr>
      </w:pPr>
    </w:p>
    <w:p w14:paraId="5896A867" w14:textId="77777777" w:rsidR="000C465B" w:rsidRPr="000C465B" w:rsidRDefault="000C465B" w:rsidP="000C465B">
      <w:pPr>
        <w:spacing w:after="200" w:line="276" w:lineRule="auto"/>
        <w:rPr>
          <w:szCs w:val="20"/>
        </w:rPr>
      </w:pPr>
      <w:r w:rsidRPr="000C465B">
        <w:rPr>
          <w:b/>
          <w:szCs w:val="20"/>
        </w:rPr>
        <w:t xml:space="preserve">3. </w:t>
      </w:r>
      <w:r w:rsidRPr="000C465B">
        <w:rPr>
          <w:b/>
          <w:szCs w:val="20"/>
          <w:u w:val="single"/>
        </w:rPr>
        <w:t>Derived Unit Expression (DUE)</w:t>
      </w:r>
      <w:r w:rsidRPr="000C465B">
        <w:rPr>
          <w:b/>
          <w:bCs/>
          <w:szCs w:val="20"/>
        </w:rPr>
        <w:t xml:space="preserve"> </w:t>
      </w:r>
      <w:r w:rsidRPr="000C465B">
        <w:rPr>
          <w:szCs w:val="20"/>
        </w:rPr>
        <w:t xml:space="preserve">– an exact expression appearing on the Principal Display Panel (PDP) in addition to the Declaration of Net Quantity (DoNQ) which expresses a quantity in terms of a unit that is not a recognized unit of weight or measure within Legal Metrology or prevailing systems of measurement (e.g., the U.S. Customary or metric systems).  The derived unit may be based upon a recognized unit of measure and/or be based on a measurable factor related to consumer usage.  </w:t>
      </w:r>
    </w:p>
    <w:p w14:paraId="26C75155" w14:textId="77777777" w:rsidR="000C465B" w:rsidRPr="000C465B" w:rsidRDefault="000C465B" w:rsidP="000C465B">
      <w:pPr>
        <w:spacing w:after="200" w:line="276" w:lineRule="auto"/>
        <w:rPr>
          <w:szCs w:val="20"/>
        </w:rPr>
      </w:pPr>
      <w:r w:rsidRPr="000C465B">
        <w:rPr>
          <w:szCs w:val="20"/>
        </w:rPr>
        <w:t>In the package diagram below, the Derived Unit Expression (DUE) would be the “28 Doses” expression which is present on the PDP in addition to the required Declaration of Net Quantity.</w:t>
      </w:r>
    </w:p>
    <w:p w14:paraId="47880285" w14:textId="77777777" w:rsidR="000C465B" w:rsidRPr="000C465B" w:rsidRDefault="000C465B" w:rsidP="000C465B">
      <w:pPr>
        <w:spacing w:after="200" w:line="276" w:lineRule="auto"/>
        <w:jc w:val="left"/>
        <w:rPr>
          <w:rFonts w:ascii="Calibri" w:hAnsi="Calibri"/>
          <w:sz w:val="22"/>
        </w:rPr>
      </w:pPr>
    </w:p>
    <w:tbl>
      <w:tblPr>
        <w:tblStyle w:val="TableGrid22"/>
        <w:tblW w:w="0" w:type="auto"/>
        <w:tblLook w:val="04A0" w:firstRow="1" w:lastRow="0" w:firstColumn="1" w:lastColumn="0" w:noHBand="0" w:noVBand="1"/>
      </w:tblPr>
      <w:tblGrid>
        <w:gridCol w:w="9350"/>
      </w:tblGrid>
      <w:tr w:rsidR="000C465B" w:rsidRPr="000C465B" w14:paraId="7BF127B3" w14:textId="77777777" w:rsidTr="005F0F3E">
        <w:tc>
          <w:tcPr>
            <w:tcW w:w="9350" w:type="dxa"/>
            <w:tcBorders>
              <w:top w:val="nil"/>
              <w:left w:val="nil"/>
              <w:bottom w:val="nil"/>
              <w:right w:val="nil"/>
            </w:tcBorders>
          </w:tcPr>
          <w:p w14:paraId="47D57D96" w14:textId="77777777" w:rsidR="000C465B" w:rsidRPr="000C465B" w:rsidRDefault="000C465B" w:rsidP="000C465B">
            <w:pPr>
              <w:spacing w:after="0"/>
              <w:jc w:val="left"/>
              <w:rPr>
                <w:rFonts w:ascii="Calibri" w:hAnsi="Calibri"/>
              </w:rPr>
            </w:pPr>
            <w:r w:rsidRPr="000C465B">
              <w:rPr>
                <w:rFonts w:ascii="Calibri" w:hAnsi="Calibri"/>
                <w:noProof/>
              </w:rPr>
              <w:lastRenderedPageBreak/>
              <mc:AlternateContent>
                <mc:Choice Requires="wps">
                  <w:drawing>
                    <wp:anchor distT="0" distB="0" distL="114300" distR="114300" simplePos="0" relativeHeight="251714560" behindDoc="0" locked="0" layoutInCell="1" allowOverlap="1" wp14:anchorId="22685DD8" wp14:editId="18E4F71F">
                      <wp:simplePos x="0" y="0"/>
                      <wp:positionH relativeFrom="column">
                        <wp:posOffset>614680</wp:posOffset>
                      </wp:positionH>
                      <wp:positionV relativeFrom="paragraph">
                        <wp:posOffset>2236139</wp:posOffset>
                      </wp:positionV>
                      <wp:extent cx="2202511" cy="0"/>
                      <wp:effectExtent l="0" t="95250" r="0" b="95250"/>
                      <wp:wrapNone/>
                      <wp:docPr id="1587759225" name="Straight Arrow Connector 1587759225"/>
                      <wp:cNvGraphicFramePr/>
                      <a:graphic xmlns:a="http://schemas.openxmlformats.org/drawingml/2006/main">
                        <a:graphicData uri="http://schemas.microsoft.com/office/word/2010/wordprocessingShape">
                          <wps:wsp>
                            <wps:cNvCnPr/>
                            <wps:spPr>
                              <a:xfrm flipH="1">
                                <a:off x="0" y="0"/>
                                <a:ext cx="2202511"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25429834" id="Straight Arrow Connector 1587759225" o:spid="_x0000_s1026" type="#_x0000_t32" style="position:absolute;margin-left:48.4pt;margin-top:176.05pt;width:173.4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" strokecolor="#003e7e"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91008" behindDoc="0" locked="0" layoutInCell="1" allowOverlap="1" wp14:anchorId="22E916F6" wp14:editId="6322A5C5">
                      <wp:simplePos x="0" y="0"/>
                      <wp:positionH relativeFrom="column">
                        <wp:posOffset>2817495</wp:posOffset>
                      </wp:positionH>
                      <wp:positionV relativeFrom="paragraph">
                        <wp:posOffset>3548049</wp:posOffset>
                      </wp:positionV>
                      <wp:extent cx="1819910" cy="261620"/>
                      <wp:effectExtent l="0" t="0" r="0" b="5080"/>
                      <wp:wrapNone/>
                      <wp:docPr id="1615736380" name="Text Box 1615736380"/>
                      <wp:cNvGraphicFramePr/>
                      <a:graphic xmlns:a="http://schemas.openxmlformats.org/drawingml/2006/main">
                        <a:graphicData uri="http://schemas.microsoft.com/office/word/2010/wordprocessingShape">
                          <wps:wsp>
                            <wps:cNvSpPr txBox="1"/>
                            <wps:spPr>
                              <a:xfrm>
                                <a:off x="0" y="0"/>
                                <a:ext cx="1819910" cy="261620"/>
                              </a:xfrm>
                              <a:prstGeom prst="rect">
                                <a:avLst/>
                              </a:prstGeom>
                              <a:noFill/>
                              <a:ln w="6350">
                                <a:noFill/>
                              </a:ln>
                            </wps:spPr>
                            <wps:txbx>
                              <w:txbxContent>
                                <w:p w14:paraId="3C6675C9"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916F6" id="Text Box 1615736380" o:spid="_x0000_s1038" type="#_x0000_t202" style="position:absolute;margin-left:221.85pt;margin-top:279.35pt;width:143.3pt;height:20.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" filled="f" stroked="f" strokeweight=".5pt">
                      <v:textbox>
                        <w:txbxContent>
                          <w:p w14:paraId="3C6675C9"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89984" behindDoc="0" locked="0" layoutInCell="1" allowOverlap="1" wp14:anchorId="433E5E91" wp14:editId="4ABEBF03">
                      <wp:simplePos x="0" y="0"/>
                      <wp:positionH relativeFrom="column">
                        <wp:posOffset>2690495</wp:posOffset>
                      </wp:positionH>
                      <wp:positionV relativeFrom="paragraph">
                        <wp:posOffset>3532174</wp:posOffset>
                      </wp:positionV>
                      <wp:extent cx="2051050" cy="309880"/>
                      <wp:effectExtent l="0" t="0" r="6350" b="0"/>
                      <wp:wrapNone/>
                      <wp:docPr id="1076865049" name="Rectangle 1076865049"/>
                      <wp:cNvGraphicFramePr/>
                      <a:graphic xmlns:a="http://schemas.openxmlformats.org/drawingml/2006/main">
                        <a:graphicData uri="http://schemas.microsoft.com/office/word/2010/wordprocessingShape">
                          <wps:wsp>
                            <wps:cNvSpPr/>
                            <wps:spPr>
                              <a:xfrm>
                                <a:off x="0" y="0"/>
                                <a:ext cx="2051050"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05A24" id="Rectangle 1076865049" o:spid="_x0000_s1026" style="position:absolute;margin-left:211.85pt;margin-top:278.1pt;width:161.5pt;height:24.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" fillcolor="#c0504d" stroked="f" strokeweight="1pt"/>
                  </w:pict>
                </mc:Fallback>
              </mc:AlternateContent>
            </w:r>
            <w:r w:rsidRPr="000C465B">
              <w:rPr>
                <w:rFonts w:ascii="Calibri" w:hAnsi="Calibri"/>
                <w:noProof/>
              </w:rPr>
              <mc:AlternateContent>
                <mc:Choice Requires="wps">
                  <w:drawing>
                    <wp:anchor distT="0" distB="0" distL="114300" distR="114300" simplePos="0" relativeHeight="251706368" behindDoc="0" locked="0" layoutInCell="1" allowOverlap="1" wp14:anchorId="12B2A3DE" wp14:editId="6A4543F4">
                      <wp:simplePos x="0" y="0"/>
                      <wp:positionH relativeFrom="column">
                        <wp:posOffset>1982857</wp:posOffset>
                      </wp:positionH>
                      <wp:positionV relativeFrom="paragraph">
                        <wp:posOffset>3684160</wp:posOffset>
                      </wp:positionV>
                      <wp:extent cx="755373" cy="0"/>
                      <wp:effectExtent l="0" t="95250" r="0" b="95250"/>
                      <wp:wrapNone/>
                      <wp:docPr id="1238065504" name="Straight Arrow Connector 1238065504"/>
                      <wp:cNvGraphicFramePr/>
                      <a:graphic xmlns:a="http://schemas.openxmlformats.org/drawingml/2006/main">
                        <a:graphicData uri="http://schemas.microsoft.com/office/word/2010/wordprocessingShape">
                          <wps:wsp>
                            <wps:cNvCnPr/>
                            <wps:spPr>
                              <a:xfrm flipH="1">
                                <a:off x="0" y="0"/>
                                <a:ext cx="755373"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157814AB" id="Straight Arrow Connector 1238065504" o:spid="_x0000_s1026" type="#_x0000_t32" style="position:absolute;margin-left:156.15pt;margin-top:290.1pt;width:59.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" strokecolor="#c0504d"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93056" behindDoc="0" locked="0" layoutInCell="1" allowOverlap="1" wp14:anchorId="7E4CCC57" wp14:editId="63482A9A">
                      <wp:simplePos x="0" y="0"/>
                      <wp:positionH relativeFrom="column">
                        <wp:posOffset>2908300</wp:posOffset>
                      </wp:positionH>
                      <wp:positionV relativeFrom="paragraph">
                        <wp:posOffset>2101215</wp:posOffset>
                      </wp:positionV>
                      <wp:extent cx="1613535" cy="261620"/>
                      <wp:effectExtent l="0" t="0" r="0" b="5080"/>
                      <wp:wrapNone/>
                      <wp:docPr id="1046970441" name="Text Box 1046970441"/>
                      <wp:cNvGraphicFramePr/>
                      <a:graphic xmlns:a="http://schemas.openxmlformats.org/drawingml/2006/main">
                        <a:graphicData uri="http://schemas.microsoft.com/office/word/2010/wordprocessingShape">
                          <wps:wsp>
                            <wps:cNvSpPr txBox="1"/>
                            <wps:spPr>
                              <a:xfrm>
                                <a:off x="0" y="0"/>
                                <a:ext cx="1613535" cy="261620"/>
                              </a:xfrm>
                              <a:prstGeom prst="rect">
                                <a:avLst/>
                              </a:prstGeom>
                              <a:noFill/>
                              <a:ln w="6350">
                                <a:noFill/>
                              </a:ln>
                            </wps:spPr>
                            <wps:txbx>
                              <w:txbxContent>
                                <w:p w14:paraId="33B23E05" w14:textId="77777777" w:rsidR="000C465B" w:rsidRPr="0078570A" w:rsidRDefault="000C465B" w:rsidP="000C465B">
                                  <w:pPr>
                                    <w:pStyle w:val="NoSpacing"/>
                                    <w:jc w:val="center"/>
                                    <w:rPr>
                                      <w:b/>
                                      <w:color w:val="FFFFFF"/>
                                    </w:rPr>
                                  </w:pPr>
                                  <w:r w:rsidRPr="0078570A">
                                    <w:rPr>
                                      <w:b/>
                                      <w:color w:val="FFFFFF"/>
                                    </w:rPr>
                                    <w:t>Derived Unit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CCC57" id="Text Box 1046970441" o:spid="_x0000_s1039" type="#_x0000_t202" style="position:absolute;margin-left:229pt;margin-top:165.45pt;width:127.05pt;height:2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" filled="f" stroked="f" strokeweight=".5pt">
                      <v:textbox>
                        <w:txbxContent>
                          <w:p w14:paraId="33B23E05" w14:textId="77777777" w:rsidR="000C465B" w:rsidRPr="0078570A" w:rsidRDefault="000C465B" w:rsidP="000C465B">
                            <w:pPr>
                              <w:pStyle w:val="NoSpacing"/>
                              <w:jc w:val="center"/>
                              <w:rPr>
                                <w:b/>
                                <w:color w:val="FFFFFF"/>
                              </w:rPr>
                            </w:pPr>
                            <w:r w:rsidRPr="0078570A">
                              <w:rPr>
                                <w:b/>
                                <w:color w:val="FFFFFF"/>
                              </w:rPr>
                              <w:t>Derived Unit Expression</w:t>
                            </w:r>
                          </w:p>
                        </w:txbxContent>
                      </v:textbox>
                    </v:shape>
                  </w:pict>
                </mc:Fallback>
              </mc:AlternateContent>
            </w:r>
            <w:r w:rsidRPr="000C465B">
              <w:rPr>
                <w:rFonts w:ascii="Calibri" w:hAnsi="Calibri"/>
                <w:noProof/>
              </w:rPr>
              <mc:AlternateContent>
                <mc:Choice Requires="wps">
                  <w:drawing>
                    <wp:anchor distT="0" distB="0" distL="114300" distR="114300" simplePos="0" relativeHeight="251692032" behindDoc="0" locked="0" layoutInCell="1" allowOverlap="1" wp14:anchorId="62973FAB" wp14:editId="5F726846">
                      <wp:simplePos x="0" y="0"/>
                      <wp:positionH relativeFrom="column">
                        <wp:posOffset>2817495</wp:posOffset>
                      </wp:positionH>
                      <wp:positionV relativeFrom="paragraph">
                        <wp:posOffset>2085340</wp:posOffset>
                      </wp:positionV>
                      <wp:extent cx="1796388" cy="309880"/>
                      <wp:effectExtent l="0" t="0" r="0" b="0"/>
                      <wp:wrapNone/>
                      <wp:docPr id="826734751" name="Rectangle 826734751"/>
                      <wp:cNvGraphicFramePr/>
                      <a:graphic xmlns:a="http://schemas.openxmlformats.org/drawingml/2006/main">
                        <a:graphicData uri="http://schemas.microsoft.com/office/word/2010/wordprocessingShape">
                          <wps:wsp>
                            <wps:cNvSpPr/>
                            <wps:spPr>
                              <a:xfrm>
                                <a:off x="0" y="0"/>
                                <a:ext cx="1796388"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062ED4" id="Rectangle 826734751" o:spid="_x0000_s1026" style="position:absolute;margin-left:221.85pt;margin-top:164.2pt;width:141.45pt;height:24.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" fillcolor="#003e7e" stroked="f" strokeweight="1pt"/>
                  </w:pict>
                </mc:Fallback>
              </mc:AlternateContent>
            </w:r>
            <w:r w:rsidRPr="000C465B">
              <w:rPr>
                <w:rFonts w:ascii="Calibri" w:hAnsi="Calibri"/>
                <w:noProof/>
              </w:rPr>
              <w:drawing>
                <wp:inline distT="0" distB="0" distL="0" distR="0" wp14:anchorId="43172783" wp14:editId="6A539D83">
                  <wp:extent cx="2194560" cy="4572000"/>
                  <wp:effectExtent l="0" t="0" r="0" b="0"/>
                  <wp:docPr id="882842173" name="Picture 882842173" descr="D:\NCWM\PALS Diagrams\Set 4\5-DUE\DUE-S5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CWM\PALS Diagrams\Set 4\5-DUE\DUE-S5a-v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94560" cy="4572000"/>
                          </a:xfrm>
                          <a:prstGeom prst="rect">
                            <a:avLst/>
                          </a:prstGeom>
                          <a:noFill/>
                          <a:ln>
                            <a:noFill/>
                          </a:ln>
                        </pic:spPr>
                      </pic:pic>
                    </a:graphicData>
                  </a:graphic>
                </wp:inline>
              </w:drawing>
            </w:r>
          </w:p>
          <w:p w14:paraId="643FB217" w14:textId="77777777" w:rsidR="000C465B" w:rsidRPr="000C465B" w:rsidRDefault="000C465B" w:rsidP="000C465B">
            <w:pPr>
              <w:spacing w:after="0"/>
              <w:jc w:val="left"/>
              <w:rPr>
                <w:rFonts w:ascii="Calibri" w:hAnsi="Calibri"/>
              </w:rPr>
            </w:pPr>
          </w:p>
          <w:p w14:paraId="7AA00AF2" w14:textId="77777777" w:rsidR="000C465B" w:rsidRPr="000C465B" w:rsidRDefault="000C465B" w:rsidP="000C465B">
            <w:pPr>
              <w:spacing w:after="0"/>
              <w:jc w:val="left"/>
              <w:rPr>
                <w:rFonts w:ascii="Calibri" w:hAnsi="Calibri"/>
              </w:rPr>
            </w:pPr>
          </w:p>
          <w:p w14:paraId="68D0EA03" w14:textId="77777777" w:rsidR="000C465B" w:rsidRPr="000C465B" w:rsidRDefault="000C465B" w:rsidP="000C465B">
            <w:pPr>
              <w:spacing w:after="0"/>
              <w:jc w:val="left"/>
              <w:rPr>
                <w:rFonts w:ascii="Calibri" w:hAnsi="Calibri"/>
              </w:rPr>
            </w:pPr>
          </w:p>
          <w:p w14:paraId="31AE57EC" w14:textId="77777777" w:rsidR="000C465B" w:rsidRPr="000C465B" w:rsidRDefault="000C465B" w:rsidP="000C465B">
            <w:pPr>
              <w:spacing w:after="0"/>
              <w:jc w:val="left"/>
              <w:rPr>
                <w:rFonts w:ascii="Calibri" w:hAnsi="Calibri"/>
              </w:rPr>
            </w:pPr>
          </w:p>
          <w:p w14:paraId="086FC29E" w14:textId="77777777" w:rsidR="000C465B" w:rsidRPr="000C465B" w:rsidRDefault="000C465B" w:rsidP="000C465B">
            <w:pPr>
              <w:spacing w:after="200" w:line="276" w:lineRule="auto"/>
              <w:jc w:val="left"/>
            </w:pPr>
          </w:p>
          <w:p w14:paraId="4289DE9F" w14:textId="77777777" w:rsidR="000C465B" w:rsidRPr="000C465B" w:rsidRDefault="000C465B" w:rsidP="000C465B">
            <w:pPr>
              <w:spacing w:after="200" w:line="276" w:lineRule="auto"/>
              <w:jc w:val="left"/>
            </w:pPr>
          </w:p>
          <w:p w14:paraId="3E2E4E95" w14:textId="77777777" w:rsidR="000C465B" w:rsidRPr="000C465B" w:rsidRDefault="000C465B" w:rsidP="000C465B">
            <w:pPr>
              <w:spacing w:after="200" w:line="276" w:lineRule="auto"/>
              <w:jc w:val="left"/>
            </w:pPr>
          </w:p>
          <w:p w14:paraId="11897549" w14:textId="77777777" w:rsidR="000C465B" w:rsidRPr="000C465B" w:rsidRDefault="000C465B" w:rsidP="000C465B">
            <w:pPr>
              <w:spacing w:after="200" w:line="276" w:lineRule="auto"/>
              <w:jc w:val="left"/>
            </w:pPr>
          </w:p>
          <w:p w14:paraId="61652C1D" w14:textId="77777777" w:rsidR="000C465B" w:rsidRPr="000C465B" w:rsidRDefault="000C465B" w:rsidP="000C465B">
            <w:pPr>
              <w:spacing w:after="200" w:line="276" w:lineRule="auto"/>
              <w:rPr>
                <w:sz w:val="20"/>
                <w:szCs w:val="20"/>
              </w:rPr>
            </w:pPr>
            <w:r w:rsidRPr="000C465B">
              <w:rPr>
                <w:sz w:val="20"/>
                <w:szCs w:val="20"/>
              </w:rPr>
              <w:t>In the following package diagram, the Derived Unit Expression (DUE) would be the “20 Loads” expression which is present on the PDP in addition to the required Declaration of Net Quantity.</w:t>
            </w:r>
          </w:p>
          <w:p w14:paraId="015A3007" w14:textId="77777777" w:rsidR="000C465B" w:rsidRPr="000C465B" w:rsidRDefault="000C465B" w:rsidP="000C465B">
            <w:pPr>
              <w:spacing w:after="0"/>
              <w:jc w:val="left"/>
              <w:rPr>
                <w:rFonts w:ascii="Calibri" w:hAnsi="Calibri"/>
              </w:rPr>
            </w:pPr>
          </w:p>
        </w:tc>
      </w:tr>
      <w:tr w:rsidR="000C465B" w:rsidRPr="000C465B" w14:paraId="52DA138D" w14:textId="77777777" w:rsidTr="005F0F3E">
        <w:tc>
          <w:tcPr>
            <w:tcW w:w="9350" w:type="dxa"/>
            <w:tcBorders>
              <w:top w:val="nil"/>
              <w:left w:val="nil"/>
              <w:bottom w:val="nil"/>
              <w:right w:val="nil"/>
            </w:tcBorders>
          </w:tcPr>
          <w:p w14:paraId="6D8CEFD8" w14:textId="77777777" w:rsidR="000C465B" w:rsidRPr="000C465B" w:rsidRDefault="000C465B" w:rsidP="000C465B">
            <w:pPr>
              <w:spacing w:after="0"/>
              <w:jc w:val="left"/>
              <w:rPr>
                <w:rFonts w:ascii="Calibri" w:hAnsi="Calibri"/>
              </w:rPr>
            </w:pPr>
            <w:r w:rsidRPr="000C465B">
              <w:rPr>
                <w:rFonts w:ascii="Calibri" w:hAnsi="Calibri"/>
                <w:noProof/>
              </w:rPr>
              <w:lastRenderedPageBreak/>
              <mc:AlternateContent>
                <mc:Choice Requires="wps">
                  <w:drawing>
                    <wp:anchor distT="0" distB="0" distL="114300" distR="114300" simplePos="0" relativeHeight="251707392" behindDoc="0" locked="0" layoutInCell="1" allowOverlap="1" wp14:anchorId="24CE8B06" wp14:editId="22B83641">
                      <wp:simplePos x="0" y="0"/>
                      <wp:positionH relativeFrom="column">
                        <wp:posOffset>2204085</wp:posOffset>
                      </wp:positionH>
                      <wp:positionV relativeFrom="paragraph">
                        <wp:posOffset>4100195</wp:posOffset>
                      </wp:positionV>
                      <wp:extent cx="1423035" cy="0"/>
                      <wp:effectExtent l="0" t="95250" r="0" b="95250"/>
                      <wp:wrapNone/>
                      <wp:docPr id="1676994836" name="Straight Arrow Connector 1676994836"/>
                      <wp:cNvGraphicFramePr/>
                      <a:graphic xmlns:a="http://schemas.openxmlformats.org/drawingml/2006/main">
                        <a:graphicData uri="http://schemas.microsoft.com/office/word/2010/wordprocessingShape">
                          <wps:wsp>
                            <wps:cNvCnPr/>
                            <wps:spPr>
                              <a:xfrm flipH="1">
                                <a:off x="0" y="0"/>
                                <a:ext cx="1423035" cy="0"/>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anchor>
                  </w:drawing>
                </mc:Choice>
                <mc:Fallback>
                  <w:pict>
                    <v:shape w14:anchorId="17FCB5D4" id="Straight Arrow Connector 1676994836" o:spid="_x0000_s1026" type="#_x0000_t32" style="position:absolute;margin-left:173.55pt;margin-top:322.85pt;width:112.0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" strokecolor="#be4b48"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708416" behindDoc="0" locked="0" layoutInCell="1" allowOverlap="1" wp14:anchorId="1006239F" wp14:editId="56915397">
                      <wp:simplePos x="0" y="0"/>
                      <wp:positionH relativeFrom="column">
                        <wp:posOffset>2205493</wp:posOffset>
                      </wp:positionH>
                      <wp:positionV relativeFrom="paragraph">
                        <wp:posOffset>3745064</wp:posOffset>
                      </wp:positionV>
                      <wp:extent cx="1423035" cy="0"/>
                      <wp:effectExtent l="0" t="95250" r="0" b="95250"/>
                      <wp:wrapNone/>
                      <wp:docPr id="517396872" name="Straight Arrow Connector 517396872"/>
                      <wp:cNvGraphicFramePr/>
                      <a:graphic xmlns:a="http://schemas.openxmlformats.org/drawingml/2006/main">
                        <a:graphicData uri="http://schemas.microsoft.com/office/word/2010/wordprocessingShape">
                          <wps:wsp>
                            <wps:cNvCnPr/>
                            <wps:spPr>
                              <a:xfrm flipH="1">
                                <a:off x="0" y="0"/>
                                <a:ext cx="1423035"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61E7EF9E" id="Straight Arrow Connector 517396872" o:spid="_x0000_s1026" type="#_x0000_t32" style="position:absolute;margin-left:173.65pt;margin-top:294.9pt;width:112.0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" strokecolor="#003e7e"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79744" behindDoc="0" locked="0" layoutInCell="1" allowOverlap="1" wp14:anchorId="2040B6FA" wp14:editId="6DB8569B">
                      <wp:simplePos x="0" y="0"/>
                      <wp:positionH relativeFrom="column">
                        <wp:posOffset>3589020</wp:posOffset>
                      </wp:positionH>
                      <wp:positionV relativeFrom="paragraph">
                        <wp:posOffset>3973195</wp:posOffset>
                      </wp:positionV>
                      <wp:extent cx="1819910" cy="261620"/>
                      <wp:effectExtent l="0" t="0" r="0" b="5080"/>
                      <wp:wrapNone/>
                      <wp:docPr id="1260685466" name="Text Box 1260685466"/>
                      <wp:cNvGraphicFramePr/>
                      <a:graphic xmlns:a="http://schemas.openxmlformats.org/drawingml/2006/main">
                        <a:graphicData uri="http://schemas.microsoft.com/office/word/2010/wordprocessingShape">
                          <wps:wsp>
                            <wps:cNvSpPr txBox="1"/>
                            <wps:spPr>
                              <a:xfrm>
                                <a:off x="0" y="0"/>
                                <a:ext cx="1819910" cy="261620"/>
                              </a:xfrm>
                              <a:prstGeom prst="rect">
                                <a:avLst/>
                              </a:prstGeom>
                              <a:noFill/>
                              <a:ln w="6350">
                                <a:noFill/>
                              </a:ln>
                            </wps:spPr>
                            <wps:txbx>
                              <w:txbxContent>
                                <w:p w14:paraId="650C5B9F"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0B6FA" id="Text Box 1260685466" o:spid="_x0000_s1040" type="#_x0000_t202" style="position:absolute;margin-left:282.6pt;margin-top:312.85pt;width:143.3pt;height:2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" filled="f" stroked="f" strokeweight=".5pt">
                      <v:textbox>
                        <w:txbxContent>
                          <w:p w14:paraId="650C5B9F"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78720" behindDoc="0" locked="0" layoutInCell="1" allowOverlap="1" wp14:anchorId="53DF6494" wp14:editId="3C226DBD">
                      <wp:simplePos x="0" y="0"/>
                      <wp:positionH relativeFrom="column">
                        <wp:posOffset>3604895</wp:posOffset>
                      </wp:positionH>
                      <wp:positionV relativeFrom="paragraph">
                        <wp:posOffset>3949065</wp:posOffset>
                      </wp:positionV>
                      <wp:extent cx="1803400" cy="309880"/>
                      <wp:effectExtent l="0" t="0" r="6350" b="0"/>
                      <wp:wrapNone/>
                      <wp:docPr id="343601514" name="Rectangle 343601514"/>
                      <wp:cNvGraphicFramePr/>
                      <a:graphic xmlns:a="http://schemas.openxmlformats.org/drawingml/2006/main">
                        <a:graphicData uri="http://schemas.microsoft.com/office/word/2010/wordprocessingShape">
                          <wps:wsp>
                            <wps:cNvSpPr/>
                            <wps:spPr>
                              <a:xfrm>
                                <a:off x="0" y="0"/>
                                <a:ext cx="1803400"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9B004" id="Rectangle 343601514" o:spid="_x0000_s1026" style="position:absolute;margin-left:283.85pt;margin-top:310.95pt;width:142pt;height:24.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" fillcolor="#c0504d" stroked="f" strokeweight="1pt"/>
                  </w:pict>
                </mc:Fallback>
              </mc:AlternateContent>
            </w:r>
            <w:r w:rsidRPr="000C465B">
              <w:rPr>
                <w:rFonts w:ascii="Calibri" w:hAnsi="Calibri"/>
                <w:noProof/>
              </w:rPr>
              <mc:AlternateContent>
                <mc:Choice Requires="wps">
                  <w:drawing>
                    <wp:anchor distT="0" distB="0" distL="114300" distR="114300" simplePos="0" relativeHeight="251702272" behindDoc="0" locked="0" layoutInCell="1" allowOverlap="1" wp14:anchorId="0FD8BBB0" wp14:editId="08A5021E">
                      <wp:simplePos x="0" y="0"/>
                      <wp:positionH relativeFrom="column">
                        <wp:posOffset>3601720</wp:posOffset>
                      </wp:positionH>
                      <wp:positionV relativeFrom="paragraph">
                        <wp:posOffset>3585845</wp:posOffset>
                      </wp:positionV>
                      <wp:extent cx="1795780" cy="309880"/>
                      <wp:effectExtent l="0" t="0" r="0" b="0"/>
                      <wp:wrapNone/>
                      <wp:docPr id="1374193665" name="Rectangle 1374193665"/>
                      <wp:cNvGraphicFramePr/>
                      <a:graphic xmlns:a="http://schemas.openxmlformats.org/drawingml/2006/main">
                        <a:graphicData uri="http://schemas.microsoft.com/office/word/2010/wordprocessingShape">
                          <wps:wsp>
                            <wps:cNvSpPr/>
                            <wps:spPr>
                              <a:xfrm>
                                <a:off x="0" y="0"/>
                                <a:ext cx="1795780"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2A6D3E" id="Rectangle 1374193665" o:spid="_x0000_s1026" style="position:absolute;margin-left:283.6pt;margin-top:282.35pt;width:141.4pt;height:2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" fillcolor="#003e7e" stroked="f" strokeweight="1pt"/>
                  </w:pict>
                </mc:Fallback>
              </mc:AlternateContent>
            </w:r>
            <w:r w:rsidRPr="000C465B">
              <w:rPr>
                <w:rFonts w:ascii="Calibri" w:hAnsi="Calibri"/>
                <w:noProof/>
              </w:rPr>
              <mc:AlternateContent>
                <mc:Choice Requires="wps">
                  <w:drawing>
                    <wp:anchor distT="0" distB="0" distL="114300" distR="114300" simplePos="0" relativeHeight="251703296" behindDoc="0" locked="0" layoutInCell="1" allowOverlap="1" wp14:anchorId="3D4EEEB3" wp14:editId="18280C8A">
                      <wp:simplePos x="0" y="0"/>
                      <wp:positionH relativeFrom="column">
                        <wp:posOffset>3696335</wp:posOffset>
                      </wp:positionH>
                      <wp:positionV relativeFrom="paragraph">
                        <wp:posOffset>3601720</wp:posOffset>
                      </wp:positionV>
                      <wp:extent cx="1613535" cy="261620"/>
                      <wp:effectExtent l="0" t="0" r="0" b="5080"/>
                      <wp:wrapNone/>
                      <wp:docPr id="372928994" name="Text Box 372928994"/>
                      <wp:cNvGraphicFramePr/>
                      <a:graphic xmlns:a="http://schemas.openxmlformats.org/drawingml/2006/main">
                        <a:graphicData uri="http://schemas.microsoft.com/office/word/2010/wordprocessingShape">
                          <wps:wsp>
                            <wps:cNvSpPr txBox="1"/>
                            <wps:spPr>
                              <a:xfrm>
                                <a:off x="0" y="0"/>
                                <a:ext cx="1613535" cy="261620"/>
                              </a:xfrm>
                              <a:prstGeom prst="rect">
                                <a:avLst/>
                              </a:prstGeom>
                              <a:noFill/>
                              <a:ln w="6350">
                                <a:noFill/>
                              </a:ln>
                            </wps:spPr>
                            <wps:txbx>
                              <w:txbxContent>
                                <w:p w14:paraId="496DD369" w14:textId="77777777" w:rsidR="000C465B" w:rsidRPr="0078570A" w:rsidRDefault="000C465B" w:rsidP="000C465B">
                                  <w:pPr>
                                    <w:pStyle w:val="NoSpacing"/>
                                    <w:jc w:val="center"/>
                                    <w:rPr>
                                      <w:b/>
                                      <w:color w:val="FFFFFF"/>
                                    </w:rPr>
                                  </w:pPr>
                                  <w:r w:rsidRPr="0078570A">
                                    <w:rPr>
                                      <w:b/>
                                      <w:color w:val="FFFFFF"/>
                                    </w:rPr>
                                    <w:t>Derived Unit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EEB3" id="Text Box 372928994" o:spid="_x0000_s1041" type="#_x0000_t202" style="position:absolute;margin-left:291.05pt;margin-top:283.6pt;width:127.05pt;height:2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" filled="f" stroked="f" strokeweight=".5pt">
                      <v:textbox>
                        <w:txbxContent>
                          <w:p w14:paraId="496DD369" w14:textId="77777777" w:rsidR="000C465B" w:rsidRPr="0078570A" w:rsidRDefault="000C465B" w:rsidP="000C465B">
                            <w:pPr>
                              <w:pStyle w:val="NoSpacing"/>
                              <w:jc w:val="center"/>
                              <w:rPr>
                                <w:b/>
                                <w:color w:val="FFFFFF"/>
                              </w:rPr>
                            </w:pPr>
                            <w:r w:rsidRPr="0078570A">
                              <w:rPr>
                                <w:b/>
                                <w:color w:val="FFFFFF"/>
                              </w:rPr>
                              <w:t>Derived Unit Expression</w:t>
                            </w:r>
                          </w:p>
                        </w:txbxContent>
                      </v:textbox>
                    </v:shape>
                  </w:pict>
                </mc:Fallback>
              </mc:AlternateContent>
            </w:r>
            <w:r w:rsidRPr="000C465B">
              <w:rPr>
                <w:rFonts w:ascii="Calibri" w:hAnsi="Calibri"/>
                <w:noProof/>
              </w:rPr>
              <w:drawing>
                <wp:inline distT="0" distB="0" distL="0" distR="0" wp14:anchorId="5375D6DC" wp14:editId="6AC08FC2">
                  <wp:extent cx="2924522" cy="5029200"/>
                  <wp:effectExtent l="0" t="0" r="9525" b="0"/>
                  <wp:docPr id="15704612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61278" name="Picture 1570461278"/>
                          <pic:cNvPicPr/>
                        </pic:nvPicPr>
                        <pic:blipFill>
                          <a:blip r:embed="rId58">
                            <a:extLst>
                              <a:ext uri="{28A0092B-C50C-407E-A947-70E740481C1C}">
                                <a14:useLocalDpi xmlns:a14="http://schemas.microsoft.com/office/drawing/2010/main" val="0"/>
                              </a:ext>
                            </a:extLst>
                          </a:blip>
                          <a:stretch>
                            <a:fillRect/>
                          </a:stretch>
                        </pic:blipFill>
                        <pic:spPr>
                          <a:xfrm>
                            <a:off x="0" y="0"/>
                            <a:ext cx="2932926" cy="5043652"/>
                          </a:xfrm>
                          <a:prstGeom prst="rect">
                            <a:avLst/>
                          </a:prstGeom>
                        </pic:spPr>
                      </pic:pic>
                    </a:graphicData>
                  </a:graphic>
                </wp:inline>
              </w:drawing>
            </w:r>
          </w:p>
        </w:tc>
      </w:tr>
    </w:tbl>
    <w:p w14:paraId="132CD939" w14:textId="77777777" w:rsidR="000C465B" w:rsidRPr="000C465B" w:rsidRDefault="000C465B" w:rsidP="000C465B">
      <w:pPr>
        <w:spacing w:after="200" w:line="276" w:lineRule="auto"/>
        <w:jc w:val="left"/>
        <w:rPr>
          <w:rFonts w:ascii="Calibri" w:hAnsi="Calibri"/>
          <w:sz w:val="22"/>
        </w:rPr>
      </w:pPr>
    </w:p>
    <w:p w14:paraId="3A9620BF" w14:textId="77777777" w:rsidR="000C465B" w:rsidRPr="000C465B" w:rsidRDefault="000C465B" w:rsidP="000C465B">
      <w:pPr>
        <w:spacing w:after="200" w:line="276" w:lineRule="auto"/>
        <w:rPr>
          <w:szCs w:val="20"/>
        </w:rPr>
      </w:pPr>
      <w:r w:rsidRPr="000C465B">
        <w:rPr>
          <w:szCs w:val="20"/>
        </w:rPr>
        <w:t>Additional examples of a Derived Unit Expression include the following:</w:t>
      </w:r>
    </w:p>
    <w:p w14:paraId="2C730C57"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“50 Uses” appearing on the PDP when Declaration of Net Quantity reads “8 Ounces (226 Grams)”</w:t>
      </w:r>
    </w:p>
    <w:p w14:paraId="54AD2DFC" w14:textId="77777777" w:rsidR="000C465B" w:rsidRPr="000C465B" w:rsidRDefault="000C465B" w:rsidP="000C465B">
      <w:pPr>
        <w:spacing w:after="0"/>
        <w:ind w:left="720"/>
        <w:contextualSpacing/>
        <w:jc w:val="left"/>
        <w:rPr>
          <w:rFonts w:eastAsia="Times New Roman"/>
          <w:szCs w:val="20"/>
        </w:rPr>
      </w:pPr>
    </w:p>
    <w:p w14:paraId="12CA0839"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“75 Applications” appearing on the PDP when Declaration of Net Quantity reads “1.5 Liters (1.58 Quarts)”</w:t>
      </w:r>
    </w:p>
    <w:p w14:paraId="6BAA26DB" w14:textId="77777777" w:rsidR="000C465B" w:rsidRPr="000C465B" w:rsidRDefault="000C465B" w:rsidP="000C465B">
      <w:pPr>
        <w:spacing w:after="0"/>
        <w:contextualSpacing/>
        <w:jc w:val="left"/>
        <w:rPr>
          <w:rFonts w:eastAsia="Times New Roman"/>
          <w:szCs w:val="20"/>
        </w:rPr>
      </w:pPr>
    </w:p>
    <w:p w14:paraId="79A18994"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“75 20-mL Applications” appearing on the PDP when Declaration of Net Quantity reads “1.5 Liters (1.58 Quarts)”</w:t>
      </w:r>
    </w:p>
    <w:p w14:paraId="4527F3DE" w14:textId="77777777" w:rsidR="000C465B" w:rsidRPr="000C465B" w:rsidRDefault="000C465B" w:rsidP="000C465B">
      <w:pPr>
        <w:spacing w:after="0"/>
        <w:contextualSpacing/>
        <w:jc w:val="left"/>
        <w:rPr>
          <w:rFonts w:eastAsia="Times New Roman"/>
          <w:szCs w:val="20"/>
        </w:rPr>
      </w:pPr>
    </w:p>
    <w:p w14:paraId="28C3644A"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“30 Loads” appearing on the PDP when Declaration of Net Quantity reads “2 Pounds (907 Grams)”</w:t>
      </w:r>
      <w:r w:rsidRPr="000C465B">
        <w:rPr>
          <w:rFonts w:eastAsia="Times New Roman"/>
          <w:noProof/>
          <w:szCs w:val="20"/>
        </w:rPr>
        <w:t xml:space="preserve"> </w:t>
      </w:r>
    </w:p>
    <w:p w14:paraId="6AEB4026" w14:textId="77777777" w:rsidR="000C465B" w:rsidRPr="000C465B" w:rsidRDefault="000C465B" w:rsidP="000C465B">
      <w:pPr>
        <w:spacing w:after="200" w:line="276" w:lineRule="auto"/>
        <w:jc w:val="left"/>
        <w:rPr>
          <w:rFonts w:ascii="Calibri" w:hAnsi="Calibri"/>
          <w:sz w:val="22"/>
        </w:rPr>
      </w:pPr>
    </w:p>
    <w:p w14:paraId="5E08E6C4" w14:textId="77777777" w:rsidR="000C465B" w:rsidRPr="000C465B" w:rsidRDefault="000C465B" w:rsidP="000C465B">
      <w:pPr>
        <w:spacing w:after="200" w:line="276" w:lineRule="auto"/>
        <w:jc w:val="left"/>
        <w:rPr>
          <w:rFonts w:ascii="Calibri" w:hAnsi="Calibri"/>
          <w:sz w:val="22"/>
        </w:rPr>
      </w:pPr>
    </w:p>
    <w:p w14:paraId="41C4DEB7" w14:textId="77777777" w:rsidR="000C465B" w:rsidRPr="000C465B" w:rsidRDefault="000C465B" w:rsidP="000C465B">
      <w:pPr>
        <w:spacing w:after="200" w:line="276" w:lineRule="auto"/>
        <w:rPr>
          <w:szCs w:val="20"/>
        </w:rPr>
      </w:pPr>
      <w:r w:rsidRPr="000C465B">
        <w:rPr>
          <w:b/>
          <w:szCs w:val="20"/>
        </w:rPr>
        <w:lastRenderedPageBreak/>
        <w:t>4.  </w:t>
      </w:r>
      <w:r w:rsidRPr="000C465B">
        <w:rPr>
          <w:b/>
          <w:szCs w:val="20"/>
          <w:u w:val="single"/>
        </w:rPr>
        <w:t>Comparative Quantity Representation (CQR)</w:t>
      </w:r>
      <w:r w:rsidRPr="000C465B">
        <w:rPr>
          <w:b/>
          <w:bCs/>
          <w:szCs w:val="20"/>
        </w:rPr>
        <w:t xml:space="preserve"> </w:t>
      </w:r>
      <w:r w:rsidRPr="000C465B">
        <w:rPr>
          <w:szCs w:val="20"/>
        </w:rPr>
        <w:t xml:space="preserve">– an expression appearing on the Principal Display Panel (PDP) in addition to the Declaration of Net Quantity (DoNQ) which compares the contents of that package to the contents of a comparable product package produced by the same or a different manufacturer.  This comparative statement may be a statement of equivalence (e.g., “This Package Contains the same 24 FL OZ as our old Package”), a statement of differentiation (e.g., “This Box Contains 1 Pound more than Reed’s LARGE SIZE Box”) or another accurate and verifiable comparative statement. </w:t>
      </w:r>
    </w:p>
    <w:p w14:paraId="38A0F11E" w14:textId="77777777" w:rsidR="000C465B" w:rsidRPr="000C465B" w:rsidRDefault="000C465B" w:rsidP="000C465B">
      <w:pPr>
        <w:spacing w:after="200" w:line="276" w:lineRule="auto"/>
        <w:rPr>
          <w:szCs w:val="20"/>
        </w:rPr>
      </w:pPr>
      <w:r w:rsidRPr="000C465B">
        <w:rPr>
          <w:szCs w:val="20"/>
        </w:rPr>
        <w:t xml:space="preserve">In the package diagram below, the Comparative Quantity Representation (CQR) would be the “Makes 8 Quarts More than Other 2 LB Juice Mixes” expression which is present on the PDP in addition to the required Declaration of Net Quantity and the optionally added Reconstituted Expression of Quantity (REQ).   </w:t>
      </w:r>
    </w:p>
    <w:p w14:paraId="114ECF30" w14:textId="77777777" w:rsidR="000C465B" w:rsidRPr="000C465B" w:rsidRDefault="000C465B" w:rsidP="000C465B">
      <w:pPr>
        <w:spacing w:after="200" w:line="276" w:lineRule="auto"/>
        <w:jc w:val="left"/>
        <w:rPr>
          <w:rFonts w:ascii="Calibri" w:hAnsi="Calibri"/>
          <w:sz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465B" w:rsidRPr="000C465B" w14:paraId="3C831C9B" w14:textId="77777777" w:rsidTr="005F0F3E">
        <w:tc>
          <w:tcPr>
            <w:tcW w:w="9350" w:type="dxa"/>
          </w:tcPr>
          <w:p w14:paraId="176F1C43" w14:textId="77777777" w:rsidR="000C465B" w:rsidRPr="000C465B" w:rsidRDefault="000C465B" w:rsidP="000C465B">
            <w:pPr>
              <w:spacing w:after="0"/>
              <w:jc w:val="left"/>
              <w:rPr>
                <w:rFonts w:ascii="Calibri" w:hAnsi="Calibri"/>
              </w:rPr>
            </w:pPr>
            <w:r w:rsidRPr="000C465B">
              <w:rPr>
                <w:rFonts w:ascii="Calibri" w:hAnsi="Calibri"/>
                <w:noProof/>
              </w:rPr>
              <mc:AlternateContent>
                <mc:Choice Requires="wps">
                  <w:drawing>
                    <wp:anchor distT="0" distB="0" distL="114300" distR="114300" simplePos="0" relativeHeight="251720704" behindDoc="0" locked="0" layoutInCell="1" allowOverlap="1" wp14:anchorId="7857FD82" wp14:editId="62A563FA">
                      <wp:simplePos x="0" y="0"/>
                      <wp:positionH relativeFrom="column">
                        <wp:posOffset>436245</wp:posOffset>
                      </wp:positionH>
                      <wp:positionV relativeFrom="paragraph">
                        <wp:posOffset>787400</wp:posOffset>
                      </wp:positionV>
                      <wp:extent cx="266700" cy="128270"/>
                      <wp:effectExtent l="0" t="0" r="0" b="5080"/>
                      <wp:wrapNone/>
                      <wp:docPr id="1352094563" name="Rectangle 59"/>
                      <wp:cNvGraphicFramePr/>
                      <a:graphic xmlns:a="http://schemas.openxmlformats.org/drawingml/2006/main">
                        <a:graphicData uri="http://schemas.microsoft.com/office/word/2010/wordprocessingShape">
                          <wps:wsp>
                            <wps:cNvSpPr/>
                            <wps:spPr>
                              <a:xfrm>
                                <a:off x="0" y="0"/>
                                <a:ext cx="266700" cy="128270"/>
                              </a:xfrm>
                              <a:prstGeom prst="rect">
                                <a:avLst/>
                              </a:prstGeom>
                              <a:solidFill>
                                <a:srgbClr val="FFCE3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75386" id="Rectangle 59" o:spid="_x0000_s1026" style="position:absolute;margin-left:34.35pt;margin-top:62pt;width:21pt;height:10.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" fillcolor="#ffce33" stroked="f" strokeweight="2pt"/>
                  </w:pict>
                </mc:Fallback>
              </mc:AlternateContent>
            </w:r>
            <w:r w:rsidRPr="000C465B">
              <w:rPr>
                <w:rFonts w:ascii="Calibri" w:hAnsi="Calibri"/>
                <w:noProof/>
              </w:rPr>
              <mc:AlternateContent>
                <mc:Choice Requires="wps">
                  <w:drawing>
                    <wp:anchor distT="0" distB="0" distL="114300" distR="114300" simplePos="0" relativeHeight="251710464" behindDoc="0" locked="0" layoutInCell="1" allowOverlap="1" wp14:anchorId="7DF9627B" wp14:editId="634401C4">
                      <wp:simplePos x="0" y="0"/>
                      <wp:positionH relativeFrom="column">
                        <wp:posOffset>2976770</wp:posOffset>
                      </wp:positionH>
                      <wp:positionV relativeFrom="paragraph">
                        <wp:posOffset>3570136</wp:posOffset>
                      </wp:positionV>
                      <wp:extent cx="890546" cy="0"/>
                      <wp:effectExtent l="0" t="95250" r="0" b="95250"/>
                      <wp:wrapNone/>
                      <wp:docPr id="2119467019" name="Straight Arrow Connector 2119467019"/>
                      <wp:cNvGraphicFramePr/>
                      <a:graphic xmlns:a="http://schemas.openxmlformats.org/drawingml/2006/main">
                        <a:graphicData uri="http://schemas.microsoft.com/office/word/2010/wordprocessingShape">
                          <wps:wsp>
                            <wps:cNvCnPr/>
                            <wps:spPr>
                              <a:xfrm flipH="1">
                                <a:off x="0" y="0"/>
                                <a:ext cx="890546"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42712F6B" id="Straight Arrow Connector 2119467019" o:spid="_x0000_s1026" type="#_x0000_t32" style="position:absolute;margin-left:234.4pt;margin-top:281.1pt;width:70.1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" strokecolor="#c0504d"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709440" behindDoc="0" locked="0" layoutInCell="1" allowOverlap="1" wp14:anchorId="4304AA6C" wp14:editId="250AD27E">
                      <wp:simplePos x="0" y="0"/>
                      <wp:positionH relativeFrom="column">
                        <wp:posOffset>2976770</wp:posOffset>
                      </wp:positionH>
                      <wp:positionV relativeFrom="paragraph">
                        <wp:posOffset>628153</wp:posOffset>
                      </wp:positionV>
                      <wp:extent cx="707666" cy="0"/>
                      <wp:effectExtent l="0" t="95250" r="0" b="95250"/>
                      <wp:wrapNone/>
                      <wp:docPr id="1886742784" name="Straight Arrow Connector 1886742784"/>
                      <wp:cNvGraphicFramePr/>
                      <a:graphic xmlns:a="http://schemas.openxmlformats.org/drawingml/2006/main">
                        <a:graphicData uri="http://schemas.microsoft.com/office/word/2010/wordprocessingShape">
                          <wps:wsp>
                            <wps:cNvCnPr/>
                            <wps:spPr>
                              <a:xfrm flipH="1">
                                <a:off x="0" y="0"/>
                                <a:ext cx="707666"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66729AEB" id="Straight Arrow Connector 1886742784" o:spid="_x0000_s1026" type="#_x0000_t32" style="position:absolute;margin-left:234.4pt;margin-top:49.45pt;width:55.7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" strokecolor="#003e7e"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95104" behindDoc="0" locked="0" layoutInCell="1" allowOverlap="1" wp14:anchorId="2B39FCC6" wp14:editId="6AA2F8F7">
                      <wp:simplePos x="0" y="0"/>
                      <wp:positionH relativeFrom="column">
                        <wp:posOffset>3681730</wp:posOffset>
                      </wp:positionH>
                      <wp:positionV relativeFrom="paragraph">
                        <wp:posOffset>498806</wp:posOffset>
                      </wp:positionV>
                      <wp:extent cx="2153920" cy="261620"/>
                      <wp:effectExtent l="0" t="0" r="0" b="5080"/>
                      <wp:wrapNone/>
                      <wp:docPr id="1430050564" name="Text Box 1430050564"/>
                      <wp:cNvGraphicFramePr/>
                      <a:graphic xmlns:a="http://schemas.openxmlformats.org/drawingml/2006/main">
                        <a:graphicData uri="http://schemas.microsoft.com/office/word/2010/wordprocessingShape">
                          <wps:wsp>
                            <wps:cNvSpPr txBox="1"/>
                            <wps:spPr>
                              <a:xfrm>
                                <a:off x="0" y="0"/>
                                <a:ext cx="2153920" cy="261620"/>
                              </a:xfrm>
                              <a:prstGeom prst="rect">
                                <a:avLst/>
                              </a:prstGeom>
                              <a:noFill/>
                              <a:ln w="6350">
                                <a:noFill/>
                              </a:ln>
                            </wps:spPr>
                            <wps:txbx>
                              <w:txbxContent>
                                <w:p w14:paraId="5D88EC23" w14:textId="77777777" w:rsidR="000C465B" w:rsidRPr="0078570A" w:rsidRDefault="000C465B" w:rsidP="000C465B">
                                  <w:pPr>
                                    <w:pStyle w:val="NoSpacing"/>
                                    <w:jc w:val="center"/>
                                    <w:rPr>
                                      <w:b/>
                                      <w:color w:val="FFFFFF"/>
                                    </w:rPr>
                                  </w:pPr>
                                  <w:r w:rsidRPr="0078570A">
                                    <w:rPr>
                                      <w:b/>
                                      <w:color w:val="FFFFFF"/>
                                    </w:rPr>
                                    <w:t>Comparative Quantity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FCC6" id="Text Box 1430050564" o:spid="_x0000_s1042" type="#_x0000_t202" style="position:absolute;margin-left:289.9pt;margin-top:39.3pt;width:169.6pt;height:2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" filled="f" stroked="f" strokeweight=".5pt">
                      <v:textbox>
                        <w:txbxContent>
                          <w:p w14:paraId="5D88EC23" w14:textId="77777777" w:rsidR="000C465B" w:rsidRPr="0078570A" w:rsidRDefault="000C465B" w:rsidP="000C465B">
                            <w:pPr>
                              <w:pStyle w:val="NoSpacing"/>
                              <w:jc w:val="center"/>
                              <w:rPr>
                                <w:b/>
                                <w:color w:val="FFFFFF"/>
                              </w:rPr>
                            </w:pPr>
                            <w:r w:rsidRPr="0078570A">
                              <w:rPr>
                                <w:b/>
                                <w:color w:val="FFFFFF"/>
                              </w:rPr>
                              <w:t>Comparative Quantity Expression</w:t>
                            </w:r>
                          </w:p>
                        </w:txbxContent>
                      </v:textbox>
                    </v:shape>
                  </w:pict>
                </mc:Fallback>
              </mc:AlternateContent>
            </w:r>
            <w:r w:rsidRPr="000C465B">
              <w:rPr>
                <w:rFonts w:ascii="Calibri" w:hAnsi="Calibri"/>
                <w:noProof/>
              </w:rPr>
              <mc:AlternateContent>
                <mc:Choice Requires="wps">
                  <w:drawing>
                    <wp:anchor distT="0" distB="0" distL="114300" distR="114300" simplePos="0" relativeHeight="251680768" behindDoc="0" locked="0" layoutInCell="1" allowOverlap="1" wp14:anchorId="09360F0C" wp14:editId="79EC07BD">
                      <wp:simplePos x="0" y="0"/>
                      <wp:positionH relativeFrom="column">
                        <wp:posOffset>3755997</wp:posOffset>
                      </wp:positionH>
                      <wp:positionV relativeFrom="paragraph">
                        <wp:posOffset>3419061</wp:posOffset>
                      </wp:positionV>
                      <wp:extent cx="2051437" cy="309880"/>
                      <wp:effectExtent l="0" t="0" r="6350" b="0"/>
                      <wp:wrapNone/>
                      <wp:docPr id="1592623412" name="Rectangle 1592623412"/>
                      <wp:cNvGraphicFramePr/>
                      <a:graphic xmlns:a="http://schemas.openxmlformats.org/drawingml/2006/main">
                        <a:graphicData uri="http://schemas.microsoft.com/office/word/2010/wordprocessingShape">
                          <wps:wsp>
                            <wps:cNvSpPr/>
                            <wps:spPr>
                              <a:xfrm>
                                <a:off x="0" y="0"/>
                                <a:ext cx="2051437"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BF2BB" id="Rectangle 1592623412" o:spid="_x0000_s1026" style="position:absolute;margin-left:295.75pt;margin-top:269.2pt;width:161.55pt;height:24.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" fillcolor="#c0504d" stroked="f" strokeweight="1pt"/>
                  </w:pict>
                </mc:Fallback>
              </mc:AlternateContent>
            </w:r>
            <w:r w:rsidRPr="000C465B">
              <w:rPr>
                <w:rFonts w:ascii="Calibri" w:hAnsi="Calibri"/>
                <w:noProof/>
              </w:rPr>
              <mc:AlternateContent>
                <mc:Choice Requires="wps">
                  <w:drawing>
                    <wp:anchor distT="0" distB="0" distL="114300" distR="114300" simplePos="0" relativeHeight="251681792" behindDoc="0" locked="0" layoutInCell="1" allowOverlap="1" wp14:anchorId="6EF1C954" wp14:editId="4CC59C77">
                      <wp:simplePos x="0" y="0"/>
                      <wp:positionH relativeFrom="column">
                        <wp:posOffset>3867315</wp:posOffset>
                      </wp:positionH>
                      <wp:positionV relativeFrom="paragraph">
                        <wp:posOffset>3442915</wp:posOffset>
                      </wp:positionV>
                      <wp:extent cx="1820020" cy="261620"/>
                      <wp:effectExtent l="0" t="0" r="0" b="5080"/>
                      <wp:wrapNone/>
                      <wp:docPr id="1930059249" name="Text Box 1930059249"/>
                      <wp:cNvGraphicFramePr/>
                      <a:graphic xmlns:a="http://schemas.openxmlformats.org/drawingml/2006/main">
                        <a:graphicData uri="http://schemas.microsoft.com/office/word/2010/wordprocessingShape">
                          <wps:wsp>
                            <wps:cNvSpPr txBox="1"/>
                            <wps:spPr>
                              <a:xfrm>
                                <a:off x="0" y="0"/>
                                <a:ext cx="1820020" cy="261620"/>
                              </a:xfrm>
                              <a:prstGeom prst="rect">
                                <a:avLst/>
                              </a:prstGeom>
                              <a:noFill/>
                              <a:ln w="6350">
                                <a:noFill/>
                              </a:ln>
                            </wps:spPr>
                            <wps:txbx>
                              <w:txbxContent>
                                <w:p w14:paraId="3DC25D93"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1C954" id="Text Box 1930059249" o:spid="_x0000_s1043" type="#_x0000_t202" style="position:absolute;margin-left:304.5pt;margin-top:271.1pt;width:143.3pt;height:20.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" filled="f" stroked="f" strokeweight=".5pt">
                      <v:textbox>
                        <w:txbxContent>
                          <w:p w14:paraId="3DC25D93"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94080" behindDoc="0" locked="0" layoutInCell="1" allowOverlap="1" wp14:anchorId="5410724C" wp14:editId="15FDAB1F">
                      <wp:simplePos x="0" y="0"/>
                      <wp:positionH relativeFrom="column">
                        <wp:posOffset>3643934</wp:posOffset>
                      </wp:positionH>
                      <wp:positionV relativeFrom="paragraph">
                        <wp:posOffset>474980</wp:posOffset>
                      </wp:positionV>
                      <wp:extent cx="2225675" cy="309880"/>
                      <wp:effectExtent l="0" t="0" r="3175" b="0"/>
                      <wp:wrapNone/>
                      <wp:docPr id="1571206462" name="Rectangle 1571206462"/>
                      <wp:cNvGraphicFramePr/>
                      <a:graphic xmlns:a="http://schemas.openxmlformats.org/drawingml/2006/main">
                        <a:graphicData uri="http://schemas.microsoft.com/office/word/2010/wordprocessingShape">
                          <wps:wsp>
                            <wps:cNvSpPr/>
                            <wps:spPr>
                              <a:xfrm>
                                <a:off x="0" y="0"/>
                                <a:ext cx="2225675"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A2F8C" id="Rectangle 1571206462" o:spid="_x0000_s1026" style="position:absolute;margin-left:286.9pt;margin-top:37.4pt;width:175.25pt;height:2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" fillcolor="#003e7e" stroked="f" strokeweight="1pt"/>
                  </w:pict>
                </mc:Fallback>
              </mc:AlternateContent>
            </w:r>
            <w:r w:rsidRPr="000C465B">
              <w:rPr>
                <w:rFonts w:ascii="Calibri" w:hAnsi="Calibri"/>
                <w:noProof/>
              </w:rPr>
              <w:drawing>
                <wp:inline distT="0" distB="0" distL="0" distR="0" wp14:anchorId="3F9A921D" wp14:editId="27E431D0">
                  <wp:extent cx="3200400" cy="4114800"/>
                  <wp:effectExtent l="0" t="0" r="0" b="0"/>
                  <wp:docPr id="1404767174" name="Picture 1404767174" descr="D:\NCWM\PALS Diagrams\Set 4\7-CQR\CQR-S7a-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CWM\PALS Diagrams\Set 4\7-CQR\CQR-S7a-v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0400" cy="4114800"/>
                          </a:xfrm>
                          <a:prstGeom prst="rect">
                            <a:avLst/>
                          </a:prstGeom>
                          <a:noFill/>
                          <a:ln>
                            <a:noFill/>
                          </a:ln>
                        </pic:spPr>
                      </pic:pic>
                    </a:graphicData>
                  </a:graphic>
                </wp:inline>
              </w:drawing>
            </w:r>
          </w:p>
          <w:p w14:paraId="1C9BF62E" w14:textId="77777777" w:rsidR="000C465B" w:rsidRPr="000C465B" w:rsidRDefault="000C465B" w:rsidP="000C465B">
            <w:pPr>
              <w:spacing w:after="0"/>
              <w:jc w:val="left"/>
              <w:rPr>
                <w:rFonts w:ascii="Calibri" w:hAnsi="Calibri"/>
              </w:rPr>
            </w:pPr>
          </w:p>
          <w:p w14:paraId="26401343" w14:textId="77777777" w:rsidR="000C465B" w:rsidRPr="000C465B" w:rsidRDefault="000C465B" w:rsidP="000C465B">
            <w:pPr>
              <w:spacing w:after="200" w:line="276" w:lineRule="auto"/>
              <w:jc w:val="left"/>
              <w:rPr>
                <w:rFonts w:ascii="Calibri" w:hAnsi="Calibri"/>
              </w:rPr>
            </w:pPr>
          </w:p>
          <w:p w14:paraId="032FAEEF" w14:textId="77777777" w:rsidR="000C465B" w:rsidRPr="000C465B" w:rsidRDefault="000C465B" w:rsidP="000C465B">
            <w:pPr>
              <w:spacing w:after="200" w:line="276" w:lineRule="auto"/>
              <w:jc w:val="left"/>
              <w:rPr>
                <w:rFonts w:ascii="Calibri" w:hAnsi="Calibri"/>
              </w:rPr>
            </w:pPr>
          </w:p>
          <w:p w14:paraId="5756C623" w14:textId="77777777" w:rsidR="000C465B" w:rsidRPr="000C465B" w:rsidRDefault="000C465B" w:rsidP="000C465B">
            <w:pPr>
              <w:spacing w:after="200" w:line="276" w:lineRule="auto"/>
              <w:jc w:val="left"/>
              <w:rPr>
                <w:rFonts w:ascii="Calibri" w:hAnsi="Calibri"/>
              </w:rPr>
            </w:pPr>
          </w:p>
          <w:p w14:paraId="36FC1937" w14:textId="77777777" w:rsidR="000C465B" w:rsidRPr="000C465B" w:rsidRDefault="000C465B" w:rsidP="000C465B">
            <w:pPr>
              <w:spacing w:after="200" w:line="276" w:lineRule="auto"/>
              <w:jc w:val="left"/>
              <w:rPr>
                <w:rFonts w:ascii="Calibri" w:hAnsi="Calibri"/>
              </w:rPr>
            </w:pPr>
          </w:p>
          <w:p w14:paraId="00601E10" w14:textId="77777777" w:rsidR="000C465B" w:rsidRPr="000C465B" w:rsidRDefault="000C465B" w:rsidP="000C465B">
            <w:pPr>
              <w:spacing w:after="200" w:line="276" w:lineRule="auto"/>
              <w:jc w:val="left"/>
              <w:rPr>
                <w:rFonts w:ascii="Calibri" w:hAnsi="Calibri"/>
              </w:rPr>
            </w:pPr>
          </w:p>
          <w:p w14:paraId="3A6E8222" w14:textId="0D880169" w:rsidR="000C465B" w:rsidRPr="000C465B" w:rsidRDefault="000C465B" w:rsidP="00810BDD">
            <w:pPr>
              <w:spacing w:after="200" w:line="276" w:lineRule="auto"/>
              <w:rPr>
                <w:sz w:val="20"/>
                <w:szCs w:val="20"/>
              </w:rPr>
            </w:pPr>
            <w:r w:rsidRPr="000C465B">
              <w:rPr>
                <w:sz w:val="20"/>
                <w:szCs w:val="20"/>
              </w:rPr>
              <w:lastRenderedPageBreak/>
              <w:t>In the following package diagram, the Comparative Quantity Representation (CQR) would be, “This 8 Pound package contains the same Volume as our 15 Pound regular product” expression which is present on the PDP in addition to the required Declaration of Net Quantity.</w:t>
            </w:r>
          </w:p>
        </w:tc>
      </w:tr>
      <w:tr w:rsidR="000C465B" w:rsidRPr="000C465B" w14:paraId="09A53663" w14:textId="77777777" w:rsidTr="005F0F3E">
        <w:tc>
          <w:tcPr>
            <w:tcW w:w="9350" w:type="dxa"/>
          </w:tcPr>
          <w:p w14:paraId="0CED4060" w14:textId="77777777" w:rsidR="000C465B" w:rsidRPr="000C465B" w:rsidRDefault="000C465B" w:rsidP="000C465B">
            <w:pPr>
              <w:keepNext/>
              <w:spacing w:after="0"/>
              <w:jc w:val="left"/>
              <w:rPr>
                <w:rFonts w:ascii="Calibri" w:hAnsi="Calibri"/>
              </w:rPr>
            </w:pPr>
          </w:p>
          <w:p w14:paraId="04CB6318" w14:textId="77777777" w:rsidR="000C465B" w:rsidRPr="000C465B" w:rsidRDefault="000C465B" w:rsidP="000C465B">
            <w:pPr>
              <w:keepNext/>
              <w:spacing w:after="0"/>
              <w:jc w:val="left"/>
              <w:rPr>
                <w:rFonts w:ascii="Calibri" w:hAnsi="Calibri"/>
              </w:rPr>
            </w:pPr>
            <w:r w:rsidRPr="000C465B">
              <w:rPr>
                <w:rFonts w:ascii="Calibri" w:hAnsi="Calibri"/>
                <w:noProof/>
              </w:rPr>
              <mc:AlternateContent>
                <mc:Choice Requires="wps">
                  <w:drawing>
                    <wp:anchor distT="0" distB="0" distL="114300" distR="114300" simplePos="0" relativeHeight="251704320" behindDoc="0" locked="0" layoutInCell="1" allowOverlap="1" wp14:anchorId="7857B2C7" wp14:editId="577281AA">
                      <wp:simplePos x="0" y="0"/>
                      <wp:positionH relativeFrom="column">
                        <wp:posOffset>3636010</wp:posOffset>
                      </wp:positionH>
                      <wp:positionV relativeFrom="paragraph">
                        <wp:posOffset>1953098</wp:posOffset>
                      </wp:positionV>
                      <wp:extent cx="2225675" cy="309880"/>
                      <wp:effectExtent l="0" t="0" r="3175" b="0"/>
                      <wp:wrapNone/>
                      <wp:docPr id="240514312" name="Rectangle 240514312"/>
                      <wp:cNvGraphicFramePr/>
                      <a:graphic xmlns:a="http://schemas.openxmlformats.org/drawingml/2006/main">
                        <a:graphicData uri="http://schemas.microsoft.com/office/word/2010/wordprocessingShape">
                          <wps:wsp>
                            <wps:cNvSpPr/>
                            <wps:spPr>
                              <a:xfrm>
                                <a:off x="0" y="0"/>
                                <a:ext cx="2225675"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79C64" id="Rectangle 240514312" o:spid="_x0000_s1026" style="position:absolute;margin-left:286.3pt;margin-top:153.8pt;width:175.25pt;height:2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" fillcolor="#003e7e" stroked="f" strokeweight="1pt"/>
                  </w:pict>
                </mc:Fallback>
              </mc:AlternateContent>
            </w:r>
            <w:r w:rsidRPr="000C465B">
              <w:rPr>
                <w:rFonts w:ascii="Calibri" w:hAnsi="Calibri"/>
                <w:noProof/>
              </w:rPr>
              <mc:AlternateContent>
                <mc:Choice Requires="wps">
                  <w:drawing>
                    <wp:anchor distT="0" distB="0" distL="114300" distR="114300" simplePos="0" relativeHeight="251662336" behindDoc="0" locked="0" layoutInCell="1" allowOverlap="1" wp14:anchorId="5EE53CE2" wp14:editId="1B5D9A0C">
                      <wp:simplePos x="0" y="0"/>
                      <wp:positionH relativeFrom="column">
                        <wp:posOffset>2856865</wp:posOffset>
                      </wp:positionH>
                      <wp:positionV relativeFrom="paragraph">
                        <wp:posOffset>2129628</wp:posOffset>
                      </wp:positionV>
                      <wp:extent cx="1206500" cy="0"/>
                      <wp:effectExtent l="0" t="95250" r="0" b="95250"/>
                      <wp:wrapNone/>
                      <wp:docPr id="1651532390" name="Straight Arrow Connector 1651532390"/>
                      <wp:cNvGraphicFramePr/>
                      <a:graphic xmlns:a="http://schemas.openxmlformats.org/drawingml/2006/main">
                        <a:graphicData uri="http://schemas.microsoft.com/office/word/2010/wordprocessingShape">
                          <wps:wsp>
                            <wps:cNvCnPr/>
                            <wps:spPr>
                              <a:xfrm flipH="1">
                                <a:off x="0" y="0"/>
                                <a:ext cx="1206500" cy="0"/>
                              </a:xfrm>
                              <a:prstGeom prst="straightConnector1">
                                <a:avLst/>
                              </a:prstGeom>
                              <a:noFill/>
                              <a:ln w="38100" cap="flat" cmpd="sng" algn="ctr">
                                <a:solidFill>
                                  <a:srgbClr val="003E7E"/>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60B2DF" id="Straight Arrow Connector 1651532390" o:spid="_x0000_s1026" type="#_x0000_t32" style="position:absolute;margin-left:224.95pt;margin-top:167.7pt;width:9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" strokecolor="#003e7e"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705344" behindDoc="0" locked="0" layoutInCell="1" allowOverlap="1" wp14:anchorId="70EB8012" wp14:editId="159D17D8">
                      <wp:simplePos x="0" y="0"/>
                      <wp:positionH relativeFrom="column">
                        <wp:posOffset>3684270</wp:posOffset>
                      </wp:positionH>
                      <wp:positionV relativeFrom="paragraph">
                        <wp:posOffset>1964690</wp:posOffset>
                      </wp:positionV>
                      <wp:extent cx="2153920" cy="261620"/>
                      <wp:effectExtent l="0" t="0" r="0" b="5080"/>
                      <wp:wrapNone/>
                      <wp:docPr id="1185910631" name="Text Box 1185910631"/>
                      <wp:cNvGraphicFramePr/>
                      <a:graphic xmlns:a="http://schemas.openxmlformats.org/drawingml/2006/main">
                        <a:graphicData uri="http://schemas.microsoft.com/office/word/2010/wordprocessingShape">
                          <wps:wsp>
                            <wps:cNvSpPr txBox="1"/>
                            <wps:spPr>
                              <a:xfrm>
                                <a:off x="0" y="0"/>
                                <a:ext cx="2153920" cy="261620"/>
                              </a:xfrm>
                              <a:prstGeom prst="rect">
                                <a:avLst/>
                              </a:prstGeom>
                              <a:noFill/>
                              <a:ln w="6350">
                                <a:noFill/>
                              </a:ln>
                            </wps:spPr>
                            <wps:txbx>
                              <w:txbxContent>
                                <w:p w14:paraId="0186140E" w14:textId="77777777" w:rsidR="000C465B" w:rsidRPr="0078570A" w:rsidRDefault="000C465B" w:rsidP="000C465B">
                                  <w:pPr>
                                    <w:pStyle w:val="NoSpacing"/>
                                    <w:jc w:val="center"/>
                                    <w:rPr>
                                      <w:b/>
                                      <w:color w:val="FFFFFF"/>
                                    </w:rPr>
                                  </w:pPr>
                                  <w:r w:rsidRPr="0078570A">
                                    <w:rPr>
                                      <w:b/>
                                      <w:color w:val="FFFFFF"/>
                                    </w:rPr>
                                    <w:t>Comparative Quantity Expression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8012" id="Text Box 1185910631" o:spid="_x0000_s1044" type="#_x0000_t202" style="position:absolute;margin-left:290.1pt;margin-top:154.7pt;width:169.6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" filled="f" stroked="f" strokeweight=".5pt">
                      <v:textbox>
                        <w:txbxContent>
                          <w:p w14:paraId="0186140E" w14:textId="77777777" w:rsidR="000C465B" w:rsidRPr="0078570A" w:rsidRDefault="000C465B" w:rsidP="000C465B">
                            <w:pPr>
                              <w:pStyle w:val="NoSpacing"/>
                              <w:jc w:val="center"/>
                              <w:rPr>
                                <w:b/>
                                <w:color w:val="FFFFFF"/>
                              </w:rPr>
                            </w:pPr>
                            <w:r w:rsidRPr="0078570A">
                              <w:rPr>
                                <w:b/>
                                <w:color w:val="FFFFFF"/>
                              </w:rPr>
                              <w:t>Comparative Quantity Expression</w:t>
                            </w:r>
                          </w:p>
                        </w:txbxContent>
                      </v:textbox>
                    </v:shape>
                  </w:pict>
                </mc:Fallback>
              </mc:AlternateContent>
            </w:r>
            <w:r w:rsidRPr="000C465B">
              <w:rPr>
                <w:rFonts w:ascii="Calibri" w:hAnsi="Calibri"/>
                <w:noProof/>
              </w:rPr>
              <mc:AlternateContent>
                <mc:Choice Requires="wps">
                  <w:drawing>
                    <wp:anchor distT="0" distB="0" distL="114300" distR="114300" simplePos="0" relativeHeight="251711488" behindDoc="0" locked="0" layoutInCell="1" allowOverlap="1" wp14:anchorId="46A88320" wp14:editId="49BB2B4E">
                      <wp:simplePos x="0" y="0"/>
                      <wp:positionH relativeFrom="column">
                        <wp:posOffset>916143</wp:posOffset>
                      </wp:positionH>
                      <wp:positionV relativeFrom="paragraph">
                        <wp:posOffset>3656330</wp:posOffset>
                      </wp:positionV>
                      <wp:extent cx="3021330" cy="0"/>
                      <wp:effectExtent l="0" t="95250" r="0" b="95250"/>
                      <wp:wrapNone/>
                      <wp:docPr id="2114491231" name="Straight Arrow Connector 2114491231"/>
                      <wp:cNvGraphicFramePr/>
                      <a:graphic xmlns:a="http://schemas.openxmlformats.org/drawingml/2006/main">
                        <a:graphicData uri="http://schemas.microsoft.com/office/word/2010/wordprocessingShape">
                          <wps:wsp>
                            <wps:cNvCnPr/>
                            <wps:spPr>
                              <a:xfrm flipH="1">
                                <a:off x="0" y="0"/>
                                <a:ext cx="3021330"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65E122B3" id="Straight Arrow Connector 2114491231" o:spid="_x0000_s1026" type="#_x0000_t32" style="position:absolute;margin-left:72.15pt;margin-top:287.9pt;width:237.9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" strokecolor="#c0504d" strokeweight="3pt">
                      <v:stroke endarrow="block"/>
                    </v:shape>
                  </w:pict>
                </mc:Fallback>
              </mc:AlternateContent>
            </w:r>
            <w:r w:rsidRPr="000C465B">
              <w:rPr>
                <w:rFonts w:ascii="Calibri" w:hAnsi="Calibri"/>
                <w:noProof/>
              </w:rPr>
              <mc:AlternateContent>
                <mc:Choice Requires="wps">
                  <w:drawing>
                    <wp:anchor distT="0" distB="0" distL="114300" distR="114300" simplePos="0" relativeHeight="251683840" behindDoc="0" locked="0" layoutInCell="1" allowOverlap="1" wp14:anchorId="2C793085" wp14:editId="40472859">
                      <wp:simplePos x="0" y="0"/>
                      <wp:positionH relativeFrom="column">
                        <wp:posOffset>3876675</wp:posOffset>
                      </wp:positionH>
                      <wp:positionV relativeFrom="paragraph">
                        <wp:posOffset>3531870</wp:posOffset>
                      </wp:positionV>
                      <wp:extent cx="1819910" cy="261620"/>
                      <wp:effectExtent l="0" t="0" r="8890" b="5080"/>
                      <wp:wrapNone/>
                      <wp:docPr id="1698255705" name="Text Box 1698255705"/>
                      <wp:cNvGraphicFramePr/>
                      <a:graphic xmlns:a="http://schemas.openxmlformats.org/drawingml/2006/main">
                        <a:graphicData uri="http://schemas.microsoft.com/office/word/2010/wordprocessingShape">
                          <wps:wsp>
                            <wps:cNvSpPr txBox="1"/>
                            <wps:spPr>
                              <a:xfrm>
                                <a:off x="0" y="0"/>
                                <a:ext cx="1819910" cy="261620"/>
                              </a:xfrm>
                              <a:prstGeom prst="rect">
                                <a:avLst/>
                              </a:prstGeom>
                              <a:solidFill>
                                <a:srgbClr val="C0504D"/>
                              </a:solidFill>
                              <a:ln w="6350">
                                <a:noFill/>
                              </a:ln>
                            </wps:spPr>
                            <wps:txbx>
                              <w:txbxContent>
                                <w:p w14:paraId="3DA60C8C"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93085" id="Text Box 1698255705" o:spid="_x0000_s1045" type="#_x0000_t202" style="position:absolute;margin-left:305.25pt;margin-top:278.1pt;width:143.3pt;height:20.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" fillcolor="#c0504d" stroked="f" strokeweight=".5pt">
                      <v:textbox>
                        <w:txbxContent>
                          <w:p w14:paraId="3DA60C8C"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rFonts w:ascii="Calibri" w:hAnsi="Calibri"/>
                <w:noProof/>
              </w:rPr>
              <mc:AlternateContent>
                <mc:Choice Requires="wps">
                  <w:drawing>
                    <wp:anchor distT="0" distB="0" distL="114300" distR="114300" simplePos="0" relativeHeight="251682816" behindDoc="0" locked="0" layoutInCell="1" allowOverlap="1" wp14:anchorId="04E3A37F" wp14:editId="2C03E55A">
                      <wp:simplePos x="0" y="0"/>
                      <wp:positionH relativeFrom="column">
                        <wp:posOffset>3755390</wp:posOffset>
                      </wp:positionH>
                      <wp:positionV relativeFrom="paragraph">
                        <wp:posOffset>3507267</wp:posOffset>
                      </wp:positionV>
                      <wp:extent cx="2051050" cy="309880"/>
                      <wp:effectExtent l="0" t="0" r="6350" b="0"/>
                      <wp:wrapNone/>
                      <wp:docPr id="1822411075" name="Rectangle 1822411075"/>
                      <wp:cNvGraphicFramePr/>
                      <a:graphic xmlns:a="http://schemas.openxmlformats.org/drawingml/2006/main">
                        <a:graphicData uri="http://schemas.microsoft.com/office/word/2010/wordprocessingShape">
                          <wps:wsp>
                            <wps:cNvSpPr/>
                            <wps:spPr>
                              <a:xfrm>
                                <a:off x="0" y="0"/>
                                <a:ext cx="2051050" cy="309880"/>
                              </a:xfrm>
                              <a:prstGeom prst="rect">
                                <a:avLst/>
                              </a:prstGeom>
                              <a:solidFill>
                                <a:srgbClr val="C0504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E4EE8" id="Rectangle 1822411075" o:spid="_x0000_s1026" style="position:absolute;margin-left:295.7pt;margin-top:276.15pt;width:161.5pt;height:24.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" fillcolor="#c0504d" stroked="f" strokeweight="1pt"/>
                  </w:pict>
                </mc:Fallback>
              </mc:AlternateContent>
            </w:r>
            <w:r w:rsidRPr="000C465B">
              <w:rPr>
                <w:rFonts w:ascii="Calibri" w:hAnsi="Calibri"/>
                <w:noProof/>
              </w:rPr>
              <w:drawing>
                <wp:inline distT="0" distB="0" distL="0" distR="0" wp14:anchorId="2C827999" wp14:editId="247FBC7F">
                  <wp:extent cx="3402419" cy="4660848"/>
                  <wp:effectExtent l="0" t="0" r="7620" b="6985"/>
                  <wp:docPr id="465288351" name="Picture 465288351" descr="D:\NCWM\PALS Diagrams\Set 4\7-CQR\CQR-S7a-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CWM\PALS Diagrams\Set 4\7-CQR\CQR-S7a-v1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2598" cy="4702189"/>
                          </a:xfrm>
                          <a:prstGeom prst="rect">
                            <a:avLst/>
                          </a:prstGeom>
                          <a:noFill/>
                          <a:ln>
                            <a:noFill/>
                          </a:ln>
                        </pic:spPr>
                      </pic:pic>
                    </a:graphicData>
                  </a:graphic>
                </wp:inline>
              </w:drawing>
            </w:r>
          </w:p>
        </w:tc>
      </w:tr>
    </w:tbl>
    <w:p w14:paraId="5E777DD4" w14:textId="16479C03" w:rsidR="000C465B" w:rsidRPr="000C465B" w:rsidRDefault="00810BDD" w:rsidP="000C465B">
      <w:pPr>
        <w:spacing w:after="200" w:line="276" w:lineRule="auto"/>
        <w:jc w:val="left"/>
        <w:rPr>
          <w:szCs w:val="20"/>
        </w:rPr>
      </w:pPr>
      <w:r>
        <w:rPr>
          <w:szCs w:val="20"/>
        </w:rPr>
        <w:br/>
      </w:r>
      <w:r w:rsidR="000C465B" w:rsidRPr="000C465B">
        <w:rPr>
          <w:szCs w:val="20"/>
        </w:rPr>
        <w:t>Additional examples of a Comparative Quantity Representation include the following:</w:t>
      </w:r>
    </w:p>
    <w:p w14:paraId="292308E8"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“Contains 1 Pound more than Brand X Largest Size” appearing on the PDP when </w:t>
      </w:r>
      <w:r w:rsidRPr="000C465B">
        <w:rPr>
          <w:szCs w:val="20"/>
        </w:rPr>
        <w:t>Declaration of Net Quantity</w:t>
      </w:r>
      <w:r w:rsidRPr="000C465B">
        <w:rPr>
          <w:rFonts w:eastAsia="Times New Roman"/>
          <w:szCs w:val="20"/>
        </w:rPr>
        <w:t xml:space="preserve"> reads “5 Pounds (2.26 Kilograms)”</w:t>
      </w:r>
    </w:p>
    <w:p w14:paraId="40196C6C" w14:textId="77777777" w:rsidR="000C465B" w:rsidRPr="000C465B" w:rsidRDefault="000C465B" w:rsidP="000C465B">
      <w:pPr>
        <w:spacing w:after="0"/>
        <w:ind w:left="720"/>
        <w:contextualSpacing/>
        <w:jc w:val="left"/>
        <w:rPr>
          <w:rFonts w:eastAsia="Times New Roman"/>
          <w:szCs w:val="20"/>
        </w:rPr>
      </w:pPr>
    </w:p>
    <w:p w14:paraId="2A61314B"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“Contains 2 Ounces More than Brand Y 12 Ounce Box” appearing on the PDP when </w:t>
      </w:r>
      <w:r w:rsidRPr="000C465B">
        <w:rPr>
          <w:szCs w:val="20"/>
        </w:rPr>
        <w:t>Declaration of Net Quantity</w:t>
      </w:r>
      <w:r w:rsidRPr="000C465B">
        <w:rPr>
          <w:rFonts w:eastAsia="Times New Roman"/>
          <w:szCs w:val="20"/>
        </w:rPr>
        <w:t xml:space="preserve"> reads “14 Ounces (396 Grams)</w:t>
      </w:r>
      <w:r w:rsidRPr="000C465B">
        <w:rPr>
          <w:rFonts w:eastAsia="Times New Roman"/>
          <w:noProof/>
          <w:szCs w:val="20"/>
        </w:rPr>
        <w:t xml:space="preserve"> </w:t>
      </w:r>
      <w:r w:rsidRPr="000C465B">
        <w:rPr>
          <w:rFonts w:eastAsia="Times New Roman"/>
          <w:szCs w:val="20"/>
        </w:rPr>
        <w:t>”</w:t>
      </w:r>
    </w:p>
    <w:p w14:paraId="6DACDDB7" w14:textId="77777777" w:rsidR="000C465B" w:rsidRPr="000C465B" w:rsidRDefault="000C465B" w:rsidP="000C465B">
      <w:pPr>
        <w:spacing w:after="0"/>
        <w:contextualSpacing/>
        <w:jc w:val="left"/>
        <w:rPr>
          <w:rFonts w:eastAsia="Times New Roman"/>
          <w:szCs w:val="20"/>
        </w:rPr>
      </w:pPr>
    </w:p>
    <w:p w14:paraId="1BC29CA9"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“Contains the Same 1.5 Liters as Our Old Package” appearing on the PDP when </w:t>
      </w:r>
      <w:r w:rsidRPr="000C465B">
        <w:rPr>
          <w:szCs w:val="20"/>
        </w:rPr>
        <w:t>Declaration of Net Quantity</w:t>
      </w:r>
      <w:r w:rsidRPr="000C465B">
        <w:rPr>
          <w:rFonts w:eastAsia="Times New Roman"/>
          <w:szCs w:val="20"/>
        </w:rPr>
        <w:t xml:space="preserve"> reads “1.5 Liters (1.58 Quarts)”</w:t>
      </w:r>
    </w:p>
    <w:p w14:paraId="1400B785" w14:textId="77777777" w:rsidR="000C465B" w:rsidRPr="000C465B" w:rsidRDefault="000C465B" w:rsidP="000C465B">
      <w:pPr>
        <w:spacing w:after="0"/>
        <w:contextualSpacing/>
        <w:jc w:val="left"/>
        <w:rPr>
          <w:rFonts w:eastAsia="Times New Roman"/>
          <w:szCs w:val="20"/>
        </w:rPr>
      </w:pPr>
    </w:p>
    <w:p w14:paraId="7A8D1EA9"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“Contains 5 More Widgets than Brand Z 20 count Super Widget Assortment” appearing on the PDP when </w:t>
      </w:r>
      <w:r w:rsidRPr="000C465B">
        <w:rPr>
          <w:szCs w:val="20"/>
        </w:rPr>
        <w:t>Declaration of Net Quantity</w:t>
      </w:r>
      <w:r w:rsidRPr="000C465B">
        <w:rPr>
          <w:rFonts w:eastAsia="Times New Roman"/>
          <w:szCs w:val="20"/>
        </w:rPr>
        <w:t xml:space="preserve"> reads “2 Pounds (907 Grams)”</w:t>
      </w:r>
    </w:p>
    <w:p w14:paraId="12DE4630" w14:textId="77777777" w:rsidR="000C465B" w:rsidRPr="000C465B" w:rsidRDefault="000C465B" w:rsidP="000C465B">
      <w:pPr>
        <w:spacing w:after="0"/>
        <w:contextualSpacing/>
        <w:jc w:val="left"/>
        <w:rPr>
          <w:rFonts w:eastAsia="Times New Roman"/>
          <w:szCs w:val="20"/>
        </w:rPr>
      </w:pPr>
    </w:p>
    <w:p w14:paraId="74375E99"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 xml:space="preserve">Statement “8 Big Rolls = 12 Regular Rolls” appearing on PDP with correct </w:t>
      </w:r>
      <w:r w:rsidRPr="000C465B">
        <w:rPr>
          <w:szCs w:val="20"/>
        </w:rPr>
        <w:t>Declaration of Net Quantity</w:t>
      </w:r>
      <w:r w:rsidRPr="000C465B">
        <w:rPr>
          <w:rFonts w:eastAsia="Times New Roman"/>
          <w:szCs w:val="20"/>
        </w:rPr>
        <w:t xml:space="preserve"> for Paper Towel Product.  </w:t>
      </w:r>
    </w:p>
    <w:p w14:paraId="256D498C" w14:textId="789BB8CE" w:rsidR="000C465B" w:rsidRPr="000C465B" w:rsidRDefault="000C465B" w:rsidP="000C465B">
      <w:pPr>
        <w:spacing w:after="200" w:line="276" w:lineRule="auto"/>
        <w:rPr>
          <w:b/>
          <w:bCs/>
          <w:szCs w:val="20"/>
        </w:rPr>
      </w:pPr>
      <w:r w:rsidRPr="000C465B">
        <w:rPr>
          <w:b/>
          <w:szCs w:val="20"/>
        </w:rPr>
        <w:lastRenderedPageBreak/>
        <w:t xml:space="preserve">5.  </w:t>
      </w:r>
      <w:r w:rsidRPr="000C465B">
        <w:rPr>
          <w:b/>
          <w:szCs w:val="20"/>
          <w:u w:val="single"/>
        </w:rPr>
        <w:t>Comparative Performance Representation (CPR)</w:t>
      </w:r>
      <w:r w:rsidRPr="000C465B">
        <w:rPr>
          <w:b/>
          <w:bCs/>
          <w:szCs w:val="20"/>
        </w:rPr>
        <w:t xml:space="preserve"> </w:t>
      </w:r>
      <w:r w:rsidRPr="000C465B">
        <w:rPr>
          <w:szCs w:val="20"/>
        </w:rPr>
        <w:t xml:space="preserve">– an expression appearing on the Principal Display Panel (PDP) in addition to the Declaration of Net Quantity (DoNQ) that compares the </w:t>
      </w:r>
      <w:r w:rsidRPr="000C465B">
        <w:rPr>
          <w:szCs w:val="20"/>
          <w:u w:val="single"/>
        </w:rPr>
        <w:t>performance</w:t>
      </w:r>
      <w:r w:rsidRPr="000C465B">
        <w:rPr>
          <w:szCs w:val="20"/>
        </w:rPr>
        <w:t xml:space="preserve"> of that package to the performance of a comparable product package produced by the same or a different manufacturer.  Examples of Comparative Performance Representations would include expressions such as “Same number of Uses as our Regular 18 Ounce Size”, “This Package Does 5 More Loads than Reed’s 4 Pound Powder Package”.  “Lasts as long as Reed’s 2 Pound Freshening Bar</w:t>
      </w:r>
      <w:r w:rsidRPr="000C465B">
        <w:rPr>
          <w:b/>
          <w:bCs/>
          <w:szCs w:val="20"/>
        </w:rPr>
        <w:t xml:space="preserve">”.  </w:t>
      </w:r>
    </w:p>
    <w:p w14:paraId="6CAB3714" w14:textId="77777777" w:rsidR="000C465B" w:rsidRPr="000C465B" w:rsidRDefault="000C465B" w:rsidP="000C465B">
      <w:pPr>
        <w:spacing w:after="0" w:line="276" w:lineRule="auto"/>
        <w:rPr>
          <w:szCs w:val="20"/>
        </w:rPr>
      </w:pPr>
      <w:r w:rsidRPr="000C465B">
        <w:rPr>
          <w:szCs w:val="20"/>
        </w:rPr>
        <w:t xml:space="preserve">In the package diagram below, the Comparative Performance Representation (CPR) would be the “Does twice as many loads for the same size!” expression which is present on the PDP in addition to the required Declaration of Net Quantity and the optionally added Derived Unit Expression (DUE).     </w:t>
      </w:r>
    </w:p>
    <w:tbl>
      <w:tblPr>
        <w:tblStyle w:val="TableGrid22"/>
        <w:tblW w:w="0" w:type="auto"/>
        <w:tblLook w:val="04A0" w:firstRow="1" w:lastRow="0" w:firstColumn="1" w:lastColumn="0" w:noHBand="0" w:noVBand="1"/>
      </w:tblPr>
      <w:tblGrid>
        <w:gridCol w:w="9350"/>
      </w:tblGrid>
      <w:tr w:rsidR="000C465B" w:rsidRPr="000C465B" w14:paraId="326A167F" w14:textId="77777777" w:rsidTr="005F0F3E">
        <w:tc>
          <w:tcPr>
            <w:tcW w:w="9350" w:type="dxa"/>
            <w:tcBorders>
              <w:top w:val="nil"/>
              <w:left w:val="nil"/>
              <w:bottom w:val="nil"/>
              <w:right w:val="nil"/>
            </w:tcBorders>
          </w:tcPr>
          <w:p w14:paraId="7F6CF572" w14:textId="77777777" w:rsidR="000C465B" w:rsidRPr="000C465B" w:rsidRDefault="000C465B" w:rsidP="000C465B">
            <w:pPr>
              <w:keepNext/>
              <w:spacing w:after="0"/>
              <w:rPr>
                <w:b/>
                <w:bCs/>
                <w:sz w:val="20"/>
                <w:szCs w:val="20"/>
              </w:rPr>
            </w:pPr>
          </w:p>
          <w:p w14:paraId="121107EF" w14:textId="77777777" w:rsidR="000C465B" w:rsidRPr="000C465B" w:rsidRDefault="000C465B" w:rsidP="000C465B">
            <w:pPr>
              <w:keepNext/>
              <w:spacing w:after="0"/>
              <w:rPr>
                <w:b/>
                <w:bCs/>
                <w:sz w:val="20"/>
                <w:szCs w:val="20"/>
              </w:rPr>
            </w:pPr>
            <w:r w:rsidRPr="000C465B">
              <w:rPr>
                <w:noProof/>
                <w:szCs w:val="20"/>
              </w:rPr>
              <mc:AlternateContent>
                <mc:Choice Requires="wps">
                  <w:drawing>
                    <wp:anchor distT="0" distB="0" distL="114300" distR="114300" simplePos="0" relativeHeight="251684864" behindDoc="0" locked="0" layoutInCell="1" allowOverlap="1" wp14:anchorId="536F2CC7" wp14:editId="6B15A38F">
                      <wp:simplePos x="0" y="0"/>
                      <wp:positionH relativeFrom="column">
                        <wp:posOffset>3531870</wp:posOffset>
                      </wp:positionH>
                      <wp:positionV relativeFrom="paragraph">
                        <wp:posOffset>3686810</wp:posOffset>
                      </wp:positionV>
                      <wp:extent cx="1819910" cy="261620"/>
                      <wp:effectExtent l="0" t="0" r="8890" b="5080"/>
                      <wp:wrapNone/>
                      <wp:docPr id="1428391066" name="Text Box 1428391066"/>
                      <wp:cNvGraphicFramePr/>
                      <a:graphic xmlns:a="http://schemas.openxmlformats.org/drawingml/2006/main">
                        <a:graphicData uri="http://schemas.microsoft.com/office/word/2010/wordprocessingShape">
                          <wps:wsp>
                            <wps:cNvSpPr txBox="1"/>
                            <wps:spPr>
                              <a:xfrm>
                                <a:off x="0" y="0"/>
                                <a:ext cx="1819910" cy="261620"/>
                              </a:xfrm>
                              <a:prstGeom prst="rect">
                                <a:avLst/>
                              </a:prstGeom>
                              <a:solidFill>
                                <a:srgbClr val="C0504D"/>
                              </a:solidFill>
                              <a:ln w="6350">
                                <a:noFill/>
                              </a:ln>
                            </wps:spPr>
                            <wps:txbx>
                              <w:txbxContent>
                                <w:p w14:paraId="6AF62953" w14:textId="77777777" w:rsidR="000C465B" w:rsidRPr="0078570A" w:rsidRDefault="000C465B" w:rsidP="000C465B">
                                  <w:pPr>
                                    <w:pStyle w:val="NoSpacing"/>
                                    <w:jc w:val="center"/>
                                    <w:rPr>
                                      <w:b/>
                                      <w:color w:val="FFFFFF"/>
                                    </w:rPr>
                                  </w:pPr>
                                  <w:r w:rsidRPr="0078570A">
                                    <w:rPr>
                                      <w:b/>
                                      <w:color w:val="FFFFFF"/>
                                    </w:rPr>
                                    <w:t>Declaration of Net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F2CC7" id="Text Box 1428391066" o:spid="_x0000_s1046" type="#_x0000_t202" style="position:absolute;left:0;text-align:left;margin-left:278.1pt;margin-top:290.3pt;width:143.3pt;height:20.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" fillcolor="#c0504d" stroked="f" strokeweight=".5pt">
                      <v:textbox>
                        <w:txbxContent>
                          <w:p w14:paraId="6AF62953" w14:textId="77777777" w:rsidR="000C465B" w:rsidRPr="0078570A" w:rsidRDefault="000C465B" w:rsidP="000C465B">
                            <w:pPr>
                              <w:pStyle w:val="NoSpacing"/>
                              <w:jc w:val="center"/>
                              <w:rPr>
                                <w:b/>
                                <w:color w:val="FFFFFF"/>
                              </w:rPr>
                            </w:pPr>
                            <w:r w:rsidRPr="0078570A">
                              <w:rPr>
                                <w:b/>
                                <w:color w:val="FFFFFF"/>
                              </w:rPr>
                              <w:t>Declaration of Net Quantity</w:t>
                            </w:r>
                          </w:p>
                        </w:txbxContent>
                      </v:textbox>
                    </v:shape>
                  </w:pict>
                </mc:Fallback>
              </mc:AlternateContent>
            </w:r>
            <w:r w:rsidRPr="000C465B">
              <w:rPr>
                <w:noProof/>
                <w:szCs w:val="20"/>
              </w:rPr>
              <mc:AlternateContent>
                <mc:Choice Requires="wps">
                  <w:drawing>
                    <wp:anchor distT="0" distB="0" distL="114300" distR="114300" simplePos="0" relativeHeight="251696128" behindDoc="0" locked="0" layoutInCell="1" allowOverlap="1" wp14:anchorId="383099EA" wp14:editId="3B8D6E50">
                      <wp:simplePos x="0" y="0"/>
                      <wp:positionH relativeFrom="column">
                        <wp:posOffset>3143250</wp:posOffset>
                      </wp:positionH>
                      <wp:positionV relativeFrom="paragraph">
                        <wp:posOffset>2123440</wp:posOffset>
                      </wp:positionV>
                      <wp:extent cx="2719070" cy="309880"/>
                      <wp:effectExtent l="0" t="0" r="5080" b="0"/>
                      <wp:wrapNone/>
                      <wp:docPr id="1547147638" name="Rectangle 1547147638"/>
                      <wp:cNvGraphicFramePr/>
                      <a:graphic xmlns:a="http://schemas.openxmlformats.org/drawingml/2006/main">
                        <a:graphicData uri="http://schemas.microsoft.com/office/word/2010/wordprocessingShape">
                          <wps:wsp>
                            <wps:cNvSpPr/>
                            <wps:spPr>
                              <a:xfrm>
                                <a:off x="0" y="0"/>
                                <a:ext cx="2719070" cy="309880"/>
                              </a:xfrm>
                              <a:prstGeom prst="rect">
                                <a:avLst/>
                              </a:prstGeom>
                              <a:solidFill>
                                <a:srgbClr val="003E7E"/>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44785" id="Rectangle 1547147638" o:spid="_x0000_s1026" style="position:absolute;margin-left:247.5pt;margin-top:167.2pt;width:214.1pt;height:2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" fillcolor="#003e7e" stroked="f" strokeweight="1pt"/>
                  </w:pict>
                </mc:Fallback>
              </mc:AlternateContent>
            </w:r>
            <w:r w:rsidRPr="000C465B">
              <w:rPr>
                <w:noProof/>
                <w:szCs w:val="20"/>
              </w:rPr>
              <mc:AlternateContent>
                <mc:Choice Requires="wps">
                  <w:drawing>
                    <wp:anchor distT="0" distB="0" distL="114300" distR="114300" simplePos="0" relativeHeight="251712512" behindDoc="0" locked="0" layoutInCell="1" allowOverlap="1" wp14:anchorId="3BCDD7C4" wp14:editId="62DB58D6">
                      <wp:simplePos x="0" y="0"/>
                      <wp:positionH relativeFrom="column">
                        <wp:posOffset>1489710</wp:posOffset>
                      </wp:positionH>
                      <wp:positionV relativeFrom="paragraph">
                        <wp:posOffset>2273300</wp:posOffset>
                      </wp:positionV>
                      <wp:extent cx="1669415" cy="0"/>
                      <wp:effectExtent l="0" t="95250" r="0" b="95250"/>
                      <wp:wrapNone/>
                      <wp:docPr id="2085601777" name="Straight Arrow Connector 2085601777"/>
                      <wp:cNvGraphicFramePr/>
                      <a:graphic xmlns:a="http://schemas.openxmlformats.org/drawingml/2006/main">
                        <a:graphicData uri="http://schemas.microsoft.com/office/word/2010/wordprocessingShape">
                          <wps:wsp>
                            <wps:cNvCnPr/>
                            <wps:spPr>
                              <a:xfrm flipH="1">
                                <a:off x="0" y="0"/>
                                <a:ext cx="1669415" cy="0"/>
                              </a:xfrm>
                              <a:prstGeom prst="straightConnector1">
                                <a:avLst/>
                              </a:prstGeom>
                              <a:noFill/>
                              <a:ln w="38100" cap="flat" cmpd="sng" algn="ctr">
                                <a:solidFill>
                                  <a:srgbClr val="003E7E"/>
                                </a:solidFill>
                                <a:prstDash val="solid"/>
                                <a:tailEnd type="triangle"/>
                              </a:ln>
                              <a:effectLst/>
                            </wps:spPr>
                            <wps:bodyPr/>
                          </wps:wsp>
                        </a:graphicData>
                      </a:graphic>
                    </wp:anchor>
                  </w:drawing>
                </mc:Choice>
                <mc:Fallback>
                  <w:pict>
                    <v:shape w14:anchorId="516814BE" id="Straight Arrow Connector 2085601777" o:spid="_x0000_s1026" type="#_x0000_t32" style="position:absolute;margin-left:117.3pt;margin-top:179pt;width:131.4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" strokecolor="#003e7e" strokeweight="3pt">
                      <v:stroke endarrow="block"/>
                    </v:shape>
                  </w:pict>
                </mc:Fallback>
              </mc:AlternateContent>
            </w:r>
            <w:r w:rsidRPr="000C465B">
              <w:rPr>
                <w:noProof/>
                <w:szCs w:val="20"/>
              </w:rPr>
              <mc:AlternateContent>
                <mc:Choice Requires="wps">
                  <w:drawing>
                    <wp:anchor distT="0" distB="0" distL="114300" distR="114300" simplePos="0" relativeHeight="251697152" behindDoc="0" locked="0" layoutInCell="1" allowOverlap="1" wp14:anchorId="13EBF365" wp14:editId="5DE52183">
                      <wp:simplePos x="0" y="0"/>
                      <wp:positionH relativeFrom="column">
                        <wp:posOffset>3143250</wp:posOffset>
                      </wp:positionH>
                      <wp:positionV relativeFrom="paragraph">
                        <wp:posOffset>2129790</wp:posOffset>
                      </wp:positionV>
                      <wp:extent cx="2774315" cy="261620"/>
                      <wp:effectExtent l="0" t="0" r="0" b="5080"/>
                      <wp:wrapNone/>
                      <wp:docPr id="1055651522" name="Text Box 1055651522"/>
                      <wp:cNvGraphicFramePr/>
                      <a:graphic xmlns:a="http://schemas.openxmlformats.org/drawingml/2006/main">
                        <a:graphicData uri="http://schemas.microsoft.com/office/word/2010/wordprocessingShape">
                          <wps:wsp>
                            <wps:cNvSpPr txBox="1"/>
                            <wps:spPr>
                              <a:xfrm>
                                <a:off x="0" y="0"/>
                                <a:ext cx="2774315" cy="261620"/>
                              </a:xfrm>
                              <a:prstGeom prst="rect">
                                <a:avLst/>
                              </a:prstGeom>
                              <a:noFill/>
                              <a:ln w="6350">
                                <a:noFill/>
                              </a:ln>
                            </wps:spPr>
                            <wps:txbx>
                              <w:txbxContent>
                                <w:p w14:paraId="04C900BF" w14:textId="77777777" w:rsidR="000C465B" w:rsidRPr="0078570A" w:rsidRDefault="000C465B" w:rsidP="000C465B">
                                  <w:pPr>
                                    <w:pStyle w:val="NoSpacing"/>
                                    <w:jc w:val="center"/>
                                    <w:rPr>
                                      <w:b/>
                                      <w:color w:val="FFFFFF"/>
                                    </w:rPr>
                                  </w:pPr>
                                  <w:r w:rsidRPr="0078570A">
                                    <w:rPr>
                                      <w:b/>
                                      <w:color w:val="FFFFFF"/>
                                    </w:rPr>
                                    <w:t>Comparative Performance Representation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F365" id="Text Box 1055651522" o:spid="_x0000_s1047" type="#_x0000_t202" style="position:absolute;left:0;text-align:left;margin-left:247.5pt;margin-top:167.7pt;width:218.45pt;height:2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" filled="f" stroked="f" strokeweight=".5pt">
                      <v:textbox>
                        <w:txbxContent>
                          <w:p w14:paraId="04C900BF" w14:textId="77777777" w:rsidR="000C465B" w:rsidRPr="0078570A" w:rsidRDefault="000C465B" w:rsidP="000C465B">
                            <w:pPr>
                              <w:pStyle w:val="NoSpacing"/>
                              <w:jc w:val="center"/>
                              <w:rPr>
                                <w:b/>
                                <w:color w:val="FFFFFF"/>
                              </w:rPr>
                            </w:pPr>
                            <w:r w:rsidRPr="0078570A">
                              <w:rPr>
                                <w:b/>
                                <w:color w:val="FFFFFF"/>
                              </w:rPr>
                              <w:t>Comparative Performance Representation</w:t>
                            </w:r>
                          </w:p>
                        </w:txbxContent>
                      </v:textbox>
                    </v:shape>
                  </w:pict>
                </mc:Fallback>
              </mc:AlternateContent>
            </w:r>
            <w:r w:rsidRPr="000C465B">
              <w:rPr>
                <w:noProof/>
                <w:szCs w:val="20"/>
              </w:rPr>
              <mc:AlternateContent>
                <mc:Choice Requires="wps">
                  <w:drawing>
                    <wp:anchor distT="0" distB="0" distL="114300" distR="114300" simplePos="0" relativeHeight="251713536" behindDoc="0" locked="0" layoutInCell="1" allowOverlap="1" wp14:anchorId="3A4384CB" wp14:editId="4B4A304B">
                      <wp:simplePos x="0" y="0"/>
                      <wp:positionH relativeFrom="column">
                        <wp:posOffset>2244725</wp:posOffset>
                      </wp:positionH>
                      <wp:positionV relativeFrom="paragraph">
                        <wp:posOffset>3810635</wp:posOffset>
                      </wp:positionV>
                      <wp:extent cx="1287780" cy="0"/>
                      <wp:effectExtent l="0" t="95250" r="0" b="95250"/>
                      <wp:wrapNone/>
                      <wp:docPr id="1644244310" name="Straight Arrow Connector 1644244310"/>
                      <wp:cNvGraphicFramePr/>
                      <a:graphic xmlns:a="http://schemas.openxmlformats.org/drawingml/2006/main">
                        <a:graphicData uri="http://schemas.microsoft.com/office/word/2010/wordprocessingShape">
                          <wps:wsp>
                            <wps:cNvCnPr/>
                            <wps:spPr>
                              <a:xfrm flipH="1">
                                <a:off x="0" y="0"/>
                                <a:ext cx="1287780" cy="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 w14:anchorId="4ACE8A39" id="Straight Arrow Connector 1644244310" o:spid="_x0000_s1026" type="#_x0000_t32" style="position:absolute;margin-left:176.75pt;margin-top:300.05pt;width:101.4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" strokecolor="#c0504d" strokeweight="3pt">
                      <v:stroke endarrow="block"/>
                    </v:shape>
                  </w:pict>
                </mc:Fallback>
              </mc:AlternateContent>
            </w:r>
            <w:r w:rsidRPr="000C465B">
              <w:rPr>
                <w:b/>
                <w:bCs/>
                <w:noProof/>
                <w:szCs w:val="20"/>
              </w:rPr>
              <w:drawing>
                <wp:inline distT="0" distB="0" distL="0" distR="0" wp14:anchorId="782B9133" wp14:editId="2BCB7E0A">
                  <wp:extent cx="2790825" cy="4766938"/>
                  <wp:effectExtent l="0" t="0" r="0" b="0"/>
                  <wp:docPr id="689017911" name="Picture 689017911" descr="D:\NCWM\PALS Diagrams\Set 4\8-CPR\CPR-S8a-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CWM\PALS Diagrams\Set 4\8-CPR\CPR-S8a-v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0825" cy="4766938"/>
                          </a:xfrm>
                          <a:prstGeom prst="rect">
                            <a:avLst/>
                          </a:prstGeom>
                          <a:noFill/>
                          <a:ln>
                            <a:noFill/>
                          </a:ln>
                        </pic:spPr>
                      </pic:pic>
                    </a:graphicData>
                  </a:graphic>
                </wp:inline>
              </w:drawing>
            </w:r>
          </w:p>
        </w:tc>
      </w:tr>
    </w:tbl>
    <w:p w14:paraId="2AEDC23B" w14:textId="77777777" w:rsidR="000C465B" w:rsidRPr="000C465B" w:rsidRDefault="000C465B" w:rsidP="000C465B">
      <w:pPr>
        <w:spacing w:before="120" w:after="200" w:line="276" w:lineRule="auto"/>
        <w:jc w:val="left"/>
        <w:rPr>
          <w:szCs w:val="20"/>
        </w:rPr>
      </w:pPr>
      <w:r w:rsidRPr="000C465B">
        <w:rPr>
          <w:szCs w:val="20"/>
        </w:rPr>
        <w:t> Examples of a Comparative Performance Representation include the following:</w:t>
      </w:r>
    </w:p>
    <w:p w14:paraId="7E411ED5"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“Same Uses as our Regular 18 Ounce Size Product” appearing on the PDP when Declaration of Net Quantity reads “8 Ounces (226 Grams)”</w:t>
      </w:r>
    </w:p>
    <w:p w14:paraId="2348C392" w14:textId="77777777" w:rsidR="000C465B" w:rsidRPr="000C465B" w:rsidRDefault="000C465B" w:rsidP="000C465B">
      <w:pPr>
        <w:spacing w:after="0"/>
        <w:ind w:left="720"/>
        <w:contextualSpacing/>
        <w:jc w:val="left"/>
        <w:rPr>
          <w:rFonts w:eastAsia="Times New Roman"/>
          <w:szCs w:val="20"/>
        </w:rPr>
      </w:pPr>
    </w:p>
    <w:p w14:paraId="39838AFC"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“20 more Doses than our Regular Size” appearing on the PDP when Declaration of Net Quantity reads “4 Ounces (113 Grams)”</w:t>
      </w:r>
    </w:p>
    <w:p w14:paraId="0677C250" w14:textId="77777777" w:rsidR="000C465B" w:rsidRPr="000C465B" w:rsidRDefault="000C465B" w:rsidP="000C465B">
      <w:pPr>
        <w:spacing w:after="0"/>
        <w:contextualSpacing/>
        <w:jc w:val="left"/>
        <w:rPr>
          <w:rFonts w:eastAsia="Times New Roman"/>
          <w:szCs w:val="20"/>
        </w:rPr>
      </w:pPr>
    </w:p>
    <w:p w14:paraId="3B662598"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“Lasts 2 Months Longer than Brand M” appearing on the PDP when Declaration of Net Quantity reads “1.5 Liters (1.58 Quarts)”</w:t>
      </w:r>
    </w:p>
    <w:p w14:paraId="58BD0A57" w14:textId="77777777" w:rsidR="000C465B" w:rsidRPr="000C465B" w:rsidRDefault="000C465B" w:rsidP="000C465B">
      <w:pPr>
        <w:spacing w:after="0"/>
        <w:contextualSpacing/>
        <w:jc w:val="left"/>
        <w:rPr>
          <w:rFonts w:eastAsia="Times New Roman"/>
          <w:szCs w:val="20"/>
        </w:rPr>
      </w:pPr>
    </w:p>
    <w:p w14:paraId="67428871" w14:textId="77777777" w:rsidR="000C465B" w:rsidRPr="000C465B" w:rsidRDefault="000C465B" w:rsidP="000C465B">
      <w:pPr>
        <w:numPr>
          <w:ilvl w:val="0"/>
          <w:numId w:val="101"/>
        </w:numPr>
        <w:spacing w:after="0" w:line="276" w:lineRule="auto"/>
        <w:contextualSpacing/>
        <w:jc w:val="left"/>
        <w:rPr>
          <w:rFonts w:eastAsia="Times New Roman"/>
          <w:szCs w:val="20"/>
        </w:rPr>
      </w:pPr>
      <w:r w:rsidRPr="000C465B">
        <w:rPr>
          <w:rFonts w:eastAsia="Times New Roman"/>
          <w:szCs w:val="20"/>
        </w:rPr>
        <w:t>Statement “Double the Absorptive Ability as Regular 20 Pound Products” appearing on the PDP when Declaration of Net Quantity reads “12 Pounds (5.44 Kilograms)”</w:t>
      </w:r>
    </w:p>
    <w:p w14:paraId="7E7932E9" w14:textId="77777777" w:rsidR="000C465B" w:rsidRPr="000C465B" w:rsidRDefault="000C465B" w:rsidP="000C465B">
      <w:pPr>
        <w:spacing w:after="200" w:line="276" w:lineRule="auto"/>
        <w:jc w:val="left"/>
        <w:rPr>
          <w:rFonts w:ascii="Calibri" w:hAnsi="Calibri"/>
          <w:sz w:val="22"/>
        </w:rPr>
      </w:pPr>
    </w:p>
    <w:p w14:paraId="0AA30903" w14:textId="77777777" w:rsidR="000C465B" w:rsidRPr="000C465B" w:rsidRDefault="000C465B" w:rsidP="000C465B">
      <w:pPr>
        <w:keepNext/>
        <w:spacing w:after="200" w:line="276" w:lineRule="auto"/>
        <w:jc w:val="center"/>
        <w:rPr>
          <w:b/>
          <w:sz w:val="36"/>
          <w:szCs w:val="36"/>
        </w:rPr>
      </w:pPr>
      <w:bookmarkStart w:id="889" w:name="Principles_Recommendations"/>
      <w:bookmarkEnd w:id="889"/>
      <w:r w:rsidRPr="000C465B">
        <w:rPr>
          <w:b/>
          <w:sz w:val="36"/>
          <w:szCs w:val="36"/>
        </w:rPr>
        <w:t>Principles &amp; Recommendations by Expression Category</w:t>
      </w:r>
    </w:p>
    <w:p w14:paraId="2B9D6F04" w14:textId="77777777" w:rsidR="000C465B" w:rsidRPr="000C465B" w:rsidRDefault="000C465B" w:rsidP="000C465B">
      <w:pPr>
        <w:keepNext/>
        <w:spacing w:after="200" w:line="276" w:lineRule="auto"/>
        <w:rPr>
          <w:rFonts w:eastAsia="Times New Roman"/>
          <w:szCs w:val="20"/>
        </w:rPr>
      </w:pPr>
      <w:r w:rsidRPr="000C465B">
        <w:rPr>
          <w:rFonts w:eastAsia="Times New Roman"/>
          <w:szCs w:val="20"/>
        </w:rPr>
        <w:t>In developing category principles and recommendations, the NCWM recognized that some principles should apply broadly across all or most expression categories while others may apply narrowly to a single or limited number of expression categories. To develop principles and recommendations that do not contain category-by-category repetition, the NCWM is providing the information in a tabular fashion.</w:t>
      </w:r>
    </w:p>
    <w:p w14:paraId="51B8A566" w14:textId="77777777" w:rsidR="000C465B" w:rsidRPr="000C465B" w:rsidRDefault="000C465B" w:rsidP="000C465B">
      <w:pPr>
        <w:spacing w:after="200" w:line="276" w:lineRule="auto"/>
        <w:rPr>
          <w:rFonts w:eastAsia="Times New Roman"/>
          <w:szCs w:val="20"/>
        </w:rPr>
      </w:pPr>
      <w:r w:rsidRPr="000C465B">
        <w:rPr>
          <w:rFonts w:eastAsia="Times New Roman"/>
          <w:szCs w:val="20"/>
        </w:rPr>
        <w:t>This document has been drafted according to the schematic below with the presumption that a user would:</w:t>
      </w:r>
    </w:p>
    <w:p w14:paraId="33AE15B1" w14:textId="77777777" w:rsidR="000C465B" w:rsidRPr="000C465B" w:rsidRDefault="000C465B" w:rsidP="000C465B">
      <w:pPr>
        <w:spacing w:after="200" w:line="276" w:lineRule="auto"/>
        <w:rPr>
          <w:rFonts w:eastAsia="Times New Roman"/>
          <w:szCs w:val="20"/>
        </w:rPr>
      </w:pPr>
      <w:r w:rsidRPr="000C465B">
        <w:rPr>
          <w:rFonts w:eastAsia="Times New Roman"/>
          <w:szCs w:val="20"/>
        </w:rPr>
        <w:t xml:space="preserve">1) Determine the applicable expression category from the definitions above, </w:t>
      </w:r>
    </w:p>
    <w:p w14:paraId="388306C3" w14:textId="77777777" w:rsidR="000C465B" w:rsidRPr="000C465B" w:rsidRDefault="000C465B" w:rsidP="000C465B">
      <w:pPr>
        <w:spacing w:after="200" w:line="276" w:lineRule="auto"/>
        <w:rPr>
          <w:rFonts w:eastAsia="Times New Roman"/>
          <w:szCs w:val="20"/>
        </w:rPr>
      </w:pPr>
      <w:r w:rsidRPr="000C465B">
        <w:rPr>
          <w:rFonts w:eastAsia="Times New Roman"/>
          <w:szCs w:val="20"/>
        </w:rPr>
        <w:t xml:space="preserve">2) Determine which principles should be evaluated based on Table 1, and </w:t>
      </w:r>
    </w:p>
    <w:p w14:paraId="15A72A0E" w14:textId="77777777" w:rsidR="000C465B" w:rsidRPr="000C465B" w:rsidRDefault="000C465B" w:rsidP="000C465B">
      <w:pPr>
        <w:spacing w:after="200" w:line="276" w:lineRule="auto"/>
        <w:rPr>
          <w:rFonts w:eastAsia="Times New Roman"/>
          <w:szCs w:val="20"/>
        </w:rPr>
      </w:pPr>
      <w:r w:rsidRPr="000C465B">
        <w:rPr>
          <w:rFonts w:eastAsia="Times New Roman"/>
          <w:szCs w:val="20"/>
        </w:rPr>
        <w:t xml:space="preserve">3) Review the additional guidance available in Table 2 as needed.  Table 1 identifies the principles generally applicable to each expression category, and Table 2 provides further details and guidance on each principle.   </w:t>
      </w:r>
    </w:p>
    <w:p w14:paraId="49050BF0" w14:textId="77777777" w:rsidR="000C465B" w:rsidRPr="000C465B" w:rsidRDefault="000C465B" w:rsidP="000C465B">
      <w:pPr>
        <w:spacing w:after="200" w:line="276" w:lineRule="auto"/>
        <w:rPr>
          <w:rFonts w:eastAsia="Times New Roman"/>
          <w:sz w:val="22"/>
        </w:rPr>
      </w:pPr>
    </w:p>
    <w:p w14:paraId="61A7E082" w14:textId="77777777" w:rsidR="000C465B" w:rsidRPr="000C465B" w:rsidRDefault="000C465B" w:rsidP="000C465B">
      <w:pPr>
        <w:spacing w:after="200" w:line="276" w:lineRule="auto"/>
        <w:jc w:val="left"/>
        <w:rPr>
          <w:rFonts w:eastAsia="Times New Roman"/>
          <w:sz w:val="24"/>
          <w:szCs w:val="24"/>
        </w:rPr>
      </w:pPr>
      <w:r w:rsidRPr="000C465B">
        <w:rPr>
          <w:rFonts w:eastAsia="Times New Roman"/>
          <w:noProof/>
          <w:sz w:val="24"/>
          <w:szCs w:val="24"/>
        </w:rPr>
        <mc:AlternateContent>
          <mc:Choice Requires="wps">
            <w:drawing>
              <wp:anchor distT="0" distB="0" distL="114300" distR="114300" simplePos="0" relativeHeight="251666432" behindDoc="0" locked="0" layoutInCell="1" allowOverlap="1" wp14:anchorId="3148B277" wp14:editId="4CF33A46">
                <wp:simplePos x="0" y="0"/>
                <wp:positionH relativeFrom="column">
                  <wp:posOffset>2190750</wp:posOffset>
                </wp:positionH>
                <wp:positionV relativeFrom="paragraph">
                  <wp:posOffset>46517</wp:posOffset>
                </wp:positionV>
                <wp:extent cx="1905000" cy="914400"/>
                <wp:effectExtent l="0" t="0" r="19050" b="19050"/>
                <wp:wrapNone/>
                <wp:docPr id="1695941700" name="Text Box 169594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14400"/>
                        </a:xfrm>
                        <a:prstGeom prst="rect">
                          <a:avLst/>
                        </a:prstGeom>
                        <a:solidFill>
                          <a:srgbClr val="FFFFFF"/>
                        </a:solidFill>
                        <a:ln w="9525">
                          <a:solidFill>
                            <a:srgbClr val="000000"/>
                          </a:solidFill>
                          <a:miter lim="800000"/>
                          <a:headEnd/>
                          <a:tailEnd/>
                        </a:ln>
                      </wps:spPr>
                      <wps:txbx>
                        <w:txbxContent>
                          <w:p w14:paraId="41397072" w14:textId="77777777" w:rsidR="000C465B" w:rsidRPr="00D26685" w:rsidRDefault="000C465B" w:rsidP="000C465B">
                            <w:pPr>
                              <w:spacing w:after="0"/>
                              <w:jc w:val="center"/>
                              <w:rPr>
                                <w:sz w:val="10"/>
                                <w:szCs w:val="10"/>
                              </w:rPr>
                            </w:pPr>
                          </w:p>
                          <w:p w14:paraId="539BAAD4" w14:textId="77777777" w:rsidR="000C465B" w:rsidRPr="0095677B" w:rsidRDefault="000C465B" w:rsidP="000C465B">
                            <w:pPr>
                              <w:spacing w:after="0"/>
                              <w:jc w:val="center"/>
                              <w:rPr>
                                <w:b/>
                                <w:bCs/>
                              </w:rPr>
                            </w:pPr>
                            <w:r w:rsidRPr="0095677B">
                              <w:rPr>
                                <w:b/>
                                <w:bCs/>
                              </w:rPr>
                              <w:t>Identify</w:t>
                            </w:r>
                          </w:p>
                          <w:p w14:paraId="15F56E45" w14:textId="77777777" w:rsidR="000C465B" w:rsidRPr="0095677B" w:rsidRDefault="000C465B" w:rsidP="000C465B">
                            <w:pPr>
                              <w:spacing w:after="0"/>
                              <w:jc w:val="center"/>
                              <w:rPr>
                                <w:b/>
                                <w:bCs/>
                              </w:rPr>
                            </w:pPr>
                            <w:r w:rsidRPr="0095677B">
                              <w:rPr>
                                <w:b/>
                                <w:bCs/>
                              </w:rPr>
                              <w:t>Expression</w:t>
                            </w:r>
                          </w:p>
                          <w:p w14:paraId="03940C16" w14:textId="77777777" w:rsidR="000C465B" w:rsidRPr="0095677B" w:rsidRDefault="000C465B" w:rsidP="000C465B">
                            <w:pPr>
                              <w:jc w:val="center"/>
                              <w:rPr>
                                <w:b/>
                                <w:bCs/>
                              </w:rPr>
                            </w:pPr>
                            <w:r w:rsidRPr="0095677B">
                              <w:rPr>
                                <w:b/>
                                <w:bCs/>
                              </w:rPr>
                              <w:t>Category(ies)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B277" id="Text Box 1695941700" o:spid="_x0000_s1048" type="#_x0000_t202" style="position:absolute;margin-left:172.5pt;margin-top:3.65pt;width:150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">
                <v:textbox>
                  <w:txbxContent>
                    <w:p w14:paraId="41397072" w14:textId="77777777" w:rsidR="000C465B" w:rsidRPr="00D26685" w:rsidRDefault="000C465B" w:rsidP="000C465B">
                      <w:pPr>
                        <w:spacing w:after="0"/>
                        <w:jc w:val="center"/>
                        <w:rPr>
                          <w:sz w:val="10"/>
                          <w:szCs w:val="10"/>
                        </w:rPr>
                      </w:pPr>
                    </w:p>
                    <w:p w14:paraId="539BAAD4" w14:textId="77777777" w:rsidR="000C465B" w:rsidRPr="0095677B" w:rsidRDefault="000C465B" w:rsidP="000C465B">
                      <w:pPr>
                        <w:spacing w:after="0"/>
                        <w:jc w:val="center"/>
                        <w:rPr>
                          <w:b/>
                          <w:bCs/>
                        </w:rPr>
                      </w:pPr>
                      <w:r w:rsidRPr="0095677B">
                        <w:rPr>
                          <w:b/>
                          <w:bCs/>
                        </w:rPr>
                        <w:t>Identify</w:t>
                      </w:r>
                    </w:p>
                    <w:p w14:paraId="15F56E45" w14:textId="77777777" w:rsidR="000C465B" w:rsidRPr="0095677B" w:rsidRDefault="000C465B" w:rsidP="000C465B">
                      <w:pPr>
                        <w:spacing w:after="0"/>
                        <w:jc w:val="center"/>
                        <w:rPr>
                          <w:b/>
                          <w:bCs/>
                        </w:rPr>
                      </w:pPr>
                      <w:r w:rsidRPr="0095677B">
                        <w:rPr>
                          <w:b/>
                          <w:bCs/>
                        </w:rPr>
                        <w:t>Expression</w:t>
                      </w:r>
                    </w:p>
                    <w:p w14:paraId="03940C16" w14:textId="77777777" w:rsidR="000C465B" w:rsidRPr="0095677B" w:rsidRDefault="000C465B" w:rsidP="000C465B">
                      <w:pPr>
                        <w:jc w:val="center"/>
                        <w:rPr>
                          <w:b/>
                          <w:bCs/>
                        </w:rPr>
                      </w:pPr>
                      <w:r w:rsidRPr="0095677B">
                        <w:rPr>
                          <w:b/>
                          <w:bCs/>
                        </w:rPr>
                        <w:t>Category(ies)</w:t>
                      </w:r>
                    </w:p>
                  </w:txbxContent>
                </v:textbox>
              </v:shape>
            </w:pict>
          </mc:Fallback>
        </mc:AlternateContent>
      </w:r>
      <w:r w:rsidRPr="000C465B">
        <w:rPr>
          <w:rFonts w:eastAsia="Times New Roman"/>
          <w:sz w:val="24"/>
          <w:szCs w:val="24"/>
        </w:rPr>
        <w:tab/>
      </w:r>
      <w:r w:rsidRPr="000C465B">
        <w:rPr>
          <w:rFonts w:eastAsia="Times New Roman"/>
          <w:sz w:val="24"/>
          <w:szCs w:val="24"/>
        </w:rPr>
        <w:tab/>
      </w:r>
      <w:r w:rsidRPr="000C465B">
        <w:rPr>
          <w:rFonts w:eastAsia="Times New Roman"/>
          <w:sz w:val="24"/>
          <w:szCs w:val="24"/>
        </w:rPr>
        <w:tab/>
      </w:r>
      <w:r w:rsidRPr="000C465B">
        <w:rPr>
          <w:rFonts w:eastAsia="Times New Roman"/>
          <w:sz w:val="24"/>
          <w:szCs w:val="24"/>
        </w:rPr>
        <w:tab/>
      </w:r>
      <w:r w:rsidRPr="000C465B">
        <w:rPr>
          <w:rFonts w:eastAsia="Times New Roman"/>
          <w:sz w:val="24"/>
          <w:szCs w:val="24"/>
        </w:rPr>
        <w:tab/>
      </w:r>
      <w:r w:rsidRPr="000C465B">
        <w:rPr>
          <w:rFonts w:eastAsia="Times New Roman"/>
          <w:sz w:val="24"/>
          <w:szCs w:val="24"/>
        </w:rPr>
        <w:tab/>
        <w:t xml:space="preserve"> </w:t>
      </w:r>
    </w:p>
    <w:p w14:paraId="005CD1C4" w14:textId="77777777" w:rsidR="000C465B" w:rsidRPr="000C465B" w:rsidRDefault="000C465B" w:rsidP="000C465B">
      <w:pPr>
        <w:spacing w:after="200" w:line="276" w:lineRule="auto"/>
        <w:jc w:val="left"/>
        <w:rPr>
          <w:rFonts w:eastAsia="Times New Roman"/>
          <w:sz w:val="24"/>
          <w:szCs w:val="24"/>
        </w:rPr>
      </w:pPr>
    </w:p>
    <w:p w14:paraId="03E80D52" w14:textId="77777777" w:rsidR="000C465B" w:rsidRPr="000C465B" w:rsidRDefault="000C465B" w:rsidP="000C465B">
      <w:pPr>
        <w:spacing w:after="200" w:line="276" w:lineRule="auto"/>
        <w:jc w:val="left"/>
        <w:rPr>
          <w:rFonts w:eastAsia="Times New Roman"/>
          <w:sz w:val="24"/>
          <w:szCs w:val="24"/>
        </w:rPr>
      </w:pPr>
      <w:r w:rsidRPr="000C465B">
        <w:rPr>
          <w:rFonts w:eastAsia="Times New Roman"/>
          <w:noProof/>
          <w:sz w:val="24"/>
          <w:szCs w:val="24"/>
        </w:rPr>
        <mc:AlternateContent>
          <mc:Choice Requires="wps">
            <w:drawing>
              <wp:anchor distT="0" distB="0" distL="114300" distR="114300" simplePos="0" relativeHeight="251669504" behindDoc="0" locked="0" layoutInCell="1" allowOverlap="1" wp14:anchorId="2A0F6E5E" wp14:editId="2D09C4F2">
                <wp:simplePos x="0" y="0"/>
                <wp:positionH relativeFrom="column">
                  <wp:posOffset>3162300</wp:posOffset>
                </wp:positionH>
                <wp:positionV relativeFrom="paragraph">
                  <wp:posOffset>304800</wp:posOffset>
                </wp:positionV>
                <wp:extent cx="0" cy="795655"/>
                <wp:effectExtent l="76200" t="0" r="57150" b="61595"/>
                <wp:wrapNone/>
                <wp:docPr id="13078093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726CE" id="AutoShape 11" o:spid="_x0000_s1026" type="#_x0000_t32" style="position:absolute;margin-left:249pt;margin-top:24pt;width:0;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Y+yQEAAHcDAAAOAAAAZHJzL2Uyb0RvYy54bWysU01v2zAMvQ/YfxB0X5wESLc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">
                <v:stroke endarrow="block"/>
              </v:shape>
            </w:pict>
          </mc:Fallback>
        </mc:AlternateContent>
      </w:r>
    </w:p>
    <w:p w14:paraId="7853B058" w14:textId="77777777" w:rsidR="000C465B" w:rsidRPr="000C465B" w:rsidRDefault="000C465B" w:rsidP="000C465B">
      <w:pPr>
        <w:spacing w:after="200" w:line="276" w:lineRule="auto"/>
        <w:jc w:val="left"/>
        <w:rPr>
          <w:rFonts w:eastAsia="Times New Roman"/>
          <w:sz w:val="24"/>
          <w:szCs w:val="24"/>
        </w:rPr>
      </w:pPr>
    </w:p>
    <w:p w14:paraId="3DA118F7" w14:textId="77777777" w:rsidR="000C465B" w:rsidRPr="000C465B" w:rsidRDefault="000C465B" w:rsidP="000C465B">
      <w:pPr>
        <w:spacing w:after="200" w:line="276" w:lineRule="auto"/>
        <w:jc w:val="left"/>
        <w:rPr>
          <w:rFonts w:eastAsia="Times New Roman"/>
          <w:sz w:val="24"/>
          <w:szCs w:val="24"/>
        </w:rPr>
      </w:pPr>
    </w:p>
    <w:p w14:paraId="68478C20" w14:textId="77777777" w:rsidR="000C465B" w:rsidRPr="000C465B" w:rsidRDefault="000C465B" w:rsidP="000C465B">
      <w:pPr>
        <w:spacing w:after="200" w:line="276" w:lineRule="auto"/>
        <w:jc w:val="left"/>
        <w:rPr>
          <w:rFonts w:eastAsia="Times New Roman"/>
          <w:sz w:val="24"/>
          <w:szCs w:val="24"/>
        </w:rPr>
      </w:pPr>
      <w:r w:rsidRPr="000C465B">
        <w:rPr>
          <w:rFonts w:eastAsia="Times New Roman"/>
          <w:noProof/>
          <w:sz w:val="24"/>
          <w:szCs w:val="24"/>
        </w:rPr>
        <mc:AlternateContent>
          <mc:Choice Requires="wps">
            <w:drawing>
              <wp:anchor distT="0" distB="0" distL="114300" distR="114300" simplePos="0" relativeHeight="251667456" behindDoc="0" locked="0" layoutInCell="1" allowOverlap="1" wp14:anchorId="6AD5459D" wp14:editId="12DC7FBD">
                <wp:simplePos x="0" y="0"/>
                <wp:positionH relativeFrom="column">
                  <wp:posOffset>2190750</wp:posOffset>
                </wp:positionH>
                <wp:positionV relativeFrom="paragraph">
                  <wp:posOffset>114300</wp:posOffset>
                </wp:positionV>
                <wp:extent cx="1981200" cy="914400"/>
                <wp:effectExtent l="9525" t="9525" r="9525" b="9525"/>
                <wp:wrapNone/>
                <wp:docPr id="13250163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914400"/>
                        </a:xfrm>
                        <a:prstGeom prst="rect">
                          <a:avLst/>
                        </a:prstGeom>
                        <a:solidFill>
                          <a:srgbClr val="FFFFFF"/>
                        </a:solidFill>
                        <a:ln w="9525">
                          <a:solidFill>
                            <a:srgbClr val="000000"/>
                          </a:solidFill>
                          <a:miter lim="800000"/>
                          <a:headEnd/>
                          <a:tailEnd/>
                        </a:ln>
                      </wps:spPr>
                      <wps:txbx>
                        <w:txbxContent>
                          <w:p w14:paraId="5E804C2C" w14:textId="77777777" w:rsidR="000C465B" w:rsidRPr="00456042" w:rsidRDefault="000C465B" w:rsidP="000C465B">
                            <w:pPr>
                              <w:spacing w:after="0"/>
                              <w:jc w:val="center"/>
                              <w:rPr>
                                <w:sz w:val="10"/>
                                <w:szCs w:val="10"/>
                              </w:rPr>
                            </w:pPr>
                          </w:p>
                          <w:p w14:paraId="7AF7158A" w14:textId="77777777" w:rsidR="000C465B" w:rsidRPr="0095677B" w:rsidRDefault="000C465B" w:rsidP="000C465B">
                            <w:pPr>
                              <w:spacing w:after="0"/>
                              <w:jc w:val="center"/>
                              <w:rPr>
                                <w:b/>
                                <w:bCs/>
                              </w:rPr>
                            </w:pPr>
                            <w:r w:rsidRPr="0095677B">
                              <w:rPr>
                                <w:b/>
                                <w:bCs/>
                              </w:rPr>
                              <w:t>Use Table 1</w:t>
                            </w:r>
                          </w:p>
                          <w:p w14:paraId="74023C00" w14:textId="77777777" w:rsidR="000C465B" w:rsidRPr="0095677B" w:rsidRDefault="000C465B" w:rsidP="000C465B">
                            <w:pPr>
                              <w:spacing w:after="0"/>
                              <w:jc w:val="center"/>
                              <w:rPr>
                                <w:b/>
                                <w:bCs/>
                              </w:rPr>
                            </w:pPr>
                            <w:r w:rsidRPr="0095677B">
                              <w:rPr>
                                <w:b/>
                                <w:bCs/>
                              </w:rPr>
                              <w:t>to identify</w:t>
                            </w:r>
                          </w:p>
                          <w:p w14:paraId="14C4C95C" w14:textId="77777777" w:rsidR="000C465B" w:rsidRPr="0095677B" w:rsidRDefault="000C465B" w:rsidP="000C465B">
                            <w:pPr>
                              <w:jc w:val="center"/>
                              <w:rPr>
                                <w:b/>
                                <w:bCs/>
                              </w:rPr>
                            </w:pPr>
                            <w:r w:rsidRPr="0095677B">
                              <w:rPr>
                                <w:b/>
                                <w:bCs/>
                              </w:rPr>
                              <w:t>Applicable Principles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459D" id="Text Box 8" o:spid="_x0000_s1049" type="#_x0000_t202" style="position:absolute;margin-left:172.5pt;margin-top:9pt;width:15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">
                <v:textbox>
                  <w:txbxContent>
                    <w:p w14:paraId="5E804C2C" w14:textId="77777777" w:rsidR="000C465B" w:rsidRPr="00456042" w:rsidRDefault="000C465B" w:rsidP="000C465B">
                      <w:pPr>
                        <w:spacing w:after="0"/>
                        <w:jc w:val="center"/>
                        <w:rPr>
                          <w:sz w:val="10"/>
                          <w:szCs w:val="10"/>
                        </w:rPr>
                      </w:pPr>
                    </w:p>
                    <w:p w14:paraId="7AF7158A" w14:textId="77777777" w:rsidR="000C465B" w:rsidRPr="0095677B" w:rsidRDefault="000C465B" w:rsidP="000C465B">
                      <w:pPr>
                        <w:spacing w:after="0"/>
                        <w:jc w:val="center"/>
                        <w:rPr>
                          <w:b/>
                          <w:bCs/>
                        </w:rPr>
                      </w:pPr>
                      <w:r w:rsidRPr="0095677B">
                        <w:rPr>
                          <w:b/>
                          <w:bCs/>
                        </w:rPr>
                        <w:t>Use Table 1</w:t>
                      </w:r>
                    </w:p>
                    <w:p w14:paraId="74023C00" w14:textId="77777777" w:rsidR="000C465B" w:rsidRPr="0095677B" w:rsidRDefault="000C465B" w:rsidP="000C465B">
                      <w:pPr>
                        <w:spacing w:after="0"/>
                        <w:jc w:val="center"/>
                        <w:rPr>
                          <w:b/>
                          <w:bCs/>
                        </w:rPr>
                      </w:pPr>
                      <w:r w:rsidRPr="0095677B">
                        <w:rPr>
                          <w:b/>
                          <w:bCs/>
                        </w:rPr>
                        <w:t>to identify</w:t>
                      </w:r>
                    </w:p>
                    <w:p w14:paraId="14C4C95C" w14:textId="77777777" w:rsidR="000C465B" w:rsidRPr="0095677B" w:rsidRDefault="000C465B" w:rsidP="000C465B">
                      <w:pPr>
                        <w:jc w:val="center"/>
                        <w:rPr>
                          <w:b/>
                          <w:bCs/>
                        </w:rPr>
                      </w:pPr>
                      <w:r w:rsidRPr="0095677B">
                        <w:rPr>
                          <w:b/>
                          <w:bCs/>
                        </w:rPr>
                        <w:t>Applicable Principles</w:t>
                      </w:r>
                    </w:p>
                  </w:txbxContent>
                </v:textbox>
              </v:shape>
            </w:pict>
          </mc:Fallback>
        </mc:AlternateContent>
      </w:r>
    </w:p>
    <w:p w14:paraId="1BD7A402" w14:textId="77777777" w:rsidR="000C465B" w:rsidRPr="000C465B" w:rsidRDefault="000C465B" w:rsidP="000C465B">
      <w:pPr>
        <w:spacing w:after="200" w:line="276" w:lineRule="auto"/>
        <w:jc w:val="left"/>
        <w:rPr>
          <w:rFonts w:eastAsia="Times New Roman"/>
          <w:sz w:val="24"/>
          <w:szCs w:val="24"/>
        </w:rPr>
      </w:pPr>
    </w:p>
    <w:p w14:paraId="3ABBA849" w14:textId="77777777" w:rsidR="000C465B" w:rsidRPr="000C465B" w:rsidRDefault="000C465B" w:rsidP="000C465B">
      <w:pPr>
        <w:spacing w:after="200" w:line="276" w:lineRule="auto"/>
        <w:jc w:val="left"/>
        <w:rPr>
          <w:rFonts w:eastAsia="Times New Roman"/>
          <w:sz w:val="24"/>
          <w:szCs w:val="24"/>
        </w:rPr>
      </w:pPr>
    </w:p>
    <w:p w14:paraId="4C33BDE7" w14:textId="77777777" w:rsidR="000C465B" w:rsidRPr="000C465B" w:rsidRDefault="000C465B" w:rsidP="000C465B">
      <w:pPr>
        <w:spacing w:after="200" w:line="276" w:lineRule="auto"/>
        <w:jc w:val="left"/>
        <w:rPr>
          <w:rFonts w:eastAsia="Times New Roman"/>
          <w:sz w:val="24"/>
          <w:szCs w:val="24"/>
        </w:rPr>
      </w:pPr>
      <w:r w:rsidRPr="000C465B">
        <w:rPr>
          <w:rFonts w:eastAsia="Times New Roman"/>
          <w:noProof/>
          <w:sz w:val="24"/>
          <w:szCs w:val="24"/>
        </w:rPr>
        <mc:AlternateContent>
          <mc:Choice Requires="wps">
            <w:drawing>
              <wp:anchor distT="0" distB="0" distL="114300" distR="114300" simplePos="0" relativeHeight="251670528" behindDoc="0" locked="0" layoutInCell="1" allowOverlap="1" wp14:anchorId="301D381F" wp14:editId="6BFEDB85">
                <wp:simplePos x="0" y="0"/>
                <wp:positionH relativeFrom="column">
                  <wp:posOffset>3190875</wp:posOffset>
                </wp:positionH>
                <wp:positionV relativeFrom="paragraph">
                  <wp:posOffset>43180</wp:posOffset>
                </wp:positionV>
                <wp:extent cx="0" cy="778510"/>
                <wp:effectExtent l="57150" t="9525" r="57150" b="21590"/>
                <wp:wrapNone/>
                <wp:docPr id="132519420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E36A0" id="AutoShape 12" o:spid="_x0000_s1026" type="#_x0000_t32" style="position:absolute;margin-left:251.25pt;margin-top:3.4pt;width:0;height:6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">
                <v:stroke endarrow="block"/>
              </v:shape>
            </w:pict>
          </mc:Fallback>
        </mc:AlternateContent>
      </w:r>
    </w:p>
    <w:p w14:paraId="78092866" w14:textId="77777777" w:rsidR="000C465B" w:rsidRPr="000C465B" w:rsidRDefault="000C465B" w:rsidP="000C465B">
      <w:pPr>
        <w:spacing w:after="200" w:line="276" w:lineRule="auto"/>
        <w:jc w:val="left"/>
        <w:rPr>
          <w:rFonts w:eastAsia="Times New Roman"/>
          <w:sz w:val="24"/>
          <w:szCs w:val="24"/>
        </w:rPr>
      </w:pPr>
    </w:p>
    <w:p w14:paraId="125FB6F6" w14:textId="77777777" w:rsidR="000C465B" w:rsidRPr="000C465B" w:rsidRDefault="000C465B" w:rsidP="000C465B">
      <w:pPr>
        <w:spacing w:after="200" w:line="276" w:lineRule="auto"/>
        <w:jc w:val="left"/>
        <w:rPr>
          <w:rFonts w:eastAsia="Times New Roman"/>
          <w:sz w:val="24"/>
          <w:szCs w:val="24"/>
        </w:rPr>
      </w:pPr>
      <w:r w:rsidRPr="000C465B">
        <w:rPr>
          <w:rFonts w:eastAsia="Times New Roman"/>
          <w:noProof/>
          <w:sz w:val="24"/>
          <w:szCs w:val="24"/>
        </w:rPr>
        <mc:AlternateContent>
          <mc:Choice Requires="wps">
            <w:drawing>
              <wp:anchor distT="0" distB="0" distL="114300" distR="114300" simplePos="0" relativeHeight="251668480" behindDoc="0" locked="0" layoutInCell="1" allowOverlap="1" wp14:anchorId="2B386A7D" wp14:editId="2E5A09EA">
                <wp:simplePos x="0" y="0"/>
                <wp:positionH relativeFrom="column">
                  <wp:posOffset>2247900</wp:posOffset>
                </wp:positionH>
                <wp:positionV relativeFrom="paragraph">
                  <wp:posOffset>165100</wp:posOffset>
                </wp:positionV>
                <wp:extent cx="1924050" cy="914400"/>
                <wp:effectExtent l="9525" t="7620" r="9525" b="11430"/>
                <wp:wrapNone/>
                <wp:docPr id="10263996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solidFill>
                          <a:srgbClr val="FFFFFF"/>
                        </a:solidFill>
                        <a:ln w="9525">
                          <a:solidFill>
                            <a:srgbClr val="000000"/>
                          </a:solidFill>
                          <a:miter lim="800000"/>
                          <a:headEnd/>
                          <a:tailEnd/>
                        </a:ln>
                      </wps:spPr>
                      <wps:txbx>
                        <w:txbxContent>
                          <w:p w14:paraId="6F766DBA" w14:textId="77777777" w:rsidR="000C465B" w:rsidRPr="0095677B" w:rsidRDefault="000C465B" w:rsidP="000C465B">
                            <w:pPr>
                              <w:spacing w:after="0"/>
                              <w:jc w:val="center"/>
                              <w:rPr>
                                <w:sz w:val="10"/>
                                <w:szCs w:val="10"/>
                              </w:rPr>
                            </w:pPr>
                          </w:p>
                          <w:p w14:paraId="2D5C5ACE" w14:textId="77777777" w:rsidR="000C465B" w:rsidRPr="0095677B" w:rsidRDefault="000C465B" w:rsidP="000C465B">
                            <w:pPr>
                              <w:spacing w:after="0"/>
                              <w:jc w:val="center"/>
                              <w:rPr>
                                <w:b/>
                                <w:bCs/>
                              </w:rPr>
                            </w:pPr>
                            <w:r w:rsidRPr="0095677B">
                              <w:rPr>
                                <w:b/>
                                <w:bCs/>
                              </w:rPr>
                              <w:t>Use Table 2</w:t>
                            </w:r>
                          </w:p>
                          <w:p w14:paraId="4B144968" w14:textId="77777777" w:rsidR="000C465B" w:rsidRPr="0095677B" w:rsidRDefault="000C465B" w:rsidP="000C465B">
                            <w:pPr>
                              <w:spacing w:after="0"/>
                              <w:jc w:val="center"/>
                              <w:rPr>
                                <w:b/>
                                <w:bCs/>
                              </w:rPr>
                            </w:pPr>
                            <w:r w:rsidRPr="0095677B">
                              <w:rPr>
                                <w:b/>
                                <w:bCs/>
                              </w:rPr>
                              <w:t>for detail of each</w:t>
                            </w:r>
                          </w:p>
                          <w:p w14:paraId="6450F9F0" w14:textId="77777777" w:rsidR="000C465B" w:rsidRPr="0095677B" w:rsidRDefault="000C465B" w:rsidP="000C465B">
                            <w:pPr>
                              <w:jc w:val="center"/>
                              <w:rPr>
                                <w:b/>
                                <w:bCs/>
                              </w:rPr>
                            </w:pPr>
                            <w:r w:rsidRPr="0095677B">
                              <w:rPr>
                                <w:b/>
                                <w:bCs/>
                              </w:rPr>
                              <w:t>Applicable Principle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6A7D" id="Text Box 10" o:spid="_x0000_s1050" type="#_x0000_t202" style="position:absolute;margin-left:177pt;margin-top:13pt;width:151.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">
                <v:textbox>
                  <w:txbxContent>
                    <w:p w14:paraId="6F766DBA" w14:textId="77777777" w:rsidR="000C465B" w:rsidRPr="0095677B" w:rsidRDefault="000C465B" w:rsidP="000C465B">
                      <w:pPr>
                        <w:spacing w:after="0"/>
                        <w:jc w:val="center"/>
                        <w:rPr>
                          <w:sz w:val="10"/>
                          <w:szCs w:val="10"/>
                        </w:rPr>
                      </w:pPr>
                    </w:p>
                    <w:p w14:paraId="2D5C5ACE" w14:textId="77777777" w:rsidR="000C465B" w:rsidRPr="0095677B" w:rsidRDefault="000C465B" w:rsidP="000C465B">
                      <w:pPr>
                        <w:spacing w:after="0"/>
                        <w:jc w:val="center"/>
                        <w:rPr>
                          <w:b/>
                          <w:bCs/>
                        </w:rPr>
                      </w:pPr>
                      <w:r w:rsidRPr="0095677B">
                        <w:rPr>
                          <w:b/>
                          <w:bCs/>
                        </w:rPr>
                        <w:t>Use Table 2</w:t>
                      </w:r>
                    </w:p>
                    <w:p w14:paraId="4B144968" w14:textId="77777777" w:rsidR="000C465B" w:rsidRPr="0095677B" w:rsidRDefault="000C465B" w:rsidP="000C465B">
                      <w:pPr>
                        <w:spacing w:after="0"/>
                        <w:jc w:val="center"/>
                        <w:rPr>
                          <w:b/>
                          <w:bCs/>
                        </w:rPr>
                      </w:pPr>
                      <w:r w:rsidRPr="0095677B">
                        <w:rPr>
                          <w:b/>
                          <w:bCs/>
                        </w:rPr>
                        <w:t>for detail of each</w:t>
                      </w:r>
                    </w:p>
                    <w:p w14:paraId="6450F9F0" w14:textId="77777777" w:rsidR="000C465B" w:rsidRPr="0095677B" w:rsidRDefault="000C465B" w:rsidP="000C465B">
                      <w:pPr>
                        <w:jc w:val="center"/>
                        <w:rPr>
                          <w:b/>
                          <w:bCs/>
                        </w:rPr>
                      </w:pPr>
                      <w:r w:rsidRPr="0095677B">
                        <w:rPr>
                          <w:b/>
                          <w:bCs/>
                        </w:rPr>
                        <w:t>Applicable Principle</w:t>
                      </w:r>
                    </w:p>
                  </w:txbxContent>
                </v:textbox>
              </v:shape>
            </w:pict>
          </mc:Fallback>
        </mc:AlternateContent>
      </w:r>
    </w:p>
    <w:p w14:paraId="7CFAB00A" w14:textId="77777777" w:rsidR="000C465B" w:rsidRPr="000C465B" w:rsidRDefault="000C465B" w:rsidP="000C465B">
      <w:pPr>
        <w:spacing w:after="200" w:line="276" w:lineRule="auto"/>
        <w:jc w:val="left"/>
        <w:rPr>
          <w:rFonts w:eastAsia="Times New Roman"/>
          <w:sz w:val="24"/>
          <w:szCs w:val="24"/>
        </w:rPr>
      </w:pPr>
    </w:p>
    <w:p w14:paraId="38406412" w14:textId="77777777" w:rsidR="000C465B" w:rsidRPr="000C465B" w:rsidRDefault="000C465B" w:rsidP="000C465B">
      <w:pPr>
        <w:spacing w:after="200" w:line="276" w:lineRule="auto"/>
        <w:ind w:left="360"/>
        <w:jc w:val="left"/>
        <w:rPr>
          <w:rFonts w:ascii="Calibri" w:hAnsi="Calibri"/>
          <w:b/>
          <w:sz w:val="40"/>
          <w:szCs w:val="40"/>
        </w:rPr>
      </w:pPr>
    </w:p>
    <w:p w14:paraId="65A341E1" w14:textId="0873F856" w:rsidR="000C465B" w:rsidRPr="000C465B" w:rsidRDefault="000C465B" w:rsidP="000C465B">
      <w:pPr>
        <w:spacing w:after="120" w:line="276" w:lineRule="auto"/>
        <w:jc w:val="center"/>
        <w:rPr>
          <w:b/>
          <w:sz w:val="36"/>
          <w:szCs w:val="36"/>
        </w:rPr>
      </w:pPr>
      <w:bookmarkStart w:id="890" w:name="Table1"/>
      <w:bookmarkEnd w:id="890"/>
      <w:r w:rsidRPr="000C465B">
        <w:rPr>
          <w:b/>
          <w:sz w:val="36"/>
          <w:szCs w:val="36"/>
        </w:rPr>
        <w:lastRenderedPageBreak/>
        <w:t>Table 1: Summary of Principles</w:t>
      </w:r>
    </w:p>
    <w:tbl>
      <w:tblPr>
        <w:tblStyle w:val="TableGrid22"/>
        <w:tblW w:w="9607" w:type="dxa"/>
        <w:tblInd w:w="-162" w:type="dxa"/>
        <w:tblLook w:val="04A0" w:firstRow="1" w:lastRow="0" w:firstColumn="1" w:lastColumn="0" w:noHBand="0" w:noVBand="1"/>
      </w:tblPr>
      <w:tblGrid>
        <w:gridCol w:w="2137"/>
        <w:gridCol w:w="1303"/>
        <w:gridCol w:w="1497"/>
        <w:gridCol w:w="1257"/>
        <w:gridCol w:w="1787"/>
        <w:gridCol w:w="1626"/>
      </w:tblGrid>
      <w:tr w:rsidR="000C465B" w:rsidRPr="000C465B" w14:paraId="27C9CA90" w14:textId="77777777" w:rsidTr="005F0F3E">
        <w:trPr>
          <w:trHeight w:val="2015"/>
          <w:tblHeader/>
        </w:trPr>
        <w:tc>
          <w:tcPr>
            <w:tcW w:w="2137" w:type="dxa"/>
          </w:tcPr>
          <w:p w14:paraId="7848D757" w14:textId="77777777" w:rsidR="000C465B" w:rsidRPr="000C465B" w:rsidRDefault="000C465B" w:rsidP="000C465B">
            <w:pPr>
              <w:spacing w:after="0"/>
              <w:jc w:val="center"/>
              <w:rPr>
                <w:b/>
                <w:bCs/>
                <w:sz w:val="20"/>
                <w:szCs w:val="20"/>
              </w:rPr>
            </w:pPr>
          </w:p>
          <w:p w14:paraId="1D7A159A" w14:textId="77777777" w:rsidR="000C465B" w:rsidRPr="000C465B" w:rsidRDefault="000C465B" w:rsidP="000C465B">
            <w:pPr>
              <w:spacing w:after="0"/>
              <w:jc w:val="left"/>
              <w:rPr>
                <w:b/>
                <w:bCs/>
                <w:sz w:val="20"/>
                <w:szCs w:val="20"/>
              </w:rPr>
            </w:pPr>
          </w:p>
          <w:p w14:paraId="6F9B651F" w14:textId="77777777" w:rsidR="000C465B" w:rsidRPr="000C465B" w:rsidRDefault="000C465B" w:rsidP="000C465B">
            <w:pPr>
              <w:spacing w:after="0"/>
              <w:jc w:val="left"/>
              <w:rPr>
                <w:b/>
                <w:bCs/>
                <w:sz w:val="20"/>
                <w:szCs w:val="20"/>
              </w:rPr>
            </w:pPr>
            <w:r w:rsidRPr="000C465B">
              <w:rPr>
                <w:b/>
                <w:bCs/>
                <w:sz w:val="20"/>
                <w:szCs w:val="20"/>
              </w:rPr>
              <w:t>Principles</w:t>
            </w:r>
          </w:p>
          <w:p w14:paraId="37834E99" w14:textId="77777777" w:rsidR="000C465B" w:rsidRPr="000C465B" w:rsidRDefault="000C465B" w:rsidP="000C465B">
            <w:pPr>
              <w:spacing w:after="0"/>
              <w:jc w:val="center"/>
              <w:rPr>
                <w:b/>
                <w:bCs/>
                <w:sz w:val="20"/>
                <w:szCs w:val="20"/>
              </w:rPr>
            </w:pPr>
          </w:p>
        </w:tc>
        <w:tc>
          <w:tcPr>
            <w:tcW w:w="1303" w:type="dxa"/>
          </w:tcPr>
          <w:p w14:paraId="436B12A2" w14:textId="77777777" w:rsidR="000C465B" w:rsidRPr="000C465B" w:rsidRDefault="000C465B" w:rsidP="000C465B">
            <w:pPr>
              <w:spacing w:after="0"/>
              <w:jc w:val="center"/>
              <w:rPr>
                <w:b/>
                <w:bCs/>
                <w:sz w:val="20"/>
                <w:szCs w:val="20"/>
              </w:rPr>
            </w:pPr>
          </w:p>
          <w:p w14:paraId="7DB69C87" w14:textId="77777777" w:rsidR="000C465B" w:rsidRPr="000C465B" w:rsidRDefault="000C465B" w:rsidP="000C465B">
            <w:pPr>
              <w:spacing w:after="0"/>
              <w:jc w:val="center"/>
              <w:rPr>
                <w:b/>
                <w:bCs/>
                <w:sz w:val="20"/>
                <w:szCs w:val="20"/>
              </w:rPr>
            </w:pPr>
            <w:r w:rsidRPr="000C465B">
              <w:rPr>
                <w:b/>
                <w:bCs/>
                <w:sz w:val="20"/>
                <w:szCs w:val="20"/>
              </w:rPr>
              <w:t xml:space="preserve">Additional Expression of Quantity </w:t>
            </w:r>
          </w:p>
          <w:p w14:paraId="619FD26A" w14:textId="77777777" w:rsidR="000C465B" w:rsidRPr="000C465B" w:rsidRDefault="000C465B" w:rsidP="000C465B">
            <w:pPr>
              <w:spacing w:after="0"/>
              <w:jc w:val="center"/>
              <w:rPr>
                <w:b/>
                <w:bCs/>
                <w:sz w:val="20"/>
                <w:szCs w:val="20"/>
              </w:rPr>
            </w:pPr>
          </w:p>
          <w:p w14:paraId="4B581196" w14:textId="77777777" w:rsidR="000C465B" w:rsidRPr="000C465B" w:rsidRDefault="000C465B" w:rsidP="000C465B">
            <w:pPr>
              <w:spacing w:after="0"/>
              <w:jc w:val="center"/>
              <w:rPr>
                <w:b/>
                <w:bCs/>
                <w:sz w:val="20"/>
                <w:szCs w:val="20"/>
              </w:rPr>
            </w:pPr>
            <w:r w:rsidRPr="000C465B">
              <w:rPr>
                <w:b/>
                <w:bCs/>
                <w:sz w:val="20"/>
                <w:szCs w:val="20"/>
              </w:rPr>
              <w:t xml:space="preserve">AEQ </w:t>
            </w:r>
          </w:p>
          <w:p w14:paraId="0CA7829C" w14:textId="77777777" w:rsidR="000C465B" w:rsidRPr="000C465B" w:rsidRDefault="000C465B" w:rsidP="000C465B">
            <w:pPr>
              <w:spacing w:after="0"/>
              <w:jc w:val="left"/>
              <w:rPr>
                <w:b/>
                <w:bCs/>
                <w:sz w:val="20"/>
                <w:szCs w:val="20"/>
              </w:rPr>
            </w:pPr>
          </w:p>
          <w:p w14:paraId="114A495B" w14:textId="77777777" w:rsidR="000C465B" w:rsidRPr="000C465B" w:rsidRDefault="000C465B" w:rsidP="000C465B">
            <w:pPr>
              <w:spacing w:after="0"/>
              <w:jc w:val="center"/>
              <w:rPr>
                <w:b/>
                <w:bCs/>
                <w:i/>
                <w:iCs/>
                <w:sz w:val="20"/>
                <w:szCs w:val="20"/>
              </w:rPr>
            </w:pPr>
            <w:r w:rsidRPr="000C465B">
              <w:rPr>
                <w:b/>
                <w:bCs/>
                <w:i/>
                <w:iCs/>
                <w:sz w:val="20"/>
                <w:szCs w:val="20"/>
              </w:rPr>
              <w:t>“24 Buns”</w:t>
            </w:r>
          </w:p>
        </w:tc>
        <w:tc>
          <w:tcPr>
            <w:tcW w:w="1497" w:type="dxa"/>
          </w:tcPr>
          <w:p w14:paraId="69ECE1C0" w14:textId="77777777" w:rsidR="000C465B" w:rsidRPr="000C465B" w:rsidRDefault="000C465B" w:rsidP="000C465B">
            <w:pPr>
              <w:spacing w:after="0"/>
              <w:jc w:val="center"/>
              <w:rPr>
                <w:b/>
                <w:bCs/>
                <w:sz w:val="20"/>
                <w:szCs w:val="20"/>
              </w:rPr>
            </w:pPr>
          </w:p>
          <w:p w14:paraId="3F9D7DB5" w14:textId="77777777" w:rsidR="000C465B" w:rsidRPr="000C465B" w:rsidRDefault="000C465B" w:rsidP="000C465B">
            <w:pPr>
              <w:spacing w:after="0"/>
              <w:jc w:val="center"/>
              <w:rPr>
                <w:b/>
                <w:bCs/>
                <w:sz w:val="20"/>
                <w:szCs w:val="20"/>
              </w:rPr>
            </w:pPr>
            <w:r w:rsidRPr="000C465B">
              <w:rPr>
                <w:b/>
                <w:bCs/>
                <w:sz w:val="20"/>
                <w:szCs w:val="20"/>
              </w:rPr>
              <w:t xml:space="preserve">Reconstituted </w:t>
            </w:r>
          </w:p>
          <w:p w14:paraId="17EC655E" w14:textId="77777777" w:rsidR="000C465B" w:rsidRPr="000C465B" w:rsidRDefault="000C465B" w:rsidP="000C465B">
            <w:pPr>
              <w:spacing w:after="0"/>
              <w:jc w:val="center"/>
              <w:rPr>
                <w:b/>
                <w:bCs/>
                <w:sz w:val="20"/>
                <w:szCs w:val="20"/>
              </w:rPr>
            </w:pPr>
            <w:r w:rsidRPr="000C465B">
              <w:rPr>
                <w:b/>
                <w:bCs/>
                <w:sz w:val="20"/>
                <w:szCs w:val="20"/>
              </w:rPr>
              <w:t xml:space="preserve">Expression of Quantity </w:t>
            </w:r>
          </w:p>
          <w:p w14:paraId="62F98E1B" w14:textId="77777777" w:rsidR="000C465B" w:rsidRPr="000C465B" w:rsidRDefault="000C465B" w:rsidP="000C465B">
            <w:pPr>
              <w:spacing w:after="0"/>
              <w:jc w:val="center"/>
              <w:rPr>
                <w:b/>
                <w:bCs/>
                <w:sz w:val="20"/>
                <w:szCs w:val="20"/>
              </w:rPr>
            </w:pPr>
          </w:p>
          <w:p w14:paraId="1ACD7C2D" w14:textId="77777777" w:rsidR="000C465B" w:rsidRPr="000C465B" w:rsidRDefault="000C465B" w:rsidP="000C465B">
            <w:pPr>
              <w:spacing w:after="0"/>
              <w:jc w:val="center"/>
              <w:rPr>
                <w:b/>
                <w:bCs/>
                <w:sz w:val="20"/>
                <w:szCs w:val="20"/>
              </w:rPr>
            </w:pPr>
            <w:r w:rsidRPr="000C465B">
              <w:rPr>
                <w:b/>
                <w:bCs/>
                <w:sz w:val="20"/>
                <w:szCs w:val="20"/>
              </w:rPr>
              <w:t>REQ</w:t>
            </w:r>
          </w:p>
          <w:p w14:paraId="58218012" w14:textId="77777777" w:rsidR="000C465B" w:rsidRPr="000C465B" w:rsidRDefault="000C465B" w:rsidP="000C465B">
            <w:pPr>
              <w:spacing w:after="0"/>
              <w:jc w:val="left"/>
              <w:rPr>
                <w:b/>
                <w:bCs/>
                <w:sz w:val="20"/>
                <w:szCs w:val="20"/>
              </w:rPr>
            </w:pPr>
          </w:p>
          <w:p w14:paraId="183B1572" w14:textId="77777777" w:rsidR="000C465B" w:rsidRPr="000C465B" w:rsidRDefault="000C465B" w:rsidP="000C465B">
            <w:pPr>
              <w:spacing w:after="0"/>
              <w:jc w:val="center"/>
              <w:rPr>
                <w:b/>
                <w:bCs/>
                <w:i/>
                <w:iCs/>
                <w:sz w:val="20"/>
                <w:szCs w:val="20"/>
              </w:rPr>
            </w:pPr>
            <w:r w:rsidRPr="000C465B">
              <w:rPr>
                <w:b/>
                <w:bCs/>
                <w:i/>
                <w:iCs/>
                <w:sz w:val="20"/>
                <w:szCs w:val="20"/>
              </w:rPr>
              <w:t>“Makes 2 gallons”</w:t>
            </w:r>
          </w:p>
          <w:p w14:paraId="2DB28743" w14:textId="77777777" w:rsidR="000C465B" w:rsidRPr="000C465B" w:rsidRDefault="000C465B" w:rsidP="000C465B">
            <w:pPr>
              <w:spacing w:after="0"/>
              <w:jc w:val="center"/>
              <w:rPr>
                <w:b/>
                <w:bCs/>
                <w:sz w:val="20"/>
                <w:szCs w:val="20"/>
              </w:rPr>
            </w:pPr>
          </w:p>
        </w:tc>
        <w:tc>
          <w:tcPr>
            <w:tcW w:w="1257" w:type="dxa"/>
          </w:tcPr>
          <w:p w14:paraId="34FBEECE" w14:textId="77777777" w:rsidR="000C465B" w:rsidRPr="000C465B" w:rsidRDefault="000C465B" w:rsidP="000C465B">
            <w:pPr>
              <w:spacing w:after="0"/>
              <w:jc w:val="center"/>
              <w:rPr>
                <w:b/>
                <w:bCs/>
                <w:sz w:val="20"/>
                <w:szCs w:val="20"/>
              </w:rPr>
            </w:pPr>
          </w:p>
          <w:p w14:paraId="40052A08" w14:textId="77777777" w:rsidR="000C465B" w:rsidRPr="000C465B" w:rsidRDefault="000C465B" w:rsidP="000C465B">
            <w:pPr>
              <w:spacing w:after="0"/>
              <w:jc w:val="center"/>
              <w:rPr>
                <w:b/>
                <w:bCs/>
                <w:sz w:val="20"/>
                <w:szCs w:val="20"/>
              </w:rPr>
            </w:pPr>
            <w:r w:rsidRPr="000C465B">
              <w:rPr>
                <w:b/>
                <w:bCs/>
                <w:sz w:val="20"/>
                <w:szCs w:val="20"/>
              </w:rPr>
              <w:t>Derived Unit</w:t>
            </w:r>
          </w:p>
          <w:p w14:paraId="212A3C8A" w14:textId="77777777" w:rsidR="000C465B" w:rsidRPr="000C465B" w:rsidRDefault="000C465B" w:rsidP="000C465B">
            <w:pPr>
              <w:spacing w:after="0"/>
              <w:jc w:val="center"/>
              <w:rPr>
                <w:b/>
                <w:bCs/>
                <w:sz w:val="20"/>
                <w:szCs w:val="20"/>
              </w:rPr>
            </w:pPr>
            <w:r w:rsidRPr="000C465B">
              <w:rPr>
                <w:b/>
                <w:bCs/>
                <w:sz w:val="20"/>
                <w:szCs w:val="20"/>
              </w:rPr>
              <w:t>Expression</w:t>
            </w:r>
          </w:p>
          <w:p w14:paraId="6C61467B" w14:textId="77777777" w:rsidR="000C465B" w:rsidRPr="000C465B" w:rsidRDefault="000C465B" w:rsidP="000C465B">
            <w:pPr>
              <w:spacing w:after="0"/>
              <w:jc w:val="left"/>
              <w:rPr>
                <w:b/>
                <w:bCs/>
                <w:sz w:val="20"/>
                <w:szCs w:val="20"/>
              </w:rPr>
            </w:pPr>
          </w:p>
          <w:p w14:paraId="6AD9E068" w14:textId="77777777" w:rsidR="000C465B" w:rsidRPr="000C465B" w:rsidRDefault="000C465B" w:rsidP="000C465B">
            <w:pPr>
              <w:spacing w:after="0"/>
              <w:jc w:val="center"/>
              <w:rPr>
                <w:b/>
                <w:bCs/>
                <w:sz w:val="20"/>
                <w:szCs w:val="20"/>
              </w:rPr>
            </w:pPr>
            <w:r w:rsidRPr="000C465B">
              <w:rPr>
                <w:b/>
                <w:bCs/>
                <w:sz w:val="20"/>
                <w:szCs w:val="20"/>
              </w:rPr>
              <w:t>DUE</w:t>
            </w:r>
          </w:p>
          <w:p w14:paraId="4382DC35" w14:textId="77777777" w:rsidR="000C465B" w:rsidRPr="000C465B" w:rsidRDefault="000C465B" w:rsidP="000C465B">
            <w:pPr>
              <w:spacing w:after="0"/>
              <w:jc w:val="center"/>
              <w:rPr>
                <w:b/>
                <w:bCs/>
                <w:sz w:val="20"/>
                <w:szCs w:val="20"/>
              </w:rPr>
            </w:pPr>
          </w:p>
          <w:p w14:paraId="0E46C2C9" w14:textId="77777777" w:rsidR="000C465B" w:rsidRPr="000C465B" w:rsidRDefault="000C465B" w:rsidP="000C465B">
            <w:pPr>
              <w:spacing w:after="0"/>
              <w:jc w:val="center"/>
              <w:rPr>
                <w:b/>
                <w:bCs/>
                <w:i/>
                <w:iCs/>
                <w:sz w:val="20"/>
                <w:szCs w:val="20"/>
              </w:rPr>
            </w:pPr>
            <w:r w:rsidRPr="000C465B">
              <w:rPr>
                <w:b/>
                <w:bCs/>
                <w:i/>
                <w:iCs/>
                <w:sz w:val="20"/>
                <w:szCs w:val="20"/>
              </w:rPr>
              <w:t>“20 Loads”</w:t>
            </w:r>
          </w:p>
          <w:p w14:paraId="4BAB5137" w14:textId="77777777" w:rsidR="000C465B" w:rsidRPr="000C465B" w:rsidRDefault="000C465B" w:rsidP="000C465B">
            <w:pPr>
              <w:spacing w:after="0"/>
              <w:jc w:val="center"/>
              <w:rPr>
                <w:b/>
                <w:bCs/>
                <w:sz w:val="20"/>
                <w:szCs w:val="20"/>
              </w:rPr>
            </w:pPr>
          </w:p>
        </w:tc>
        <w:tc>
          <w:tcPr>
            <w:tcW w:w="1787" w:type="dxa"/>
          </w:tcPr>
          <w:p w14:paraId="06578DAA" w14:textId="77777777" w:rsidR="000C465B" w:rsidRPr="000C465B" w:rsidRDefault="000C465B" w:rsidP="000C465B">
            <w:pPr>
              <w:spacing w:after="0"/>
              <w:jc w:val="center"/>
              <w:rPr>
                <w:b/>
                <w:bCs/>
                <w:sz w:val="20"/>
                <w:szCs w:val="20"/>
              </w:rPr>
            </w:pPr>
          </w:p>
          <w:p w14:paraId="67E26EB3" w14:textId="77777777" w:rsidR="000C465B" w:rsidRPr="000C465B" w:rsidRDefault="000C465B" w:rsidP="000C465B">
            <w:pPr>
              <w:spacing w:after="0"/>
              <w:jc w:val="center"/>
              <w:rPr>
                <w:b/>
                <w:bCs/>
                <w:sz w:val="20"/>
                <w:szCs w:val="20"/>
              </w:rPr>
            </w:pPr>
            <w:r w:rsidRPr="000C465B">
              <w:rPr>
                <w:b/>
                <w:bCs/>
                <w:sz w:val="20"/>
                <w:szCs w:val="20"/>
              </w:rPr>
              <w:t>Comparative Quantity</w:t>
            </w:r>
          </w:p>
          <w:p w14:paraId="74BDAEDA" w14:textId="77777777" w:rsidR="000C465B" w:rsidRPr="000C465B" w:rsidRDefault="000C465B" w:rsidP="000C465B">
            <w:pPr>
              <w:spacing w:after="0"/>
              <w:jc w:val="center"/>
              <w:rPr>
                <w:b/>
                <w:bCs/>
                <w:sz w:val="20"/>
                <w:szCs w:val="20"/>
              </w:rPr>
            </w:pPr>
            <w:r w:rsidRPr="000C465B">
              <w:rPr>
                <w:b/>
                <w:bCs/>
                <w:sz w:val="20"/>
                <w:szCs w:val="20"/>
              </w:rPr>
              <w:t>Representation</w:t>
            </w:r>
          </w:p>
          <w:p w14:paraId="2BE9DBA1" w14:textId="77777777" w:rsidR="000C465B" w:rsidRPr="000C465B" w:rsidRDefault="000C465B" w:rsidP="000C465B">
            <w:pPr>
              <w:spacing w:after="0"/>
              <w:jc w:val="center"/>
              <w:rPr>
                <w:b/>
                <w:bCs/>
                <w:sz w:val="20"/>
                <w:szCs w:val="20"/>
              </w:rPr>
            </w:pPr>
          </w:p>
          <w:p w14:paraId="459B81D6" w14:textId="77777777" w:rsidR="000C465B" w:rsidRPr="000C465B" w:rsidRDefault="000C465B" w:rsidP="000C465B">
            <w:pPr>
              <w:spacing w:after="0"/>
              <w:jc w:val="center"/>
              <w:rPr>
                <w:b/>
                <w:bCs/>
                <w:sz w:val="20"/>
                <w:szCs w:val="20"/>
              </w:rPr>
            </w:pPr>
            <w:r w:rsidRPr="000C465B">
              <w:rPr>
                <w:b/>
                <w:bCs/>
                <w:sz w:val="20"/>
                <w:szCs w:val="20"/>
              </w:rPr>
              <w:t>CQR</w:t>
            </w:r>
          </w:p>
          <w:p w14:paraId="79D0BA1E" w14:textId="77777777" w:rsidR="000C465B" w:rsidRPr="000C465B" w:rsidRDefault="000C465B" w:rsidP="000C465B">
            <w:pPr>
              <w:spacing w:after="0"/>
              <w:jc w:val="center"/>
              <w:rPr>
                <w:b/>
                <w:bCs/>
                <w:sz w:val="20"/>
                <w:szCs w:val="20"/>
              </w:rPr>
            </w:pPr>
          </w:p>
          <w:p w14:paraId="578106C2" w14:textId="77777777" w:rsidR="000C465B" w:rsidRPr="000C465B" w:rsidRDefault="000C465B" w:rsidP="000C465B">
            <w:pPr>
              <w:spacing w:after="0"/>
              <w:jc w:val="center"/>
              <w:rPr>
                <w:b/>
                <w:bCs/>
                <w:i/>
                <w:iCs/>
                <w:sz w:val="20"/>
                <w:szCs w:val="20"/>
              </w:rPr>
            </w:pPr>
            <w:r w:rsidRPr="000C465B">
              <w:rPr>
                <w:b/>
                <w:bCs/>
                <w:i/>
                <w:iCs/>
                <w:sz w:val="20"/>
                <w:szCs w:val="20"/>
              </w:rPr>
              <w:t>“40% More Litter Per Pound”</w:t>
            </w:r>
          </w:p>
        </w:tc>
        <w:tc>
          <w:tcPr>
            <w:tcW w:w="1626" w:type="dxa"/>
          </w:tcPr>
          <w:p w14:paraId="0BED360B" w14:textId="77777777" w:rsidR="000C465B" w:rsidRPr="000C465B" w:rsidRDefault="000C465B" w:rsidP="000C465B">
            <w:pPr>
              <w:spacing w:after="0"/>
              <w:jc w:val="center"/>
              <w:rPr>
                <w:b/>
                <w:bCs/>
                <w:sz w:val="20"/>
                <w:szCs w:val="20"/>
              </w:rPr>
            </w:pPr>
          </w:p>
          <w:p w14:paraId="263EF740" w14:textId="77777777" w:rsidR="000C465B" w:rsidRPr="000C465B" w:rsidRDefault="000C465B" w:rsidP="000C465B">
            <w:pPr>
              <w:spacing w:after="0"/>
              <w:jc w:val="center"/>
              <w:rPr>
                <w:b/>
                <w:bCs/>
                <w:sz w:val="20"/>
                <w:szCs w:val="20"/>
              </w:rPr>
            </w:pPr>
            <w:r w:rsidRPr="000C465B">
              <w:rPr>
                <w:b/>
                <w:bCs/>
                <w:sz w:val="20"/>
                <w:szCs w:val="20"/>
              </w:rPr>
              <w:t>Comparative Performance</w:t>
            </w:r>
          </w:p>
          <w:p w14:paraId="58A00F04" w14:textId="77777777" w:rsidR="000C465B" w:rsidRPr="000C465B" w:rsidRDefault="000C465B" w:rsidP="000C465B">
            <w:pPr>
              <w:spacing w:after="0"/>
              <w:jc w:val="center"/>
              <w:rPr>
                <w:b/>
                <w:bCs/>
                <w:sz w:val="20"/>
                <w:szCs w:val="20"/>
              </w:rPr>
            </w:pPr>
            <w:r w:rsidRPr="000C465B">
              <w:rPr>
                <w:b/>
                <w:bCs/>
                <w:sz w:val="20"/>
                <w:szCs w:val="20"/>
              </w:rPr>
              <w:t xml:space="preserve">Representation </w:t>
            </w:r>
          </w:p>
          <w:p w14:paraId="0F6CF236" w14:textId="77777777" w:rsidR="000C465B" w:rsidRPr="000C465B" w:rsidRDefault="000C465B" w:rsidP="000C465B">
            <w:pPr>
              <w:spacing w:after="0"/>
              <w:jc w:val="left"/>
              <w:rPr>
                <w:b/>
                <w:bCs/>
                <w:sz w:val="20"/>
                <w:szCs w:val="20"/>
              </w:rPr>
            </w:pPr>
          </w:p>
          <w:p w14:paraId="6194A85A" w14:textId="77777777" w:rsidR="000C465B" w:rsidRPr="000C465B" w:rsidRDefault="000C465B" w:rsidP="000C465B">
            <w:pPr>
              <w:spacing w:after="0"/>
              <w:jc w:val="center"/>
              <w:rPr>
                <w:b/>
                <w:bCs/>
                <w:sz w:val="20"/>
                <w:szCs w:val="20"/>
              </w:rPr>
            </w:pPr>
            <w:r w:rsidRPr="000C465B">
              <w:rPr>
                <w:b/>
                <w:bCs/>
                <w:sz w:val="20"/>
                <w:szCs w:val="20"/>
              </w:rPr>
              <w:t>CPR</w:t>
            </w:r>
          </w:p>
          <w:p w14:paraId="1F0B8161" w14:textId="77777777" w:rsidR="000C465B" w:rsidRPr="000C465B" w:rsidRDefault="000C465B" w:rsidP="000C465B">
            <w:pPr>
              <w:spacing w:after="0"/>
              <w:jc w:val="center"/>
              <w:rPr>
                <w:b/>
                <w:bCs/>
                <w:sz w:val="20"/>
                <w:szCs w:val="20"/>
              </w:rPr>
            </w:pPr>
          </w:p>
          <w:p w14:paraId="176F234F" w14:textId="77777777" w:rsidR="000C465B" w:rsidRPr="000C465B" w:rsidRDefault="000C465B" w:rsidP="000C465B">
            <w:pPr>
              <w:spacing w:after="0"/>
              <w:jc w:val="center"/>
              <w:rPr>
                <w:b/>
                <w:bCs/>
                <w:i/>
                <w:iCs/>
                <w:sz w:val="20"/>
                <w:szCs w:val="20"/>
              </w:rPr>
            </w:pPr>
            <w:r w:rsidRPr="000C465B">
              <w:rPr>
                <w:b/>
                <w:bCs/>
                <w:i/>
                <w:iCs/>
                <w:sz w:val="20"/>
                <w:szCs w:val="20"/>
              </w:rPr>
              <w:t>“Lasts 25% Longer”</w:t>
            </w:r>
          </w:p>
          <w:p w14:paraId="1DAA429A" w14:textId="77777777" w:rsidR="000C465B" w:rsidRPr="000C465B" w:rsidRDefault="000C465B" w:rsidP="000C465B">
            <w:pPr>
              <w:spacing w:after="0"/>
              <w:jc w:val="center"/>
              <w:rPr>
                <w:b/>
                <w:bCs/>
                <w:sz w:val="20"/>
                <w:szCs w:val="20"/>
              </w:rPr>
            </w:pPr>
          </w:p>
        </w:tc>
      </w:tr>
      <w:tr w:rsidR="000C465B" w:rsidRPr="000C465B" w14:paraId="5C7532E4" w14:textId="77777777" w:rsidTr="005F0F3E">
        <w:tc>
          <w:tcPr>
            <w:tcW w:w="2137" w:type="dxa"/>
          </w:tcPr>
          <w:p w14:paraId="036CCE22" w14:textId="77777777" w:rsidR="000C465B" w:rsidRPr="000C465B" w:rsidRDefault="000C465B" w:rsidP="000C465B">
            <w:pPr>
              <w:spacing w:after="0"/>
              <w:jc w:val="left"/>
              <w:rPr>
                <w:sz w:val="20"/>
                <w:szCs w:val="20"/>
              </w:rPr>
            </w:pPr>
            <w:r w:rsidRPr="000C465B">
              <w:rPr>
                <w:sz w:val="20"/>
                <w:szCs w:val="20"/>
              </w:rPr>
              <w:t>Expression should provide useful information to help consumers.</w:t>
            </w:r>
          </w:p>
        </w:tc>
        <w:tc>
          <w:tcPr>
            <w:tcW w:w="1303" w:type="dxa"/>
            <w:vAlign w:val="center"/>
          </w:tcPr>
          <w:p w14:paraId="002C9D56"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4A9C9B72"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75044EE3"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415346F6"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32D625CF"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13AB5B5C" w14:textId="77777777" w:rsidTr="005F0F3E">
        <w:tc>
          <w:tcPr>
            <w:tcW w:w="2137" w:type="dxa"/>
          </w:tcPr>
          <w:p w14:paraId="172E339D" w14:textId="77777777" w:rsidR="000C465B" w:rsidRPr="000C465B" w:rsidRDefault="000C465B" w:rsidP="000C465B">
            <w:pPr>
              <w:spacing w:after="0"/>
              <w:jc w:val="left"/>
              <w:rPr>
                <w:sz w:val="20"/>
                <w:szCs w:val="20"/>
              </w:rPr>
            </w:pPr>
            <w:r w:rsidRPr="000C465B">
              <w:rPr>
                <w:sz w:val="20"/>
                <w:szCs w:val="20"/>
              </w:rPr>
              <w:t xml:space="preserve">Expression must be accurate and </w:t>
            </w:r>
          </w:p>
          <w:p w14:paraId="627EDF41" w14:textId="77777777" w:rsidR="000C465B" w:rsidRPr="000C465B" w:rsidRDefault="000C465B" w:rsidP="000C465B">
            <w:pPr>
              <w:spacing w:after="0"/>
              <w:jc w:val="left"/>
              <w:rPr>
                <w:i/>
                <w:sz w:val="20"/>
                <w:szCs w:val="20"/>
              </w:rPr>
            </w:pPr>
            <w:r w:rsidRPr="000C465B">
              <w:rPr>
                <w:sz w:val="20"/>
                <w:szCs w:val="20"/>
              </w:rPr>
              <w:t xml:space="preserve">verifiable. </w:t>
            </w:r>
          </w:p>
        </w:tc>
        <w:tc>
          <w:tcPr>
            <w:tcW w:w="1303" w:type="dxa"/>
            <w:vAlign w:val="center"/>
          </w:tcPr>
          <w:p w14:paraId="3847BCEC"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33276A53"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0A26BBA9"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0AF9FD24"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33711124"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294544AE" w14:textId="77777777" w:rsidTr="005F0F3E">
        <w:tc>
          <w:tcPr>
            <w:tcW w:w="2137" w:type="dxa"/>
          </w:tcPr>
          <w:p w14:paraId="2FDCA4A0" w14:textId="77777777" w:rsidR="000C465B" w:rsidRPr="000C465B" w:rsidRDefault="000C465B" w:rsidP="000C465B">
            <w:pPr>
              <w:spacing w:after="0"/>
              <w:jc w:val="left"/>
              <w:rPr>
                <w:sz w:val="20"/>
                <w:szCs w:val="20"/>
              </w:rPr>
            </w:pPr>
            <w:r w:rsidRPr="000C465B">
              <w:rPr>
                <w:sz w:val="20"/>
                <w:szCs w:val="20"/>
              </w:rPr>
              <w:t>Expression must be clear and unambiguous.</w:t>
            </w:r>
          </w:p>
        </w:tc>
        <w:tc>
          <w:tcPr>
            <w:tcW w:w="1303" w:type="dxa"/>
            <w:vAlign w:val="center"/>
          </w:tcPr>
          <w:p w14:paraId="3EA45D8D"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42A5B261"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69B90A01"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7AC1AF3D"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736CA00F"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63201F60" w14:textId="77777777" w:rsidTr="005F0F3E">
        <w:tc>
          <w:tcPr>
            <w:tcW w:w="2137" w:type="dxa"/>
          </w:tcPr>
          <w:p w14:paraId="616889F8" w14:textId="77777777" w:rsidR="000C465B" w:rsidRPr="000C465B" w:rsidRDefault="000C465B" w:rsidP="000C465B">
            <w:pPr>
              <w:spacing w:after="0"/>
              <w:jc w:val="left"/>
              <w:rPr>
                <w:sz w:val="20"/>
                <w:szCs w:val="20"/>
              </w:rPr>
            </w:pPr>
            <w:r w:rsidRPr="000C465B">
              <w:rPr>
                <w:sz w:val="20"/>
                <w:szCs w:val="20"/>
              </w:rPr>
              <w:t>Expression must not conflict with mandatory Declaration of Net Quantity(DoNQ).</w:t>
            </w:r>
          </w:p>
        </w:tc>
        <w:tc>
          <w:tcPr>
            <w:tcW w:w="1303" w:type="dxa"/>
            <w:vAlign w:val="center"/>
          </w:tcPr>
          <w:p w14:paraId="0281E93B"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4CDD32C2"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5CF10A67"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2628FEAA"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0DBE9328"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228122E8" w14:textId="77777777" w:rsidTr="005F0F3E">
        <w:tc>
          <w:tcPr>
            <w:tcW w:w="2137" w:type="dxa"/>
          </w:tcPr>
          <w:p w14:paraId="62608867" w14:textId="77777777" w:rsidR="000C465B" w:rsidRPr="000C465B" w:rsidRDefault="000C465B" w:rsidP="000C465B">
            <w:pPr>
              <w:spacing w:after="0"/>
              <w:jc w:val="left"/>
              <w:rPr>
                <w:sz w:val="20"/>
                <w:szCs w:val="20"/>
              </w:rPr>
            </w:pPr>
            <w:r w:rsidRPr="000C465B">
              <w:rPr>
                <w:sz w:val="20"/>
                <w:szCs w:val="20"/>
              </w:rPr>
              <w:t xml:space="preserve">Expression location and prominence (size, font, and contrast) must be balanced against the Declaration of Net Quantity (DoNQ). </w:t>
            </w:r>
          </w:p>
        </w:tc>
        <w:tc>
          <w:tcPr>
            <w:tcW w:w="1303" w:type="dxa"/>
            <w:vAlign w:val="center"/>
          </w:tcPr>
          <w:p w14:paraId="2C5DD227"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2653E9E0"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7C4009B1"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3FC0CAE7"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6234E6A5"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59DFD829" w14:textId="77777777" w:rsidTr="005F0F3E">
        <w:tc>
          <w:tcPr>
            <w:tcW w:w="2137" w:type="dxa"/>
          </w:tcPr>
          <w:p w14:paraId="4F24E563" w14:textId="77777777" w:rsidR="000C465B" w:rsidRPr="000C465B" w:rsidRDefault="000C465B" w:rsidP="000C465B">
            <w:pPr>
              <w:spacing w:after="0"/>
              <w:jc w:val="left"/>
              <w:rPr>
                <w:sz w:val="20"/>
                <w:szCs w:val="20"/>
              </w:rPr>
            </w:pPr>
            <w:r w:rsidRPr="000C465B">
              <w:rPr>
                <w:sz w:val="20"/>
                <w:szCs w:val="20"/>
              </w:rPr>
              <w:t xml:space="preserve">Expression should provide Consumer Relevant Information. </w:t>
            </w:r>
          </w:p>
        </w:tc>
        <w:tc>
          <w:tcPr>
            <w:tcW w:w="1303" w:type="dxa"/>
            <w:vAlign w:val="center"/>
          </w:tcPr>
          <w:p w14:paraId="5580EF44" w14:textId="77777777" w:rsidR="000C465B" w:rsidRPr="000C465B" w:rsidRDefault="000C465B" w:rsidP="000C465B">
            <w:pPr>
              <w:spacing w:after="0"/>
              <w:jc w:val="center"/>
              <w:rPr>
                <w:sz w:val="20"/>
                <w:szCs w:val="20"/>
              </w:rPr>
            </w:pPr>
            <w:r w:rsidRPr="000C465B">
              <w:rPr>
                <w:sz w:val="20"/>
                <w:szCs w:val="20"/>
              </w:rPr>
              <w:t>X</w:t>
            </w:r>
          </w:p>
        </w:tc>
        <w:tc>
          <w:tcPr>
            <w:tcW w:w="1497" w:type="dxa"/>
            <w:vAlign w:val="center"/>
          </w:tcPr>
          <w:p w14:paraId="4E67D78C"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00C4F985"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1FA506C3"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19011719"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1E73CD0B" w14:textId="77777777" w:rsidTr="005F0F3E">
        <w:tc>
          <w:tcPr>
            <w:tcW w:w="2137" w:type="dxa"/>
          </w:tcPr>
          <w:p w14:paraId="7B747651" w14:textId="77777777" w:rsidR="000C465B" w:rsidRPr="000C465B" w:rsidRDefault="000C465B" w:rsidP="000C465B">
            <w:pPr>
              <w:spacing w:after="0"/>
              <w:jc w:val="left"/>
              <w:rPr>
                <w:sz w:val="20"/>
                <w:szCs w:val="20"/>
              </w:rPr>
            </w:pPr>
            <w:r w:rsidRPr="000C465B">
              <w:rPr>
                <w:sz w:val="20"/>
                <w:szCs w:val="20"/>
              </w:rPr>
              <w:t>Expressions should not conflict with units of Legal Metrology.</w:t>
            </w:r>
          </w:p>
        </w:tc>
        <w:tc>
          <w:tcPr>
            <w:tcW w:w="1303" w:type="dxa"/>
            <w:vAlign w:val="center"/>
          </w:tcPr>
          <w:p w14:paraId="3DEC0CA5" w14:textId="77777777" w:rsidR="000C465B" w:rsidRPr="000C465B" w:rsidRDefault="000C465B" w:rsidP="000C465B">
            <w:pPr>
              <w:spacing w:after="0"/>
              <w:jc w:val="center"/>
              <w:rPr>
                <w:sz w:val="20"/>
                <w:szCs w:val="20"/>
              </w:rPr>
            </w:pPr>
          </w:p>
        </w:tc>
        <w:tc>
          <w:tcPr>
            <w:tcW w:w="1497" w:type="dxa"/>
            <w:vAlign w:val="center"/>
          </w:tcPr>
          <w:p w14:paraId="23ADDC4D" w14:textId="77777777" w:rsidR="000C465B" w:rsidRPr="000C465B" w:rsidRDefault="000C465B" w:rsidP="000C465B">
            <w:pPr>
              <w:spacing w:after="0"/>
              <w:jc w:val="center"/>
              <w:rPr>
                <w:sz w:val="20"/>
                <w:szCs w:val="20"/>
              </w:rPr>
            </w:pPr>
          </w:p>
        </w:tc>
        <w:tc>
          <w:tcPr>
            <w:tcW w:w="1257" w:type="dxa"/>
            <w:vAlign w:val="center"/>
          </w:tcPr>
          <w:p w14:paraId="5FE93EF4"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1220ED56"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143DB5CA"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497BFC82" w14:textId="77777777" w:rsidTr="005F0F3E">
        <w:tc>
          <w:tcPr>
            <w:tcW w:w="2137" w:type="dxa"/>
          </w:tcPr>
          <w:p w14:paraId="5B8DDD7C" w14:textId="77777777" w:rsidR="000C465B" w:rsidRPr="000C465B" w:rsidRDefault="000C465B" w:rsidP="000C465B">
            <w:pPr>
              <w:spacing w:after="0"/>
              <w:jc w:val="left"/>
              <w:rPr>
                <w:sz w:val="20"/>
                <w:szCs w:val="20"/>
              </w:rPr>
            </w:pPr>
            <w:r w:rsidRPr="000C465B">
              <w:rPr>
                <w:sz w:val="20"/>
                <w:szCs w:val="20"/>
              </w:rPr>
              <w:t>Package Label must provide directions for how to reconstitute.</w:t>
            </w:r>
          </w:p>
        </w:tc>
        <w:tc>
          <w:tcPr>
            <w:tcW w:w="1303" w:type="dxa"/>
            <w:vAlign w:val="center"/>
          </w:tcPr>
          <w:p w14:paraId="6C76CA9E" w14:textId="77777777" w:rsidR="000C465B" w:rsidRPr="000C465B" w:rsidRDefault="000C465B" w:rsidP="000C465B">
            <w:pPr>
              <w:spacing w:after="0"/>
              <w:jc w:val="center"/>
              <w:rPr>
                <w:sz w:val="20"/>
                <w:szCs w:val="20"/>
              </w:rPr>
            </w:pPr>
          </w:p>
        </w:tc>
        <w:tc>
          <w:tcPr>
            <w:tcW w:w="1497" w:type="dxa"/>
            <w:vAlign w:val="center"/>
          </w:tcPr>
          <w:p w14:paraId="2447F0CF" w14:textId="77777777" w:rsidR="000C465B" w:rsidRPr="000C465B" w:rsidRDefault="000C465B" w:rsidP="000C465B">
            <w:pPr>
              <w:spacing w:after="0"/>
              <w:jc w:val="center"/>
              <w:rPr>
                <w:sz w:val="20"/>
                <w:szCs w:val="20"/>
              </w:rPr>
            </w:pPr>
            <w:r w:rsidRPr="000C465B">
              <w:rPr>
                <w:sz w:val="20"/>
                <w:szCs w:val="20"/>
              </w:rPr>
              <w:t>X</w:t>
            </w:r>
          </w:p>
        </w:tc>
        <w:tc>
          <w:tcPr>
            <w:tcW w:w="1257" w:type="dxa"/>
            <w:vAlign w:val="center"/>
          </w:tcPr>
          <w:p w14:paraId="76EDEDC4" w14:textId="77777777" w:rsidR="000C465B" w:rsidRPr="000C465B" w:rsidRDefault="000C465B" w:rsidP="000C465B">
            <w:pPr>
              <w:spacing w:after="0"/>
              <w:jc w:val="center"/>
              <w:rPr>
                <w:sz w:val="20"/>
                <w:szCs w:val="20"/>
              </w:rPr>
            </w:pPr>
          </w:p>
        </w:tc>
        <w:tc>
          <w:tcPr>
            <w:tcW w:w="1787" w:type="dxa"/>
            <w:vAlign w:val="center"/>
          </w:tcPr>
          <w:p w14:paraId="20C77DBA" w14:textId="77777777" w:rsidR="000C465B" w:rsidRPr="000C465B" w:rsidRDefault="000C465B" w:rsidP="000C465B">
            <w:pPr>
              <w:spacing w:after="0"/>
              <w:jc w:val="center"/>
              <w:rPr>
                <w:sz w:val="20"/>
                <w:szCs w:val="20"/>
              </w:rPr>
            </w:pPr>
          </w:p>
        </w:tc>
        <w:tc>
          <w:tcPr>
            <w:tcW w:w="1626" w:type="dxa"/>
            <w:vAlign w:val="center"/>
          </w:tcPr>
          <w:p w14:paraId="202F166C" w14:textId="77777777" w:rsidR="000C465B" w:rsidRPr="000C465B" w:rsidRDefault="000C465B" w:rsidP="000C465B">
            <w:pPr>
              <w:spacing w:after="0"/>
              <w:jc w:val="center"/>
              <w:rPr>
                <w:sz w:val="20"/>
                <w:szCs w:val="20"/>
              </w:rPr>
            </w:pPr>
          </w:p>
        </w:tc>
      </w:tr>
      <w:tr w:rsidR="000C465B" w:rsidRPr="000C465B" w14:paraId="229A5D3E" w14:textId="77777777" w:rsidTr="005F0F3E">
        <w:tc>
          <w:tcPr>
            <w:tcW w:w="2137" w:type="dxa"/>
          </w:tcPr>
          <w:p w14:paraId="3492E7CF" w14:textId="77777777" w:rsidR="000C465B" w:rsidRPr="000C465B" w:rsidRDefault="000C465B" w:rsidP="000C465B">
            <w:pPr>
              <w:spacing w:after="0"/>
              <w:jc w:val="left"/>
              <w:rPr>
                <w:sz w:val="20"/>
                <w:szCs w:val="20"/>
              </w:rPr>
            </w:pPr>
            <w:r w:rsidRPr="000C465B">
              <w:rPr>
                <w:sz w:val="20"/>
                <w:szCs w:val="20"/>
              </w:rPr>
              <w:t xml:space="preserve">Package Label must provide definition of derived unit.  </w:t>
            </w:r>
          </w:p>
        </w:tc>
        <w:tc>
          <w:tcPr>
            <w:tcW w:w="1303" w:type="dxa"/>
            <w:vAlign w:val="center"/>
          </w:tcPr>
          <w:p w14:paraId="02D3CF36" w14:textId="77777777" w:rsidR="000C465B" w:rsidRPr="000C465B" w:rsidRDefault="000C465B" w:rsidP="000C465B">
            <w:pPr>
              <w:spacing w:after="0"/>
              <w:jc w:val="center"/>
              <w:rPr>
                <w:sz w:val="20"/>
                <w:szCs w:val="20"/>
              </w:rPr>
            </w:pPr>
          </w:p>
        </w:tc>
        <w:tc>
          <w:tcPr>
            <w:tcW w:w="1497" w:type="dxa"/>
            <w:vAlign w:val="center"/>
          </w:tcPr>
          <w:p w14:paraId="12C10A62" w14:textId="77777777" w:rsidR="000C465B" w:rsidRPr="000C465B" w:rsidRDefault="000C465B" w:rsidP="000C465B">
            <w:pPr>
              <w:spacing w:after="0"/>
              <w:jc w:val="center"/>
              <w:rPr>
                <w:sz w:val="20"/>
                <w:szCs w:val="20"/>
              </w:rPr>
            </w:pPr>
          </w:p>
        </w:tc>
        <w:tc>
          <w:tcPr>
            <w:tcW w:w="1257" w:type="dxa"/>
            <w:vAlign w:val="center"/>
          </w:tcPr>
          <w:p w14:paraId="12B81B30"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3BF7B2CA" w14:textId="77777777" w:rsidR="000C465B" w:rsidRPr="000C465B" w:rsidRDefault="000C465B" w:rsidP="000C465B">
            <w:pPr>
              <w:spacing w:after="0"/>
              <w:jc w:val="center"/>
              <w:rPr>
                <w:sz w:val="20"/>
                <w:szCs w:val="20"/>
              </w:rPr>
            </w:pPr>
          </w:p>
        </w:tc>
        <w:tc>
          <w:tcPr>
            <w:tcW w:w="1626" w:type="dxa"/>
            <w:vAlign w:val="center"/>
          </w:tcPr>
          <w:p w14:paraId="2892CB9F"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339122CE" w14:textId="77777777" w:rsidTr="005F0F3E">
        <w:tc>
          <w:tcPr>
            <w:tcW w:w="2137" w:type="dxa"/>
          </w:tcPr>
          <w:p w14:paraId="16F7DC22" w14:textId="77777777" w:rsidR="000C465B" w:rsidRPr="000C465B" w:rsidRDefault="000C465B" w:rsidP="000C465B">
            <w:pPr>
              <w:spacing w:after="0"/>
              <w:jc w:val="left"/>
              <w:rPr>
                <w:sz w:val="20"/>
                <w:szCs w:val="20"/>
              </w:rPr>
            </w:pPr>
            <w:r w:rsidRPr="000C465B">
              <w:rPr>
                <w:sz w:val="20"/>
                <w:szCs w:val="20"/>
              </w:rPr>
              <w:t>Derived Unit definition must be consistent across similar products.</w:t>
            </w:r>
          </w:p>
        </w:tc>
        <w:tc>
          <w:tcPr>
            <w:tcW w:w="1303" w:type="dxa"/>
            <w:vAlign w:val="center"/>
          </w:tcPr>
          <w:p w14:paraId="3DC4B834" w14:textId="77777777" w:rsidR="000C465B" w:rsidRPr="000C465B" w:rsidRDefault="000C465B" w:rsidP="000C465B">
            <w:pPr>
              <w:spacing w:after="0"/>
              <w:jc w:val="center"/>
              <w:rPr>
                <w:sz w:val="20"/>
                <w:szCs w:val="20"/>
              </w:rPr>
            </w:pPr>
          </w:p>
        </w:tc>
        <w:tc>
          <w:tcPr>
            <w:tcW w:w="1497" w:type="dxa"/>
            <w:vAlign w:val="center"/>
          </w:tcPr>
          <w:p w14:paraId="3EDB710B" w14:textId="77777777" w:rsidR="000C465B" w:rsidRPr="000C465B" w:rsidRDefault="000C465B" w:rsidP="000C465B">
            <w:pPr>
              <w:spacing w:after="0"/>
              <w:jc w:val="center"/>
              <w:rPr>
                <w:sz w:val="20"/>
                <w:szCs w:val="20"/>
              </w:rPr>
            </w:pPr>
          </w:p>
        </w:tc>
        <w:tc>
          <w:tcPr>
            <w:tcW w:w="1257" w:type="dxa"/>
            <w:vAlign w:val="center"/>
          </w:tcPr>
          <w:p w14:paraId="038C77C9" w14:textId="77777777" w:rsidR="000C465B" w:rsidRPr="000C465B" w:rsidRDefault="000C465B" w:rsidP="000C465B">
            <w:pPr>
              <w:spacing w:after="0"/>
              <w:jc w:val="center"/>
              <w:rPr>
                <w:sz w:val="20"/>
                <w:szCs w:val="20"/>
              </w:rPr>
            </w:pPr>
            <w:r w:rsidRPr="000C465B">
              <w:rPr>
                <w:sz w:val="20"/>
                <w:szCs w:val="20"/>
              </w:rPr>
              <w:t>X</w:t>
            </w:r>
          </w:p>
        </w:tc>
        <w:tc>
          <w:tcPr>
            <w:tcW w:w="1787" w:type="dxa"/>
            <w:vAlign w:val="center"/>
          </w:tcPr>
          <w:p w14:paraId="3EDC03C1" w14:textId="77777777" w:rsidR="000C465B" w:rsidRPr="000C465B" w:rsidRDefault="000C465B" w:rsidP="000C465B">
            <w:pPr>
              <w:spacing w:after="0"/>
              <w:jc w:val="center"/>
              <w:rPr>
                <w:sz w:val="20"/>
                <w:szCs w:val="20"/>
              </w:rPr>
            </w:pPr>
          </w:p>
        </w:tc>
        <w:tc>
          <w:tcPr>
            <w:tcW w:w="1626" w:type="dxa"/>
            <w:vAlign w:val="center"/>
          </w:tcPr>
          <w:p w14:paraId="1988E3A0" w14:textId="77777777" w:rsidR="000C465B" w:rsidRPr="000C465B" w:rsidRDefault="000C465B" w:rsidP="000C465B">
            <w:pPr>
              <w:spacing w:after="0"/>
              <w:jc w:val="center"/>
              <w:rPr>
                <w:sz w:val="20"/>
                <w:szCs w:val="20"/>
              </w:rPr>
            </w:pPr>
            <w:r w:rsidRPr="000C465B">
              <w:rPr>
                <w:sz w:val="20"/>
                <w:szCs w:val="20"/>
              </w:rPr>
              <w:t>X</w:t>
            </w:r>
          </w:p>
        </w:tc>
      </w:tr>
      <w:tr w:rsidR="000C465B" w:rsidRPr="000C465B" w14:paraId="4CAB7DE2" w14:textId="77777777" w:rsidTr="005F0F3E">
        <w:tc>
          <w:tcPr>
            <w:tcW w:w="2137" w:type="dxa"/>
          </w:tcPr>
          <w:p w14:paraId="61F0FCB8" w14:textId="77777777" w:rsidR="000C465B" w:rsidRPr="000C465B" w:rsidRDefault="000C465B" w:rsidP="000C465B">
            <w:pPr>
              <w:spacing w:after="0"/>
              <w:jc w:val="left"/>
              <w:rPr>
                <w:sz w:val="20"/>
                <w:szCs w:val="20"/>
              </w:rPr>
            </w:pPr>
            <w:r w:rsidRPr="000C465B">
              <w:rPr>
                <w:sz w:val="20"/>
                <w:szCs w:val="20"/>
              </w:rPr>
              <w:t>Comparative expression must be balanced, complete and appear in its entirety in the upper 70% of the Principal Display Panel (PDP).</w:t>
            </w:r>
          </w:p>
        </w:tc>
        <w:tc>
          <w:tcPr>
            <w:tcW w:w="1303" w:type="dxa"/>
            <w:vAlign w:val="center"/>
          </w:tcPr>
          <w:p w14:paraId="751C0E69" w14:textId="77777777" w:rsidR="000C465B" w:rsidRPr="000C465B" w:rsidRDefault="000C465B" w:rsidP="000C465B">
            <w:pPr>
              <w:spacing w:after="0"/>
              <w:jc w:val="center"/>
              <w:rPr>
                <w:sz w:val="20"/>
                <w:szCs w:val="20"/>
              </w:rPr>
            </w:pPr>
          </w:p>
        </w:tc>
        <w:tc>
          <w:tcPr>
            <w:tcW w:w="1497" w:type="dxa"/>
            <w:vAlign w:val="center"/>
          </w:tcPr>
          <w:p w14:paraId="5061BDBE" w14:textId="77777777" w:rsidR="000C465B" w:rsidRPr="000C465B" w:rsidRDefault="000C465B" w:rsidP="000C465B">
            <w:pPr>
              <w:spacing w:after="0"/>
              <w:jc w:val="center"/>
              <w:rPr>
                <w:sz w:val="20"/>
                <w:szCs w:val="20"/>
              </w:rPr>
            </w:pPr>
          </w:p>
        </w:tc>
        <w:tc>
          <w:tcPr>
            <w:tcW w:w="1257" w:type="dxa"/>
            <w:vAlign w:val="center"/>
          </w:tcPr>
          <w:p w14:paraId="50B8F591" w14:textId="77777777" w:rsidR="000C465B" w:rsidRPr="000C465B" w:rsidRDefault="000C465B" w:rsidP="000C465B">
            <w:pPr>
              <w:spacing w:after="0"/>
              <w:jc w:val="center"/>
              <w:rPr>
                <w:sz w:val="20"/>
                <w:szCs w:val="20"/>
              </w:rPr>
            </w:pPr>
          </w:p>
        </w:tc>
        <w:tc>
          <w:tcPr>
            <w:tcW w:w="1787" w:type="dxa"/>
            <w:vAlign w:val="center"/>
          </w:tcPr>
          <w:p w14:paraId="62B1A9D2" w14:textId="77777777" w:rsidR="000C465B" w:rsidRPr="000C465B" w:rsidRDefault="000C465B" w:rsidP="000C465B">
            <w:pPr>
              <w:spacing w:after="0"/>
              <w:jc w:val="center"/>
              <w:rPr>
                <w:sz w:val="20"/>
                <w:szCs w:val="20"/>
              </w:rPr>
            </w:pPr>
            <w:r w:rsidRPr="000C465B">
              <w:rPr>
                <w:sz w:val="20"/>
                <w:szCs w:val="20"/>
              </w:rPr>
              <w:t>X</w:t>
            </w:r>
          </w:p>
        </w:tc>
        <w:tc>
          <w:tcPr>
            <w:tcW w:w="1626" w:type="dxa"/>
            <w:vAlign w:val="center"/>
          </w:tcPr>
          <w:p w14:paraId="54CCB794" w14:textId="77777777" w:rsidR="000C465B" w:rsidRPr="000C465B" w:rsidRDefault="000C465B" w:rsidP="000C465B">
            <w:pPr>
              <w:spacing w:after="0"/>
              <w:jc w:val="center"/>
              <w:rPr>
                <w:sz w:val="20"/>
                <w:szCs w:val="20"/>
              </w:rPr>
            </w:pPr>
          </w:p>
        </w:tc>
      </w:tr>
      <w:tr w:rsidR="000C465B" w:rsidRPr="000C465B" w14:paraId="2A86E50F" w14:textId="77777777" w:rsidTr="005F0F3E">
        <w:trPr>
          <w:trHeight w:val="70"/>
        </w:trPr>
        <w:tc>
          <w:tcPr>
            <w:tcW w:w="2137" w:type="dxa"/>
          </w:tcPr>
          <w:p w14:paraId="6A092E20" w14:textId="77777777" w:rsidR="000C465B" w:rsidRPr="000C465B" w:rsidRDefault="000C465B" w:rsidP="000C465B">
            <w:pPr>
              <w:spacing w:after="0"/>
              <w:jc w:val="left"/>
              <w:rPr>
                <w:sz w:val="20"/>
                <w:szCs w:val="20"/>
              </w:rPr>
            </w:pPr>
            <w:r w:rsidRPr="000C465B">
              <w:rPr>
                <w:sz w:val="20"/>
                <w:szCs w:val="20"/>
              </w:rPr>
              <w:lastRenderedPageBreak/>
              <w:t>Comparative expression which does not contain a reference to recognized units of Legal Metrology must be balanced and complete.</w:t>
            </w:r>
          </w:p>
        </w:tc>
        <w:tc>
          <w:tcPr>
            <w:tcW w:w="1303" w:type="dxa"/>
            <w:vAlign w:val="center"/>
          </w:tcPr>
          <w:p w14:paraId="7D3B7875" w14:textId="77777777" w:rsidR="000C465B" w:rsidRPr="000C465B" w:rsidRDefault="000C465B" w:rsidP="000C465B">
            <w:pPr>
              <w:spacing w:after="0"/>
              <w:jc w:val="center"/>
              <w:rPr>
                <w:sz w:val="20"/>
                <w:szCs w:val="20"/>
              </w:rPr>
            </w:pPr>
          </w:p>
        </w:tc>
        <w:tc>
          <w:tcPr>
            <w:tcW w:w="1497" w:type="dxa"/>
            <w:vAlign w:val="center"/>
          </w:tcPr>
          <w:p w14:paraId="6D8923DA" w14:textId="77777777" w:rsidR="000C465B" w:rsidRPr="000C465B" w:rsidRDefault="000C465B" w:rsidP="000C465B">
            <w:pPr>
              <w:spacing w:after="0"/>
              <w:jc w:val="center"/>
              <w:rPr>
                <w:sz w:val="20"/>
                <w:szCs w:val="20"/>
              </w:rPr>
            </w:pPr>
          </w:p>
        </w:tc>
        <w:tc>
          <w:tcPr>
            <w:tcW w:w="1257" w:type="dxa"/>
            <w:vAlign w:val="center"/>
          </w:tcPr>
          <w:p w14:paraId="41314C12" w14:textId="77777777" w:rsidR="000C465B" w:rsidRPr="000C465B" w:rsidRDefault="000C465B" w:rsidP="000C465B">
            <w:pPr>
              <w:spacing w:after="0"/>
              <w:jc w:val="center"/>
              <w:rPr>
                <w:sz w:val="20"/>
                <w:szCs w:val="20"/>
              </w:rPr>
            </w:pPr>
          </w:p>
        </w:tc>
        <w:tc>
          <w:tcPr>
            <w:tcW w:w="1787" w:type="dxa"/>
            <w:vAlign w:val="center"/>
          </w:tcPr>
          <w:p w14:paraId="1B401B58" w14:textId="77777777" w:rsidR="000C465B" w:rsidRPr="000C465B" w:rsidRDefault="000C465B" w:rsidP="000C465B">
            <w:pPr>
              <w:spacing w:after="0"/>
              <w:jc w:val="center"/>
              <w:rPr>
                <w:sz w:val="20"/>
                <w:szCs w:val="20"/>
              </w:rPr>
            </w:pPr>
          </w:p>
        </w:tc>
        <w:tc>
          <w:tcPr>
            <w:tcW w:w="1626" w:type="dxa"/>
            <w:vAlign w:val="center"/>
          </w:tcPr>
          <w:p w14:paraId="0565B96B" w14:textId="77777777" w:rsidR="000C465B" w:rsidRPr="000C465B" w:rsidRDefault="000C465B" w:rsidP="000C465B">
            <w:pPr>
              <w:spacing w:after="0"/>
              <w:jc w:val="center"/>
              <w:rPr>
                <w:sz w:val="20"/>
                <w:szCs w:val="20"/>
              </w:rPr>
            </w:pPr>
            <w:r w:rsidRPr="000C465B">
              <w:rPr>
                <w:sz w:val="20"/>
                <w:szCs w:val="20"/>
              </w:rPr>
              <w:t>X</w:t>
            </w:r>
          </w:p>
        </w:tc>
      </w:tr>
    </w:tbl>
    <w:p w14:paraId="140E4A37" w14:textId="77777777" w:rsidR="000C465B" w:rsidRPr="000C465B" w:rsidRDefault="000C465B" w:rsidP="000C465B">
      <w:pPr>
        <w:spacing w:after="200" w:line="276" w:lineRule="auto"/>
        <w:jc w:val="center"/>
        <w:rPr>
          <w:b/>
          <w:sz w:val="36"/>
          <w:szCs w:val="36"/>
        </w:rPr>
      </w:pPr>
      <w:r w:rsidRPr="000C465B">
        <w:rPr>
          <w:rFonts w:ascii="Calibri" w:hAnsi="Calibri"/>
          <w:sz w:val="22"/>
        </w:rPr>
        <w:br w:type="page"/>
      </w:r>
      <w:bookmarkStart w:id="891" w:name="Table2"/>
      <w:bookmarkEnd w:id="891"/>
      <w:r w:rsidRPr="000C465B">
        <w:rPr>
          <w:b/>
          <w:sz w:val="36"/>
          <w:szCs w:val="36"/>
        </w:rPr>
        <w:lastRenderedPageBreak/>
        <w:t>Table 2: Expression Principles and Guidance</w:t>
      </w:r>
    </w:p>
    <w:tbl>
      <w:tblPr>
        <w:tblStyle w:val="TableGrid22"/>
        <w:tblW w:w="0" w:type="auto"/>
        <w:tblLook w:val="04A0" w:firstRow="1" w:lastRow="0" w:firstColumn="1" w:lastColumn="0" w:noHBand="0" w:noVBand="1"/>
      </w:tblPr>
      <w:tblGrid>
        <w:gridCol w:w="2221"/>
        <w:gridCol w:w="7129"/>
      </w:tblGrid>
      <w:tr w:rsidR="000C465B" w:rsidRPr="000C465B" w14:paraId="1781FAC0" w14:textId="77777777" w:rsidTr="005F0F3E">
        <w:trPr>
          <w:cantSplit/>
          <w:tblHeader/>
        </w:trPr>
        <w:tc>
          <w:tcPr>
            <w:tcW w:w="2221" w:type="dxa"/>
          </w:tcPr>
          <w:p w14:paraId="0341EAB0" w14:textId="77777777" w:rsidR="000C465B" w:rsidRPr="000C465B" w:rsidRDefault="000C465B" w:rsidP="000C465B">
            <w:pPr>
              <w:spacing w:after="0"/>
              <w:jc w:val="center"/>
              <w:rPr>
                <w:b/>
                <w:sz w:val="20"/>
                <w:szCs w:val="20"/>
              </w:rPr>
            </w:pPr>
            <w:r w:rsidRPr="000C465B">
              <w:rPr>
                <w:b/>
                <w:sz w:val="20"/>
                <w:szCs w:val="20"/>
              </w:rPr>
              <w:t xml:space="preserve">Principle </w:t>
            </w:r>
          </w:p>
          <w:p w14:paraId="12D51916" w14:textId="77777777" w:rsidR="000C465B" w:rsidRPr="000C465B" w:rsidRDefault="000C465B" w:rsidP="000C465B">
            <w:pPr>
              <w:spacing w:after="0"/>
              <w:jc w:val="center"/>
              <w:rPr>
                <w:b/>
                <w:sz w:val="20"/>
                <w:szCs w:val="20"/>
              </w:rPr>
            </w:pPr>
            <w:r w:rsidRPr="000C465B">
              <w:rPr>
                <w:b/>
                <w:sz w:val="20"/>
                <w:szCs w:val="20"/>
              </w:rPr>
              <w:t>and Scope</w:t>
            </w:r>
          </w:p>
        </w:tc>
        <w:tc>
          <w:tcPr>
            <w:tcW w:w="7129" w:type="dxa"/>
          </w:tcPr>
          <w:p w14:paraId="14302ED9" w14:textId="77777777" w:rsidR="000C465B" w:rsidRPr="000C465B" w:rsidRDefault="000C465B" w:rsidP="000C465B">
            <w:pPr>
              <w:spacing w:before="120" w:after="0"/>
              <w:jc w:val="center"/>
              <w:rPr>
                <w:b/>
                <w:sz w:val="20"/>
                <w:szCs w:val="20"/>
              </w:rPr>
            </w:pPr>
            <w:r w:rsidRPr="000C465B">
              <w:rPr>
                <w:b/>
                <w:sz w:val="20"/>
                <w:szCs w:val="20"/>
              </w:rPr>
              <w:t>Detailed Guidance</w:t>
            </w:r>
          </w:p>
        </w:tc>
      </w:tr>
      <w:tr w:rsidR="000C465B" w:rsidRPr="000C465B" w14:paraId="4564012B" w14:textId="77777777" w:rsidTr="005F0F3E">
        <w:trPr>
          <w:cantSplit/>
          <w:trHeight w:val="7793"/>
        </w:trPr>
        <w:tc>
          <w:tcPr>
            <w:tcW w:w="2221" w:type="dxa"/>
          </w:tcPr>
          <w:p w14:paraId="707D48E6" w14:textId="77777777" w:rsidR="000C465B" w:rsidRPr="000C465B" w:rsidRDefault="000C465B" w:rsidP="000C465B">
            <w:pPr>
              <w:spacing w:after="0"/>
              <w:jc w:val="center"/>
              <w:rPr>
                <w:sz w:val="20"/>
                <w:szCs w:val="20"/>
              </w:rPr>
            </w:pPr>
          </w:p>
          <w:p w14:paraId="1162A5C1" w14:textId="77777777" w:rsidR="000C465B" w:rsidRPr="000C465B" w:rsidRDefault="000C465B" w:rsidP="000C465B">
            <w:pPr>
              <w:spacing w:after="0"/>
              <w:jc w:val="left"/>
              <w:rPr>
                <w:sz w:val="20"/>
                <w:szCs w:val="20"/>
              </w:rPr>
            </w:pPr>
            <w:r w:rsidRPr="000C465B">
              <w:rPr>
                <w:sz w:val="20"/>
                <w:szCs w:val="20"/>
              </w:rPr>
              <w:t xml:space="preserve">1. Expression should       be useful for consumers.   </w:t>
            </w:r>
          </w:p>
          <w:p w14:paraId="107D9CE1" w14:textId="77777777" w:rsidR="000C465B" w:rsidRPr="000C465B" w:rsidRDefault="000C465B" w:rsidP="000C465B">
            <w:pPr>
              <w:spacing w:after="0"/>
              <w:jc w:val="left"/>
              <w:rPr>
                <w:sz w:val="20"/>
                <w:szCs w:val="20"/>
              </w:rPr>
            </w:pPr>
          </w:p>
          <w:p w14:paraId="3DF82D51" w14:textId="77777777" w:rsidR="000C465B" w:rsidRPr="000C465B" w:rsidRDefault="000C465B" w:rsidP="000C465B">
            <w:pPr>
              <w:spacing w:after="0"/>
              <w:jc w:val="left"/>
              <w:rPr>
                <w:i/>
                <w:iCs/>
                <w:sz w:val="20"/>
                <w:szCs w:val="20"/>
              </w:rPr>
            </w:pPr>
            <w:r w:rsidRPr="000C465B">
              <w:rPr>
                <w:i/>
                <w:iCs/>
                <w:sz w:val="20"/>
                <w:szCs w:val="20"/>
              </w:rPr>
              <w:t>How does the expression provide practical and helpful information to assist consumers?</w:t>
            </w:r>
          </w:p>
          <w:p w14:paraId="74EF6480" w14:textId="77777777" w:rsidR="000C465B" w:rsidRPr="000C465B" w:rsidRDefault="000C465B" w:rsidP="000C465B">
            <w:pPr>
              <w:spacing w:after="0"/>
              <w:jc w:val="left"/>
              <w:rPr>
                <w:sz w:val="20"/>
                <w:szCs w:val="20"/>
              </w:rPr>
            </w:pPr>
          </w:p>
          <w:p w14:paraId="1EEF67CE" w14:textId="77777777" w:rsidR="000C465B" w:rsidRPr="000C465B" w:rsidRDefault="000C465B" w:rsidP="000C465B">
            <w:pPr>
              <w:spacing w:after="0"/>
              <w:jc w:val="left"/>
              <w:rPr>
                <w:sz w:val="20"/>
                <w:szCs w:val="20"/>
              </w:rPr>
            </w:pPr>
            <w:r w:rsidRPr="000C465B">
              <w:rPr>
                <w:sz w:val="20"/>
                <w:szCs w:val="20"/>
              </w:rPr>
              <w:t>(Applies to all categories)</w:t>
            </w:r>
          </w:p>
        </w:tc>
        <w:tc>
          <w:tcPr>
            <w:tcW w:w="7129" w:type="dxa"/>
          </w:tcPr>
          <w:p w14:paraId="616E137D" w14:textId="77777777" w:rsidR="000C465B" w:rsidRPr="000C465B" w:rsidRDefault="000C465B" w:rsidP="000C465B">
            <w:pPr>
              <w:spacing w:after="0"/>
              <w:jc w:val="left"/>
              <w:rPr>
                <w:sz w:val="20"/>
                <w:szCs w:val="20"/>
              </w:rPr>
            </w:pPr>
          </w:p>
          <w:p w14:paraId="56EE9174" w14:textId="77777777" w:rsidR="000C465B" w:rsidRPr="000C465B" w:rsidRDefault="000C465B" w:rsidP="000C465B">
            <w:pPr>
              <w:spacing w:after="0"/>
              <w:rPr>
                <w:sz w:val="20"/>
                <w:szCs w:val="20"/>
              </w:rPr>
            </w:pPr>
            <w:r w:rsidRPr="000C465B">
              <w:rPr>
                <w:sz w:val="20"/>
                <w:szCs w:val="20"/>
              </w:rPr>
              <w:t xml:space="preserve">Manufacturers should consider whether providing quantity-related information beyond what is in the mandatory Declaration of Net Quantity (DoNQ) will be useful for consumers, and if so, how.  Does the expression increase the clarity of quantity information, educate consumers about product quantity or performance, meaningfully assist with value comparisons, or provide other benefits?  Generally, an additional quantity expression should have a logical or research-based rationale for why the information is useful to consumers.  </w:t>
            </w:r>
          </w:p>
          <w:p w14:paraId="194EF053" w14:textId="77777777" w:rsidR="000C465B" w:rsidRPr="000C465B" w:rsidRDefault="000C465B" w:rsidP="000C465B">
            <w:pPr>
              <w:spacing w:after="0"/>
              <w:jc w:val="left"/>
              <w:rPr>
                <w:sz w:val="20"/>
                <w:szCs w:val="20"/>
              </w:rPr>
            </w:pPr>
          </w:p>
          <w:p w14:paraId="04666A2F" w14:textId="77777777" w:rsidR="000C465B" w:rsidRPr="000C465B" w:rsidRDefault="000C465B" w:rsidP="000C465B">
            <w:pPr>
              <w:spacing w:after="0"/>
              <w:jc w:val="left"/>
              <w:rPr>
                <w:sz w:val="20"/>
                <w:szCs w:val="20"/>
              </w:rPr>
            </w:pPr>
            <w:r w:rsidRPr="000C465B">
              <w:rPr>
                <w:sz w:val="20"/>
                <w:szCs w:val="20"/>
              </w:rPr>
              <w:t xml:space="preserve">For example, voluntary expressions may—   </w:t>
            </w:r>
          </w:p>
          <w:p w14:paraId="6804523B" w14:textId="77777777" w:rsidR="000C465B" w:rsidRPr="000C465B" w:rsidRDefault="000C465B" w:rsidP="000C465B">
            <w:pPr>
              <w:spacing w:after="0"/>
              <w:jc w:val="left"/>
              <w:rPr>
                <w:sz w:val="20"/>
                <w:szCs w:val="20"/>
              </w:rPr>
            </w:pPr>
          </w:p>
          <w:p w14:paraId="08D39461" w14:textId="77777777" w:rsidR="000C465B" w:rsidRPr="000C465B" w:rsidRDefault="000C465B" w:rsidP="000C465B">
            <w:pPr>
              <w:numPr>
                <w:ilvl w:val="0"/>
                <w:numId w:val="131"/>
              </w:numPr>
              <w:spacing w:after="0"/>
              <w:contextualSpacing/>
              <w:jc w:val="left"/>
              <w:rPr>
                <w:rFonts w:eastAsia="Times New Roman"/>
                <w:sz w:val="20"/>
                <w:szCs w:val="20"/>
              </w:rPr>
            </w:pPr>
            <w:r w:rsidRPr="000C465B">
              <w:rPr>
                <w:rFonts w:eastAsia="Times New Roman"/>
                <w:sz w:val="20"/>
                <w:szCs w:val="20"/>
              </w:rPr>
              <w:t xml:space="preserve">Help consumers quickly identify a product on the shelf when there are many similar products in various sizes. </w:t>
            </w:r>
          </w:p>
          <w:p w14:paraId="37EFF2C7" w14:textId="77777777" w:rsidR="000C465B" w:rsidRPr="000C465B" w:rsidRDefault="000C465B" w:rsidP="000C465B">
            <w:pPr>
              <w:numPr>
                <w:ilvl w:val="0"/>
                <w:numId w:val="131"/>
              </w:numPr>
              <w:spacing w:after="0"/>
              <w:contextualSpacing/>
              <w:jc w:val="left"/>
              <w:rPr>
                <w:rFonts w:eastAsia="Times New Roman"/>
                <w:sz w:val="20"/>
                <w:szCs w:val="20"/>
              </w:rPr>
            </w:pPr>
            <w:r w:rsidRPr="000C465B">
              <w:rPr>
                <w:rFonts w:eastAsia="Times New Roman"/>
                <w:sz w:val="20"/>
                <w:szCs w:val="20"/>
              </w:rPr>
              <w:t>Help consumers evaluate products used in different forms (liquid or solid) and different levels of concentration – for example, products that require water to be added as compared to those already containing water.</w:t>
            </w:r>
          </w:p>
          <w:p w14:paraId="0B419636" w14:textId="77777777" w:rsidR="000C465B" w:rsidRPr="000C465B" w:rsidRDefault="000C465B" w:rsidP="000C465B">
            <w:pPr>
              <w:numPr>
                <w:ilvl w:val="0"/>
                <w:numId w:val="131"/>
              </w:numPr>
              <w:spacing w:after="0"/>
              <w:contextualSpacing/>
              <w:jc w:val="left"/>
              <w:rPr>
                <w:rFonts w:eastAsia="Times New Roman"/>
                <w:sz w:val="20"/>
                <w:szCs w:val="20"/>
              </w:rPr>
            </w:pPr>
            <w:r w:rsidRPr="000C465B">
              <w:rPr>
                <w:rFonts w:eastAsia="Times New Roman"/>
                <w:sz w:val="20"/>
                <w:szCs w:val="20"/>
              </w:rPr>
              <w:t xml:space="preserve">Provide a common frame of reference for consumers to make quantity comparisons across multiple possible product forms.  </w:t>
            </w:r>
          </w:p>
          <w:p w14:paraId="6E2C47E4" w14:textId="77777777" w:rsidR="000C465B" w:rsidRPr="000C465B" w:rsidRDefault="000C465B" w:rsidP="000C465B">
            <w:pPr>
              <w:numPr>
                <w:ilvl w:val="0"/>
                <w:numId w:val="131"/>
              </w:numPr>
              <w:spacing w:after="0"/>
              <w:contextualSpacing/>
              <w:jc w:val="left"/>
              <w:rPr>
                <w:rFonts w:eastAsia="Times New Roman"/>
                <w:sz w:val="20"/>
                <w:szCs w:val="20"/>
              </w:rPr>
            </w:pPr>
            <w:r w:rsidRPr="000C465B">
              <w:rPr>
                <w:rFonts w:eastAsia="Times New Roman"/>
                <w:sz w:val="20"/>
                <w:szCs w:val="20"/>
              </w:rPr>
              <w:t xml:space="preserve">Help consumers understand that a new product has a different product concentration or density and how this new product compares to other products.  </w:t>
            </w:r>
          </w:p>
          <w:p w14:paraId="33CEF176" w14:textId="77777777" w:rsidR="000C465B" w:rsidRPr="000C465B" w:rsidRDefault="000C465B" w:rsidP="000C465B">
            <w:pPr>
              <w:numPr>
                <w:ilvl w:val="0"/>
                <w:numId w:val="131"/>
              </w:numPr>
              <w:spacing w:after="0"/>
              <w:contextualSpacing/>
              <w:jc w:val="left"/>
              <w:rPr>
                <w:rFonts w:eastAsia="Times New Roman"/>
                <w:sz w:val="20"/>
                <w:szCs w:val="20"/>
              </w:rPr>
            </w:pPr>
            <w:r w:rsidRPr="000C465B">
              <w:rPr>
                <w:rFonts w:eastAsia="Times New Roman"/>
                <w:sz w:val="20"/>
                <w:szCs w:val="20"/>
              </w:rPr>
              <w:t xml:space="preserve">Educate or reassure consumers about a product in comparison to a previous version of the product or a competitive product.  </w:t>
            </w:r>
          </w:p>
          <w:p w14:paraId="25120A9E" w14:textId="77777777" w:rsidR="000C465B" w:rsidRPr="000C465B" w:rsidRDefault="000C465B" w:rsidP="000C465B">
            <w:pPr>
              <w:spacing w:after="0"/>
              <w:jc w:val="left"/>
              <w:rPr>
                <w:sz w:val="20"/>
                <w:szCs w:val="20"/>
              </w:rPr>
            </w:pPr>
          </w:p>
          <w:p w14:paraId="402E2591" w14:textId="77777777" w:rsidR="000C465B" w:rsidRPr="000C465B" w:rsidRDefault="000C465B" w:rsidP="000C465B">
            <w:pPr>
              <w:spacing w:after="0"/>
              <w:jc w:val="left"/>
              <w:rPr>
                <w:sz w:val="20"/>
                <w:szCs w:val="20"/>
              </w:rPr>
            </w:pPr>
            <w:r w:rsidRPr="000C465B">
              <w:rPr>
                <w:sz w:val="20"/>
                <w:szCs w:val="20"/>
              </w:rPr>
              <w:t>Not every product requires a voluntary expression.</w:t>
            </w:r>
          </w:p>
        </w:tc>
      </w:tr>
      <w:tr w:rsidR="000C465B" w:rsidRPr="000C465B" w14:paraId="070C3D40" w14:textId="77777777" w:rsidTr="005F0F3E">
        <w:tc>
          <w:tcPr>
            <w:tcW w:w="2221" w:type="dxa"/>
          </w:tcPr>
          <w:p w14:paraId="288DB221" w14:textId="77777777" w:rsidR="000C465B" w:rsidRPr="000C465B" w:rsidRDefault="000C465B" w:rsidP="000C465B">
            <w:pPr>
              <w:spacing w:after="0"/>
              <w:jc w:val="center"/>
              <w:rPr>
                <w:sz w:val="20"/>
                <w:szCs w:val="20"/>
              </w:rPr>
            </w:pPr>
          </w:p>
          <w:p w14:paraId="5EF757DB" w14:textId="77777777" w:rsidR="000C465B" w:rsidRPr="000C465B" w:rsidRDefault="000C465B" w:rsidP="000C465B">
            <w:pPr>
              <w:spacing w:after="0"/>
              <w:jc w:val="left"/>
              <w:rPr>
                <w:sz w:val="20"/>
                <w:szCs w:val="20"/>
              </w:rPr>
            </w:pPr>
            <w:r w:rsidRPr="000C465B">
              <w:rPr>
                <w:sz w:val="20"/>
                <w:szCs w:val="20"/>
              </w:rPr>
              <w:t xml:space="preserve">2. Expression must   be accurate and verifiable. </w:t>
            </w:r>
          </w:p>
          <w:p w14:paraId="51F24B6B" w14:textId="77777777" w:rsidR="000C465B" w:rsidRPr="000C465B" w:rsidRDefault="000C465B" w:rsidP="000C465B">
            <w:pPr>
              <w:spacing w:after="0"/>
              <w:jc w:val="left"/>
              <w:rPr>
                <w:sz w:val="20"/>
                <w:szCs w:val="20"/>
              </w:rPr>
            </w:pPr>
          </w:p>
          <w:p w14:paraId="57442010" w14:textId="77777777" w:rsidR="000C465B" w:rsidRPr="000C465B" w:rsidRDefault="000C465B" w:rsidP="000C465B">
            <w:pPr>
              <w:spacing w:after="0"/>
              <w:jc w:val="left"/>
              <w:rPr>
                <w:i/>
                <w:iCs/>
                <w:sz w:val="20"/>
                <w:szCs w:val="20"/>
              </w:rPr>
            </w:pPr>
            <w:r w:rsidRPr="000C465B">
              <w:rPr>
                <w:i/>
                <w:iCs/>
                <w:sz w:val="20"/>
                <w:szCs w:val="20"/>
              </w:rPr>
              <w:t>Is the statement true?</w:t>
            </w:r>
          </w:p>
          <w:p w14:paraId="6B8ED7A2" w14:textId="77777777" w:rsidR="000C465B" w:rsidRPr="000C465B" w:rsidRDefault="000C465B" w:rsidP="000C465B">
            <w:pPr>
              <w:spacing w:after="0"/>
              <w:jc w:val="left"/>
              <w:rPr>
                <w:i/>
                <w:iCs/>
                <w:sz w:val="20"/>
                <w:szCs w:val="20"/>
              </w:rPr>
            </w:pPr>
          </w:p>
          <w:p w14:paraId="61F3492D" w14:textId="77777777" w:rsidR="000C465B" w:rsidRPr="000C465B" w:rsidRDefault="000C465B" w:rsidP="000C465B">
            <w:pPr>
              <w:spacing w:after="0"/>
              <w:jc w:val="left"/>
              <w:rPr>
                <w:i/>
                <w:iCs/>
                <w:sz w:val="20"/>
                <w:szCs w:val="20"/>
              </w:rPr>
            </w:pPr>
            <w:r w:rsidRPr="000C465B">
              <w:rPr>
                <w:i/>
                <w:iCs/>
                <w:sz w:val="20"/>
                <w:szCs w:val="20"/>
              </w:rPr>
              <w:t xml:space="preserve">Can statement accuracy be verified? </w:t>
            </w:r>
          </w:p>
          <w:p w14:paraId="4D4B2FC5" w14:textId="77777777" w:rsidR="000C465B" w:rsidRPr="000C465B" w:rsidRDefault="000C465B" w:rsidP="000C465B">
            <w:pPr>
              <w:spacing w:after="0"/>
              <w:jc w:val="left"/>
              <w:rPr>
                <w:sz w:val="20"/>
                <w:szCs w:val="20"/>
              </w:rPr>
            </w:pPr>
          </w:p>
          <w:p w14:paraId="58746C09" w14:textId="77777777" w:rsidR="000C465B" w:rsidRPr="000C465B" w:rsidRDefault="000C465B" w:rsidP="000C465B">
            <w:pPr>
              <w:spacing w:after="0"/>
              <w:jc w:val="left"/>
              <w:rPr>
                <w:sz w:val="20"/>
                <w:szCs w:val="20"/>
              </w:rPr>
            </w:pPr>
            <w:r w:rsidRPr="000C465B">
              <w:rPr>
                <w:sz w:val="20"/>
                <w:szCs w:val="20"/>
              </w:rPr>
              <w:t>(Applies to all categories)</w:t>
            </w:r>
          </w:p>
          <w:p w14:paraId="05617C73" w14:textId="77777777" w:rsidR="000C465B" w:rsidRPr="000C465B" w:rsidRDefault="000C465B" w:rsidP="000C465B">
            <w:pPr>
              <w:spacing w:after="0"/>
              <w:jc w:val="center"/>
              <w:rPr>
                <w:sz w:val="20"/>
                <w:szCs w:val="20"/>
              </w:rPr>
            </w:pPr>
          </w:p>
          <w:p w14:paraId="07EFFFD4" w14:textId="77777777" w:rsidR="000C465B" w:rsidRPr="000C465B" w:rsidRDefault="000C465B" w:rsidP="000C465B">
            <w:pPr>
              <w:spacing w:after="0"/>
              <w:jc w:val="center"/>
              <w:rPr>
                <w:sz w:val="20"/>
                <w:szCs w:val="20"/>
              </w:rPr>
            </w:pPr>
          </w:p>
        </w:tc>
        <w:tc>
          <w:tcPr>
            <w:tcW w:w="7129" w:type="dxa"/>
          </w:tcPr>
          <w:p w14:paraId="1D361666" w14:textId="77777777" w:rsidR="000C465B" w:rsidRPr="000C465B" w:rsidRDefault="000C465B" w:rsidP="000C465B">
            <w:pPr>
              <w:spacing w:after="0"/>
              <w:rPr>
                <w:sz w:val="20"/>
                <w:szCs w:val="20"/>
              </w:rPr>
            </w:pPr>
          </w:p>
          <w:p w14:paraId="3F060B3D" w14:textId="77777777" w:rsidR="000C465B" w:rsidRPr="000C465B" w:rsidRDefault="000C465B" w:rsidP="000C465B">
            <w:pPr>
              <w:spacing w:after="0"/>
              <w:rPr>
                <w:sz w:val="20"/>
                <w:szCs w:val="20"/>
              </w:rPr>
            </w:pPr>
            <w:r w:rsidRPr="000C465B">
              <w:rPr>
                <w:sz w:val="20"/>
                <w:szCs w:val="20"/>
              </w:rPr>
              <w:t>Voluntary expressions that contain quantity-related information must be accurate and verifiable using appropriate objective evaluative procedures and are subject to external evaluation and confirmation.</w:t>
            </w:r>
          </w:p>
          <w:p w14:paraId="65EA083D" w14:textId="77777777" w:rsidR="000C465B" w:rsidRPr="000C465B" w:rsidRDefault="000C465B" w:rsidP="000C465B">
            <w:pPr>
              <w:spacing w:after="0"/>
              <w:rPr>
                <w:sz w:val="20"/>
                <w:szCs w:val="20"/>
              </w:rPr>
            </w:pPr>
          </w:p>
          <w:p w14:paraId="5E4AE745" w14:textId="77777777" w:rsidR="000C465B" w:rsidRPr="000C465B" w:rsidRDefault="000C465B" w:rsidP="000C465B">
            <w:pPr>
              <w:spacing w:after="0"/>
              <w:rPr>
                <w:sz w:val="20"/>
                <w:szCs w:val="20"/>
              </w:rPr>
            </w:pPr>
            <w:r w:rsidRPr="000C465B">
              <w:rPr>
                <w:b/>
                <w:sz w:val="20"/>
                <w:szCs w:val="20"/>
              </w:rPr>
              <w:t>For expressions using defined units of measure or count</w:t>
            </w:r>
            <w:r w:rsidRPr="000C465B">
              <w:rPr>
                <w:sz w:val="20"/>
                <w:szCs w:val="20"/>
              </w:rPr>
              <w:t xml:space="preserve">, accuracy should be based on test methodologies recognized by appropriate authorities such as a federal, state or international agency or standards organization.  This includes content expressions embedded in a Declaration of Identity. </w:t>
            </w:r>
          </w:p>
          <w:p w14:paraId="7A973D78" w14:textId="77777777" w:rsidR="000C465B" w:rsidRPr="000C465B" w:rsidRDefault="000C465B" w:rsidP="000C465B">
            <w:pPr>
              <w:spacing w:after="0"/>
              <w:rPr>
                <w:sz w:val="20"/>
                <w:szCs w:val="20"/>
              </w:rPr>
            </w:pPr>
          </w:p>
          <w:p w14:paraId="171E2B05" w14:textId="77777777" w:rsidR="000C465B" w:rsidRPr="000C465B" w:rsidRDefault="000C465B" w:rsidP="000C465B">
            <w:pPr>
              <w:spacing w:after="0"/>
              <w:rPr>
                <w:sz w:val="20"/>
                <w:szCs w:val="20"/>
              </w:rPr>
            </w:pPr>
            <w:r w:rsidRPr="000C465B">
              <w:rPr>
                <w:b/>
                <w:sz w:val="20"/>
                <w:szCs w:val="20"/>
              </w:rPr>
              <w:t>For expressions relating to product reconstitution</w:t>
            </w:r>
            <w:r w:rsidRPr="000C465B">
              <w:rPr>
                <w:sz w:val="20"/>
                <w:szCs w:val="20"/>
              </w:rPr>
              <w:t xml:space="preserve">, accuracy should be based upon the directions for product preparation appearing on the product label and test methodologies recognized by appropriate authorities such as a federal, state, or international agency or standards organization.  </w:t>
            </w:r>
          </w:p>
          <w:p w14:paraId="7B650D32" w14:textId="77777777" w:rsidR="000C465B" w:rsidRPr="000C465B" w:rsidRDefault="000C465B" w:rsidP="000C465B">
            <w:pPr>
              <w:spacing w:after="0"/>
              <w:rPr>
                <w:sz w:val="20"/>
                <w:szCs w:val="20"/>
              </w:rPr>
            </w:pPr>
          </w:p>
          <w:p w14:paraId="6EB821B6" w14:textId="77777777" w:rsidR="000C465B" w:rsidRPr="000C465B" w:rsidRDefault="000C465B" w:rsidP="000C465B">
            <w:pPr>
              <w:spacing w:after="0"/>
              <w:rPr>
                <w:sz w:val="20"/>
                <w:szCs w:val="20"/>
              </w:rPr>
            </w:pPr>
            <w:r w:rsidRPr="000C465B">
              <w:rPr>
                <w:b/>
                <w:sz w:val="20"/>
                <w:szCs w:val="20"/>
              </w:rPr>
              <w:t>For Derived Unit Expressions (DUEs) and Comparative Performance Representations (CPR’s),</w:t>
            </w:r>
            <w:r w:rsidRPr="000C465B">
              <w:rPr>
                <w:sz w:val="20"/>
                <w:szCs w:val="20"/>
              </w:rPr>
              <w:t xml:space="preserve"> accuracy should be based upon the unit definitions (which </w:t>
            </w:r>
            <w:r w:rsidRPr="000C465B">
              <w:rPr>
                <w:sz w:val="20"/>
                <w:szCs w:val="20"/>
              </w:rPr>
              <w:lastRenderedPageBreak/>
              <w:t xml:space="preserve">must be present on the product label) and verified using objective testing procedures.    For example, since a Derived Unit Expresssion (DUE) does not use a unit of legal metrology, a manufacturer must define that unit on the package label, ensure an appropriate test method or validation process for quantifying the unit has been established, and ensure the expression appearing on the Principal Display Panel (PDP) is accurate and verifiable.  Where possible, the accuracy of the declaration should be based on test methodologies recognized by appropriate authorities such as a federal, state or international agency of authority.  </w:t>
            </w:r>
          </w:p>
          <w:p w14:paraId="28F22859" w14:textId="77777777" w:rsidR="000C465B" w:rsidRPr="000C465B" w:rsidRDefault="000C465B" w:rsidP="000C465B">
            <w:pPr>
              <w:spacing w:after="0"/>
              <w:rPr>
                <w:sz w:val="20"/>
                <w:szCs w:val="20"/>
              </w:rPr>
            </w:pPr>
          </w:p>
          <w:p w14:paraId="6D02A117" w14:textId="77777777" w:rsidR="000C465B" w:rsidRPr="000C465B" w:rsidRDefault="000C465B" w:rsidP="000C465B">
            <w:pPr>
              <w:spacing w:after="0"/>
              <w:rPr>
                <w:sz w:val="20"/>
                <w:szCs w:val="20"/>
              </w:rPr>
            </w:pPr>
            <w:r w:rsidRPr="000C465B">
              <w:rPr>
                <w:sz w:val="20"/>
                <w:szCs w:val="20"/>
              </w:rPr>
              <w:t xml:space="preserve">Statement accuracy must be supportable by manufacturer data and is subject to external evaluation and confirmation. </w:t>
            </w:r>
          </w:p>
          <w:p w14:paraId="18EAE97E" w14:textId="77777777" w:rsidR="000C465B" w:rsidRPr="000C465B" w:rsidRDefault="000C465B" w:rsidP="000C465B">
            <w:pPr>
              <w:spacing w:after="0"/>
              <w:rPr>
                <w:sz w:val="20"/>
                <w:szCs w:val="20"/>
              </w:rPr>
            </w:pPr>
          </w:p>
        </w:tc>
      </w:tr>
      <w:tr w:rsidR="000C465B" w:rsidRPr="000C465B" w14:paraId="19D1EFFE" w14:textId="77777777" w:rsidTr="005F0F3E">
        <w:tc>
          <w:tcPr>
            <w:tcW w:w="2221" w:type="dxa"/>
          </w:tcPr>
          <w:p w14:paraId="7B9675BF" w14:textId="77777777" w:rsidR="000C465B" w:rsidRPr="000C465B" w:rsidRDefault="000C465B" w:rsidP="000C465B">
            <w:pPr>
              <w:spacing w:after="0"/>
              <w:jc w:val="center"/>
              <w:rPr>
                <w:sz w:val="20"/>
                <w:szCs w:val="20"/>
              </w:rPr>
            </w:pPr>
          </w:p>
          <w:p w14:paraId="563014C0" w14:textId="77777777" w:rsidR="000C465B" w:rsidRPr="000C465B" w:rsidRDefault="000C465B" w:rsidP="000C465B">
            <w:pPr>
              <w:spacing w:after="0"/>
              <w:jc w:val="left"/>
              <w:rPr>
                <w:sz w:val="20"/>
                <w:szCs w:val="20"/>
              </w:rPr>
            </w:pPr>
            <w:r w:rsidRPr="000C465B">
              <w:rPr>
                <w:sz w:val="20"/>
                <w:szCs w:val="20"/>
              </w:rPr>
              <w:t>3. Expression must be Clear and Unambiguous</w:t>
            </w:r>
          </w:p>
          <w:p w14:paraId="0D98E70A" w14:textId="77777777" w:rsidR="000C465B" w:rsidRPr="000C465B" w:rsidRDefault="000C465B" w:rsidP="000C465B">
            <w:pPr>
              <w:spacing w:after="0"/>
              <w:jc w:val="left"/>
              <w:rPr>
                <w:sz w:val="20"/>
                <w:szCs w:val="20"/>
              </w:rPr>
            </w:pPr>
          </w:p>
          <w:p w14:paraId="3DE42394" w14:textId="77777777" w:rsidR="000C465B" w:rsidRPr="000C465B" w:rsidRDefault="000C465B" w:rsidP="000C465B">
            <w:pPr>
              <w:spacing w:after="0"/>
              <w:jc w:val="left"/>
              <w:rPr>
                <w:i/>
                <w:iCs/>
                <w:sz w:val="20"/>
                <w:szCs w:val="20"/>
              </w:rPr>
            </w:pPr>
            <w:r w:rsidRPr="000C465B">
              <w:rPr>
                <w:i/>
                <w:iCs/>
                <w:sz w:val="20"/>
                <w:szCs w:val="20"/>
              </w:rPr>
              <w:t>Is the intended meaning easy to understand?</w:t>
            </w:r>
          </w:p>
          <w:p w14:paraId="7435C066" w14:textId="77777777" w:rsidR="000C465B" w:rsidRPr="000C465B" w:rsidRDefault="000C465B" w:rsidP="000C465B">
            <w:pPr>
              <w:spacing w:after="0"/>
              <w:jc w:val="left"/>
              <w:rPr>
                <w:sz w:val="20"/>
                <w:szCs w:val="20"/>
              </w:rPr>
            </w:pPr>
          </w:p>
          <w:p w14:paraId="4D230EE0" w14:textId="77777777" w:rsidR="000C465B" w:rsidRPr="000C465B" w:rsidRDefault="000C465B" w:rsidP="000C465B">
            <w:pPr>
              <w:spacing w:after="0"/>
              <w:jc w:val="left"/>
              <w:rPr>
                <w:sz w:val="20"/>
                <w:szCs w:val="20"/>
              </w:rPr>
            </w:pPr>
            <w:r w:rsidRPr="000C465B">
              <w:rPr>
                <w:sz w:val="20"/>
                <w:szCs w:val="20"/>
              </w:rPr>
              <w:t>(Applies to all categories)</w:t>
            </w:r>
          </w:p>
          <w:p w14:paraId="54FE9119" w14:textId="77777777" w:rsidR="000C465B" w:rsidRPr="000C465B" w:rsidRDefault="000C465B" w:rsidP="000C465B">
            <w:pPr>
              <w:spacing w:after="0"/>
              <w:jc w:val="center"/>
              <w:rPr>
                <w:sz w:val="20"/>
                <w:szCs w:val="20"/>
              </w:rPr>
            </w:pPr>
          </w:p>
          <w:p w14:paraId="4511513C" w14:textId="77777777" w:rsidR="000C465B" w:rsidRPr="000C465B" w:rsidRDefault="000C465B" w:rsidP="000C465B">
            <w:pPr>
              <w:spacing w:after="0"/>
              <w:jc w:val="center"/>
              <w:rPr>
                <w:sz w:val="20"/>
                <w:szCs w:val="20"/>
              </w:rPr>
            </w:pPr>
          </w:p>
          <w:p w14:paraId="44664CE1" w14:textId="77777777" w:rsidR="000C465B" w:rsidRPr="000C465B" w:rsidRDefault="000C465B" w:rsidP="000C465B">
            <w:pPr>
              <w:spacing w:after="0"/>
              <w:jc w:val="center"/>
              <w:rPr>
                <w:sz w:val="20"/>
                <w:szCs w:val="20"/>
              </w:rPr>
            </w:pPr>
          </w:p>
          <w:p w14:paraId="23A024AA" w14:textId="77777777" w:rsidR="000C465B" w:rsidRPr="000C465B" w:rsidRDefault="000C465B" w:rsidP="000C465B">
            <w:pPr>
              <w:spacing w:after="0"/>
              <w:jc w:val="left"/>
              <w:rPr>
                <w:sz w:val="20"/>
                <w:szCs w:val="20"/>
              </w:rPr>
            </w:pPr>
          </w:p>
        </w:tc>
        <w:tc>
          <w:tcPr>
            <w:tcW w:w="7129" w:type="dxa"/>
          </w:tcPr>
          <w:p w14:paraId="51AB47D4" w14:textId="77777777" w:rsidR="000C465B" w:rsidRPr="000C465B" w:rsidRDefault="000C465B" w:rsidP="000C465B">
            <w:pPr>
              <w:spacing w:after="0"/>
              <w:jc w:val="left"/>
              <w:rPr>
                <w:sz w:val="20"/>
                <w:szCs w:val="20"/>
              </w:rPr>
            </w:pPr>
          </w:p>
          <w:p w14:paraId="32EF6117" w14:textId="77777777" w:rsidR="000C465B" w:rsidRPr="000C465B" w:rsidRDefault="000C465B" w:rsidP="000C465B">
            <w:pPr>
              <w:spacing w:after="0"/>
              <w:rPr>
                <w:bCs/>
                <w:sz w:val="20"/>
                <w:szCs w:val="20"/>
              </w:rPr>
            </w:pPr>
            <w:r w:rsidRPr="000C465B">
              <w:rPr>
                <w:sz w:val="20"/>
                <w:szCs w:val="20"/>
              </w:rPr>
              <w:t xml:space="preserve">Voluntary expressions which contain quantity-related statements must be </w:t>
            </w:r>
            <w:r w:rsidRPr="000C465B">
              <w:rPr>
                <w:bCs/>
                <w:sz w:val="20"/>
                <w:szCs w:val="20"/>
              </w:rPr>
              <w:t>clear and unambiguous.</w:t>
            </w:r>
          </w:p>
          <w:p w14:paraId="246C775D" w14:textId="77777777" w:rsidR="000C465B" w:rsidRPr="000C465B" w:rsidRDefault="000C465B" w:rsidP="000C465B">
            <w:pPr>
              <w:spacing w:after="0"/>
              <w:rPr>
                <w:b/>
                <w:bCs/>
                <w:sz w:val="20"/>
                <w:szCs w:val="20"/>
              </w:rPr>
            </w:pPr>
          </w:p>
          <w:p w14:paraId="702BF39D" w14:textId="77777777" w:rsidR="000C465B" w:rsidRPr="000C465B" w:rsidRDefault="000C465B" w:rsidP="000C465B">
            <w:pPr>
              <w:spacing w:after="0"/>
              <w:rPr>
                <w:sz w:val="20"/>
                <w:szCs w:val="20"/>
              </w:rPr>
            </w:pPr>
            <w:r w:rsidRPr="000C465B">
              <w:rPr>
                <w:sz w:val="20"/>
                <w:szCs w:val="20"/>
              </w:rPr>
              <w:t xml:space="preserve">Short expressions appearing in terms of recognized units with little to no modification such “2 Cups”, “5 Yards of Twine”, “1.5 Kilograms” or “3 Liters of Water” are typically straightforward and are generally presumed to be clear and unambiguous.    </w:t>
            </w:r>
          </w:p>
          <w:p w14:paraId="612DBD27" w14:textId="77777777" w:rsidR="000C465B" w:rsidRPr="000C465B" w:rsidRDefault="000C465B" w:rsidP="000C465B">
            <w:pPr>
              <w:spacing w:after="0"/>
              <w:rPr>
                <w:sz w:val="20"/>
                <w:szCs w:val="20"/>
              </w:rPr>
            </w:pPr>
          </w:p>
          <w:p w14:paraId="32BE6965" w14:textId="77777777" w:rsidR="000C465B" w:rsidRPr="000C465B" w:rsidRDefault="000C465B" w:rsidP="000C465B">
            <w:pPr>
              <w:spacing w:after="0"/>
              <w:rPr>
                <w:sz w:val="20"/>
                <w:szCs w:val="20"/>
              </w:rPr>
            </w:pPr>
            <w:r w:rsidRPr="000C465B">
              <w:rPr>
                <w:sz w:val="20"/>
                <w:szCs w:val="20"/>
              </w:rPr>
              <w:t xml:space="preserve">The use of additional language accompanying quantity-related terms requires careful consideration and evaluation to ensure their clarity, accuracy, and relevance. Statements that do not provide information to the consumer about the contents of a specific package should not appear on the Principal Display Panel (PDP).  </w:t>
            </w:r>
            <w:r w:rsidRPr="000C465B">
              <w:rPr>
                <w:color w:val="FF0000"/>
                <w:sz w:val="20"/>
                <w:szCs w:val="20"/>
              </w:rPr>
              <w:t xml:space="preserve">  </w:t>
            </w:r>
          </w:p>
          <w:p w14:paraId="4DDE1491" w14:textId="77777777" w:rsidR="000C465B" w:rsidRPr="000C465B" w:rsidRDefault="000C465B" w:rsidP="000C465B">
            <w:pPr>
              <w:spacing w:after="0"/>
              <w:jc w:val="left"/>
              <w:rPr>
                <w:sz w:val="20"/>
                <w:szCs w:val="20"/>
              </w:rPr>
            </w:pPr>
          </w:p>
          <w:p w14:paraId="5BC7E673" w14:textId="77777777" w:rsidR="000C465B" w:rsidRPr="000C465B" w:rsidRDefault="000C465B" w:rsidP="000C465B">
            <w:pPr>
              <w:numPr>
                <w:ilvl w:val="0"/>
                <w:numId w:val="132"/>
              </w:numPr>
              <w:spacing w:after="0"/>
              <w:contextualSpacing/>
              <w:jc w:val="left"/>
              <w:rPr>
                <w:rFonts w:eastAsia="Times New Roman"/>
                <w:sz w:val="20"/>
                <w:szCs w:val="20"/>
              </w:rPr>
            </w:pPr>
            <w:r w:rsidRPr="000C465B">
              <w:rPr>
                <w:rFonts w:eastAsia="Times New Roman"/>
                <w:sz w:val="20"/>
                <w:szCs w:val="20"/>
              </w:rPr>
              <w:t xml:space="preserve">Expressions that contain quantity information and appear on the PDP separate from the DoNQ must be accurate, non-misleading, useful, relevant, and verifiable on the basis of the content of the individual package.  Statements such as “Approximately 50 Cookies”, “About 2 Cups”, “300 Pencils on Average” or “Up to 50 Cookies” provide little assurance of the quantity contained in any given individual package.  In these examples, a consumer purchasing one package may receive less than the amount stated in the expression, more than the amount stated in the expression or exactly the stated amount.  While a statement of “approximately 25 candy bars” may be a technically correct statement based on manufacturing variability, this statement provides a consumer who purchases a single package with little assurance that the specific package they select contains 25 – it may be more, it may be less.  As a result, statements using “about,” “approximately,” “up to” and similar terms are not recommended to appear on the PDP because they are generally considered unclear and ambiguous.  </w:t>
            </w:r>
          </w:p>
          <w:p w14:paraId="1EE0B993" w14:textId="77777777" w:rsidR="000C465B" w:rsidRPr="000C465B" w:rsidRDefault="000C465B" w:rsidP="000C465B">
            <w:pPr>
              <w:numPr>
                <w:ilvl w:val="0"/>
                <w:numId w:val="132"/>
              </w:numPr>
              <w:spacing w:after="0"/>
              <w:contextualSpacing/>
              <w:jc w:val="left"/>
              <w:rPr>
                <w:rFonts w:eastAsia="Times New Roman"/>
                <w:sz w:val="20"/>
                <w:szCs w:val="20"/>
              </w:rPr>
            </w:pPr>
            <w:r w:rsidRPr="000C465B">
              <w:rPr>
                <w:rFonts w:eastAsia="Times New Roman"/>
                <w:sz w:val="20"/>
                <w:szCs w:val="20"/>
              </w:rPr>
              <w:t>An expression such as “Contains Less than 49 Cookies” may be an accurate and verifiable statement but does not provide the consumer with relevant and useful information.</w:t>
            </w:r>
          </w:p>
          <w:p w14:paraId="2E3BF02E" w14:textId="77777777" w:rsidR="000C465B" w:rsidRPr="000C465B" w:rsidRDefault="000C465B" w:rsidP="000C465B">
            <w:pPr>
              <w:numPr>
                <w:ilvl w:val="0"/>
                <w:numId w:val="132"/>
              </w:numPr>
              <w:spacing w:after="0"/>
              <w:contextualSpacing/>
              <w:jc w:val="left"/>
              <w:rPr>
                <w:rFonts w:eastAsia="Times New Roman"/>
                <w:sz w:val="20"/>
                <w:szCs w:val="20"/>
              </w:rPr>
            </w:pPr>
            <w:r w:rsidRPr="000C465B">
              <w:rPr>
                <w:rFonts w:eastAsia="Times New Roman"/>
                <w:sz w:val="20"/>
                <w:szCs w:val="20"/>
              </w:rPr>
              <w:t>An expression such as “Good for 30 Applications” provides clear and verifiable information which can be verifiable whereas expressions such as “Provides Up to 30 Applications” or “30 Applications on Average” may overestimate or underestimate what a consumer should expect.</w:t>
            </w:r>
          </w:p>
          <w:p w14:paraId="4C79DBE4" w14:textId="77777777" w:rsidR="000C465B" w:rsidRPr="000C465B" w:rsidRDefault="000C465B" w:rsidP="000C465B">
            <w:pPr>
              <w:spacing w:after="0"/>
              <w:jc w:val="left"/>
              <w:rPr>
                <w:sz w:val="20"/>
                <w:szCs w:val="20"/>
              </w:rPr>
            </w:pPr>
          </w:p>
          <w:p w14:paraId="79F5A918" w14:textId="77777777" w:rsidR="000C465B" w:rsidRPr="000C465B" w:rsidRDefault="000C465B" w:rsidP="000C465B">
            <w:pPr>
              <w:spacing w:after="0"/>
              <w:rPr>
                <w:sz w:val="20"/>
                <w:szCs w:val="20"/>
              </w:rPr>
            </w:pPr>
            <w:r w:rsidRPr="000C465B">
              <w:rPr>
                <w:sz w:val="20"/>
                <w:szCs w:val="20"/>
              </w:rPr>
              <w:t xml:space="preserve">Expressions regarding reconstituted quantities must, clearly indicated information about the amount of ready-to-use product a consumer should expect a package to deliver based on clear label instructions for product preparation. These statements would have to be clearly distinct from the required net quantity information provided in the DoNQ. In many instances, manufacturers use icons to provide reconstituted </w:t>
            </w:r>
            <w:r w:rsidRPr="000C465B">
              <w:rPr>
                <w:sz w:val="20"/>
                <w:szCs w:val="20"/>
              </w:rPr>
              <w:lastRenderedPageBreak/>
              <w:t xml:space="preserve">information since icons efficiently provide both reconstituted product information and distinctness and separation from the DoNQ.  </w:t>
            </w:r>
          </w:p>
          <w:p w14:paraId="6064F3CE" w14:textId="77777777" w:rsidR="000C465B" w:rsidRPr="000C465B" w:rsidRDefault="000C465B" w:rsidP="000C465B">
            <w:pPr>
              <w:spacing w:after="0"/>
              <w:rPr>
                <w:sz w:val="20"/>
                <w:szCs w:val="20"/>
              </w:rPr>
            </w:pPr>
          </w:p>
          <w:p w14:paraId="1BEA09DE" w14:textId="77777777" w:rsidR="000C465B" w:rsidRPr="000C465B" w:rsidRDefault="000C465B" w:rsidP="000C465B">
            <w:pPr>
              <w:spacing w:after="0"/>
              <w:rPr>
                <w:sz w:val="20"/>
                <w:szCs w:val="20"/>
              </w:rPr>
            </w:pPr>
            <w:r w:rsidRPr="000C465B">
              <w:rPr>
                <w:sz w:val="20"/>
                <w:szCs w:val="20"/>
              </w:rPr>
              <w:t xml:space="preserve">Expressions containing a derived unit require that the manufacturer define the derived unit on the package label so that is it available for consumer inspection prior to product purchase.   Expressions that include one or more derived units have to be clearly distinct from the information provided by the required Declaration of Net Quantity (DoNQ). In many instances, manufacturers use icons to provide derived unit information since icons are an effective means to provide additional consumer information which is clearly distinct from the DoNQ.  </w:t>
            </w:r>
          </w:p>
          <w:p w14:paraId="7C894FEE" w14:textId="77777777" w:rsidR="000C465B" w:rsidRPr="000C465B" w:rsidRDefault="000C465B" w:rsidP="000C465B">
            <w:pPr>
              <w:spacing w:after="0"/>
              <w:rPr>
                <w:sz w:val="20"/>
                <w:szCs w:val="20"/>
              </w:rPr>
            </w:pPr>
          </w:p>
          <w:p w14:paraId="3ACC45D6" w14:textId="77777777" w:rsidR="000C465B" w:rsidRPr="000C465B" w:rsidRDefault="000C465B" w:rsidP="000C465B">
            <w:pPr>
              <w:spacing w:after="0"/>
              <w:rPr>
                <w:sz w:val="20"/>
                <w:szCs w:val="20"/>
              </w:rPr>
            </w:pPr>
            <w:r w:rsidRPr="000C465B">
              <w:rPr>
                <w:sz w:val="20"/>
                <w:szCs w:val="20"/>
              </w:rPr>
              <w:t xml:space="preserve">Comparative statements, including Comparative Quantity Representations (CQRs) and Comparative Performance Representations (CPR’s), need to be complete and balanced expressions which help the consumer understand how the package with the statement compares to other packages.  While product comparison information provided by CQRs and CPR’s can often be difficult to communicate in a limited amount of space or limited number of words, it is imperative that a manufacturer ensure a comparative statement appearing on the PDP is a complete, stand-alone statement.   While an asterisk may be used to provide additional information substantiating the comparative statement, a manufacturer should not rely on the asterisked information to explain what a comparative statement really means.  When an asterisk is used, the added information needs to be provided on the outer package label in a location and font type consistent with other regulatory required information required on other non-PDP panels of the package.  Comparative statements must be complete, meaning they can stand on their own in communicating enough information for a consumer to correctly understand the intended message without having to inspect the rest of the package.  </w:t>
            </w:r>
          </w:p>
          <w:p w14:paraId="499FFDA1" w14:textId="77777777" w:rsidR="000C465B" w:rsidRPr="000C465B" w:rsidRDefault="000C465B" w:rsidP="000C465B">
            <w:pPr>
              <w:spacing w:after="0"/>
              <w:jc w:val="left"/>
              <w:rPr>
                <w:sz w:val="20"/>
                <w:szCs w:val="20"/>
              </w:rPr>
            </w:pPr>
          </w:p>
        </w:tc>
      </w:tr>
      <w:tr w:rsidR="000C465B" w:rsidRPr="000C465B" w14:paraId="17DBE9C6" w14:textId="77777777" w:rsidTr="005F0F3E">
        <w:tc>
          <w:tcPr>
            <w:tcW w:w="2221" w:type="dxa"/>
          </w:tcPr>
          <w:p w14:paraId="25F0A955" w14:textId="77777777" w:rsidR="000C465B" w:rsidRPr="000C465B" w:rsidRDefault="000C465B" w:rsidP="000C465B">
            <w:pPr>
              <w:spacing w:after="0"/>
              <w:jc w:val="center"/>
              <w:rPr>
                <w:sz w:val="20"/>
                <w:szCs w:val="20"/>
              </w:rPr>
            </w:pPr>
          </w:p>
          <w:p w14:paraId="1C9CF55A" w14:textId="77777777" w:rsidR="000C465B" w:rsidRPr="000C465B" w:rsidRDefault="000C465B" w:rsidP="000C465B">
            <w:pPr>
              <w:spacing w:after="0"/>
              <w:jc w:val="left"/>
              <w:rPr>
                <w:sz w:val="20"/>
                <w:szCs w:val="20"/>
              </w:rPr>
            </w:pPr>
            <w:r w:rsidRPr="000C465B">
              <w:rPr>
                <w:sz w:val="20"/>
                <w:szCs w:val="20"/>
              </w:rPr>
              <w:t>4. Expressions must not Conflict with the Information in the Mandatory Declaration of Net Quantity (DoNQ).</w:t>
            </w:r>
          </w:p>
          <w:p w14:paraId="4C7D3E82" w14:textId="77777777" w:rsidR="000C465B" w:rsidRPr="000C465B" w:rsidRDefault="000C465B" w:rsidP="000C465B">
            <w:pPr>
              <w:spacing w:after="0"/>
              <w:jc w:val="left"/>
              <w:rPr>
                <w:sz w:val="20"/>
                <w:szCs w:val="20"/>
              </w:rPr>
            </w:pPr>
          </w:p>
          <w:p w14:paraId="7BD3DFA2" w14:textId="77777777" w:rsidR="000C465B" w:rsidRPr="000C465B" w:rsidRDefault="000C465B" w:rsidP="000C465B">
            <w:pPr>
              <w:spacing w:after="0"/>
              <w:jc w:val="left"/>
              <w:rPr>
                <w:i/>
                <w:iCs/>
                <w:sz w:val="20"/>
                <w:szCs w:val="20"/>
              </w:rPr>
            </w:pPr>
            <w:r w:rsidRPr="000C465B">
              <w:rPr>
                <w:i/>
                <w:iCs/>
                <w:sz w:val="20"/>
                <w:szCs w:val="20"/>
              </w:rPr>
              <w:t>Is the statement consistent with the mandatory DoNQ?</w:t>
            </w:r>
          </w:p>
          <w:p w14:paraId="0A3744F6" w14:textId="77777777" w:rsidR="000C465B" w:rsidRPr="000C465B" w:rsidRDefault="000C465B" w:rsidP="000C465B">
            <w:pPr>
              <w:spacing w:after="0"/>
              <w:jc w:val="left"/>
              <w:rPr>
                <w:sz w:val="20"/>
                <w:szCs w:val="20"/>
              </w:rPr>
            </w:pPr>
          </w:p>
          <w:p w14:paraId="055D55A1" w14:textId="77777777" w:rsidR="000C465B" w:rsidRPr="000C465B" w:rsidRDefault="000C465B" w:rsidP="000C465B">
            <w:pPr>
              <w:spacing w:after="0"/>
              <w:jc w:val="left"/>
              <w:rPr>
                <w:sz w:val="20"/>
                <w:szCs w:val="20"/>
              </w:rPr>
            </w:pPr>
            <w:r w:rsidRPr="000C465B">
              <w:rPr>
                <w:sz w:val="20"/>
                <w:szCs w:val="20"/>
              </w:rPr>
              <w:t>(Applies to all categories)</w:t>
            </w:r>
          </w:p>
        </w:tc>
        <w:tc>
          <w:tcPr>
            <w:tcW w:w="7129" w:type="dxa"/>
          </w:tcPr>
          <w:p w14:paraId="68AAC72B" w14:textId="77777777" w:rsidR="000C465B" w:rsidRPr="000C465B" w:rsidRDefault="000C465B" w:rsidP="000C465B">
            <w:pPr>
              <w:spacing w:after="0"/>
              <w:jc w:val="left"/>
              <w:rPr>
                <w:sz w:val="20"/>
                <w:szCs w:val="20"/>
              </w:rPr>
            </w:pPr>
          </w:p>
          <w:p w14:paraId="7AA7B9F9" w14:textId="77777777" w:rsidR="000C465B" w:rsidRPr="000C465B" w:rsidRDefault="000C465B" w:rsidP="000C465B">
            <w:pPr>
              <w:spacing w:after="0"/>
              <w:rPr>
                <w:sz w:val="20"/>
                <w:szCs w:val="20"/>
              </w:rPr>
            </w:pPr>
            <w:r w:rsidRPr="000C465B">
              <w:rPr>
                <w:sz w:val="20"/>
                <w:szCs w:val="20"/>
              </w:rPr>
              <w:t>Voluntary expressions which contain quantity-related information should provide information which is equivalent to or consistent with the information present in the required DoNQ.  Expressions may:</w:t>
            </w:r>
          </w:p>
          <w:p w14:paraId="0F96813E" w14:textId="77777777" w:rsidR="000C465B" w:rsidRPr="000C465B" w:rsidRDefault="000C465B" w:rsidP="000C465B">
            <w:pPr>
              <w:spacing w:after="0"/>
              <w:jc w:val="left"/>
              <w:rPr>
                <w:sz w:val="20"/>
                <w:szCs w:val="20"/>
              </w:rPr>
            </w:pPr>
          </w:p>
          <w:p w14:paraId="1BE8DDB3"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Simply repeat a portion of the of the DoNQ, such as “2 Pounds”</w:t>
            </w:r>
          </w:p>
          <w:p w14:paraId="4F8DDC04"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Provide an equivalent information such as “4 Quarts” when DoNQ states “1 gallon”.</w:t>
            </w:r>
          </w:p>
          <w:p w14:paraId="103E63F1"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Provide accurate and consistent information such as “Over 1 Quart” when DoNQ is “1 Liter”.</w:t>
            </w:r>
          </w:p>
          <w:p w14:paraId="448CC9E6"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Provide information in terms of other legal metrological units not represented in the DoNQ such as a volume declaration when product is labeled “2 pounds”.</w:t>
            </w:r>
          </w:p>
          <w:p w14:paraId="682A62FB"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Provide information in terms of count that is not provided in the DoNQ</w:t>
            </w:r>
          </w:p>
          <w:p w14:paraId="3D241CA3"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Provide information on the reconstituted quantity consistent with the declared net quantity and preparation instructions.</w:t>
            </w:r>
          </w:p>
          <w:p w14:paraId="2D6B70CF"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 xml:space="preserve">Provide information in terms of a derived unit consistent with the definition of the derived unit provided on the package. </w:t>
            </w:r>
          </w:p>
          <w:p w14:paraId="0DD375A4" w14:textId="77777777" w:rsidR="000C465B" w:rsidRPr="000C465B" w:rsidRDefault="000C465B" w:rsidP="000C465B">
            <w:pPr>
              <w:numPr>
                <w:ilvl w:val="0"/>
                <w:numId w:val="133"/>
              </w:numPr>
              <w:spacing w:after="0"/>
              <w:contextualSpacing/>
              <w:jc w:val="left"/>
              <w:rPr>
                <w:rFonts w:eastAsia="Times New Roman"/>
                <w:sz w:val="20"/>
                <w:szCs w:val="20"/>
              </w:rPr>
            </w:pPr>
            <w:r w:rsidRPr="000C465B">
              <w:rPr>
                <w:rFonts w:eastAsia="Times New Roman"/>
                <w:sz w:val="20"/>
                <w:szCs w:val="20"/>
              </w:rPr>
              <w:t xml:space="preserve">Provide comparative information that accurately accounts for the quantity information in the DoNQ  </w:t>
            </w:r>
          </w:p>
          <w:p w14:paraId="0454D026" w14:textId="77777777" w:rsidR="000C465B" w:rsidRPr="000C465B" w:rsidRDefault="000C465B" w:rsidP="000C465B">
            <w:pPr>
              <w:spacing w:after="0"/>
              <w:jc w:val="left"/>
              <w:rPr>
                <w:sz w:val="20"/>
                <w:szCs w:val="20"/>
              </w:rPr>
            </w:pPr>
          </w:p>
          <w:p w14:paraId="44C204CA" w14:textId="77777777" w:rsidR="000C465B" w:rsidRPr="000C465B" w:rsidRDefault="000C465B" w:rsidP="000C465B">
            <w:pPr>
              <w:spacing w:after="0"/>
              <w:rPr>
                <w:sz w:val="20"/>
                <w:szCs w:val="20"/>
              </w:rPr>
            </w:pPr>
            <w:r w:rsidRPr="000C465B">
              <w:rPr>
                <w:sz w:val="20"/>
                <w:szCs w:val="20"/>
              </w:rPr>
              <w:t xml:space="preserve">Information provided in voluntary expressions on the package Principal Display Panel (PDP) should supplement the information required to be provided in the DoNQ.  Voluntary expressions should be evaluated by the manufacturer to ensure the message and information is consistent with what is provided in the DoNQ.  For example, if a package label defines the term “dose” to be 2 fluid ounces, a package containing 1 quart with an expression in doses should state the package contains 16 doses.  An expression </w:t>
            </w:r>
            <w:r w:rsidRPr="000C465B">
              <w:rPr>
                <w:sz w:val="20"/>
                <w:szCs w:val="20"/>
              </w:rPr>
              <w:lastRenderedPageBreak/>
              <w:t xml:space="preserve">of “17 Doses” or “20 Doses” would not be consistent. Similarly, a package labeled “1 Liter” should not contain an expression such as “contains at least 1 Liter” since that is fundamentally a different statement.    </w:t>
            </w:r>
          </w:p>
          <w:p w14:paraId="623EA20E" w14:textId="77777777" w:rsidR="000C465B" w:rsidRPr="000C465B" w:rsidRDefault="000C465B" w:rsidP="000C465B">
            <w:pPr>
              <w:spacing w:after="0"/>
              <w:jc w:val="left"/>
              <w:rPr>
                <w:sz w:val="20"/>
                <w:szCs w:val="20"/>
              </w:rPr>
            </w:pPr>
          </w:p>
        </w:tc>
      </w:tr>
      <w:tr w:rsidR="000C465B" w:rsidRPr="000C465B" w14:paraId="66E19656" w14:textId="77777777" w:rsidTr="005F0F3E">
        <w:tc>
          <w:tcPr>
            <w:tcW w:w="2221" w:type="dxa"/>
          </w:tcPr>
          <w:p w14:paraId="6AA41FFA" w14:textId="77777777" w:rsidR="000C465B" w:rsidRPr="000C465B" w:rsidRDefault="000C465B" w:rsidP="000C465B">
            <w:pPr>
              <w:spacing w:after="0"/>
              <w:jc w:val="center"/>
              <w:rPr>
                <w:sz w:val="20"/>
                <w:szCs w:val="20"/>
              </w:rPr>
            </w:pPr>
          </w:p>
          <w:p w14:paraId="356BABDD" w14:textId="77777777" w:rsidR="000C465B" w:rsidRPr="000C465B" w:rsidRDefault="000C465B" w:rsidP="000C465B">
            <w:pPr>
              <w:spacing w:after="0"/>
              <w:jc w:val="left"/>
              <w:rPr>
                <w:sz w:val="20"/>
                <w:szCs w:val="20"/>
              </w:rPr>
            </w:pPr>
            <w:r w:rsidRPr="000C465B">
              <w:rPr>
                <w:sz w:val="20"/>
                <w:szCs w:val="20"/>
              </w:rPr>
              <w:t xml:space="preserve">5. Expression location and prominence (size, font, and contrast) must be considered in relation to the Declaration of Net Quantity (DoNQ) to ensure appropriate balance.    </w:t>
            </w:r>
          </w:p>
          <w:p w14:paraId="7EAD024A" w14:textId="77777777" w:rsidR="000C465B" w:rsidRPr="000C465B" w:rsidRDefault="000C465B" w:rsidP="000C465B">
            <w:pPr>
              <w:spacing w:after="0"/>
              <w:jc w:val="left"/>
              <w:rPr>
                <w:sz w:val="20"/>
                <w:szCs w:val="20"/>
              </w:rPr>
            </w:pPr>
          </w:p>
          <w:p w14:paraId="4E3DDC40" w14:textId="77777777" w:rsidR="000C465B" w:rsidRPr="000C465B" w:rsidRDefault="000C465B" w:rsidP="000C465B">
            <w:pPr>
              <w:spacing w:after="0"/>
              <w:jc w:val="left"/>
              <w:rPr>
                <w:i/>
                <w:iCs/>
                <w:sz w:val="20"/>
                <w:szCs w:val="20"/>
              </w:rPr>
            </w:pPr>
            <w:r w:rsidRPr="000C465B">
              <w:rPr>
                <w:i/>
                <w:iCs/>
                <w:sz w:val="20"/>
                <w:szCs w:val="20"/>
              </w:rPr>
              <w:t>Does the expression location, size, font contrast, and other attributes effectively provide information in addition to the DoNQ?</w:t>
            </w:r>
          </w:p>
          <w:p w14:paraId="36375765" w14:textId="77777777" w:rsidR="000C465B" w:rsidRPr="000C465B" w:rsidRDefault="000C465B" w:rsidP="000C465B">
            <w:pPr>
              <w:spacing w:after="0"/>
              <w:jc w:val="left"/>
              <w:rPr>
                <w:sz w:val="20"/>
                <w:szCs w:val="20"/>
              </w:rPr>
            </w:pPr>
          </w:p>
          <w:p w14:paraId="042096DC" w14:textId="77777777" w:rsidR="000C465B" w:rsidRPr="000C465B" w:rsidRDefault="000C465B" w:rsidP="000C465B">
            <w:pPr>
              <w:spacing w:after="0"/>
              <w:jc w:val="left"/>
              <w:rPr>
                <w:sz w:val="20"/>
                <w:szCs w:val="20"/>
              </w:rPr>
            </w:pPr>
            <w:r w:rsidRPr="000C465B">
              <w:rPr>
                <w:sz w:val="20"/>
                <w:szCs w:val="20"/>
              </w:rPr>
              <w:t>(Applies to all categories.)</w:t>
            </w:r>
          </w:p>
        </w:tc>
        <w:tc>
          <w:tcPr>
            <w:tcW w:w="7129" w:type="dxa"/>
          </w:tcPr>
          <w:p w14:paraId="71482F3D" w14:textId="77777777" w:rsidR="000C465B" w:rsidRPr="000C465B" w:rsidRDefault="000C465B" w:rsidP="000C465B">
            <w:pPr>
              <w:spacing w:after="0"/>
              <w:rPr>
                <w:sz w:val="20"/>
                <w:szCs w:val="20"/>
              </w:rPr>
            </w:pPr>
          </w:p>
          <w:p w14:paraId="794935A3" w14:textId="77777777" w:rsidR="000C465B" w:rsidRPr="000C465B" w:rsidRDefault="000C465B" w:rsidP="000C465B">
            <w:pPr>
              <w:spacing w:after="0"/>
              <w:rPr>
                <w:sz w:val="20"/>
                <w:szCs w:val="20"/>
              </w:rPr>
            </w:pPr>
            <w:r w:rsidRPr="000C465B">
              <w:rPr>
                <w:sz w:val="20"/>
                <w:szCs w:val="20"/>
              </w:rPr>
              <w:t xml:space="preserve">Manufacturers should consider the cumulative effects of quantity statement location, size, font, color, and contrast on the package in relation to those of other Principal Display Panel (PDP) elements and statements.  </w:t>
            </w:r>
          </w:p>
          <w:p w14:paraId="089B9F6F" w14:textId="77777777" w:rsidR="000C465B" w:rsidRPr="000C465B" w:rsidRDefault="000C465B" w:rsidP="000C465B">
            <w:pPr>
              <w:spacing w:after="0"/>
              <w:rPr>
                <w:sz w:val="20"/>
                <w:szCs w:val="20"/>
              </w:rPr>
            </w:pPr>
          </w:p>
          <w:p w14:paraId="55402A7B" w14:textId="77777777" w:rsidR="000C465B" w:rsidRPr="000C465B" w:rsidRDefault="000C465B" w:rsidP="000C465B">
            <w:pPr>
              <w:spacing w:after="0"/>
              <w:rPr>
                <w:sz w:val="20"/>
                <w:szCs w:val="20"/>
              </w:rPr>
            </w:pPr>
            <w:r w:rsidRPr="000C465B">
              <w:rPr>
                <w:sz w:val="20"/>
                <w:szCs w:val="20"/>
              </w:rPr>
              <w:t xml:space="preserve">The location, size, and contrast of a voluntary quantity-related expression should help the consumer make informed value comparisons at the point of purchase and not minimize the visibility or purpose of other information required to appear on the PDP.  Importantly, an expression should complement or reinforce the information provided by the DoNQ and should not compete with or replace the visibility of the required DoNQ .  </w:t>
            </w:r>
          </w:p>
          <w:p w14:paraId="19AAA3A0" w14:textId="77777777" w:rsidR="000C465B" w:rsidRPr="000C465B" w:rsidRDefault="000C465B" w:rsidP="000C465B">
            <w:pPr>
              <w:spacing w:after="0"/>
              <w:rPr>
                <w:sz w:val="20"/>
                <w:szCs w:val="20"/>
              </w:rPr>
            </w:pPr>
          </w:p>
          <w:p w14:paraId="4253FD07" w14:textId="77777777" w:rsidR="000C465B" w:rsidRPr="000C465B" w:rsidRDefault="000C465B" w:rsidP="000C465B">
            <w:pPr>
              <w:spacing w:after="0"/>
              <w:rPr>
                <w:sz w:val="20"/>
                <w:szCs w:val="20"/>
              </w:rPr>
            </w:pPr>
            <w:r w:rsidRPr="000C465B">
              <w:rPr>
                <w:sz w:val="20"/>
                <w:szCs w:val="20"/>
              </w:rPr>
              <w:t xml:space="preserve">When an expression is added to the PDP, the manufacturer should consider the location, size, font, contrast, and other attributes of the expression in relation to the location, size, font and contrast of the DoNQ to ensure they are reasonably balanced. The goal for reasonable balance is to ensure the expression and DoNQ information are effectively communicated to the consumer at the point of purchase.   Reasonable balance does not mandate that voluntary expressions must match the size, font, contrast, or other attributes of the DoNQ.   Reasonable balance does allow manufacturers to adjust the size (generally equal or larger), adjust the font (generally bolder), modify the contrast (brighter colors, use of icons, banners, and backgrounds) and determine a location (top 70% of the PDP, lower 30% of PDP, distance from the DoNQ), to maximize the visibility of the added expression and the DoNQ.  </w:t>
            </w:r>
          </w:p>
          <w:p w14:paraId="2B1ECF75" w14:textId="77777777" w:rsidR="000C465B" w:rsidRPr="000C465B" w:rsidRDefault="000C465B" w:rsidP="000C465B">
            <w:pPr>
              <w:spacing w:after="0"/>
              <w:rPr>
                <w:sz w:val="20"/>
                <w:szCs w:val="20"/>
              </w:rPr>
            </w:pPr>
          </w:p>
          <w:p w14:paraId="58099425" w14:textId="77777777" w:rsidR="000C465B" w:rsidRPr="000C465B" w:rsidRDefault="000C465B" w:rsidP="000C465B">
            <w:pPr>
              <w:spacing w:after="0"/>
              <w:rPr>
                <w:sz w:val="20"/>
                <w:szCs w:val="20"/>
              </w:rPr>
            </w:pPr>
            <w:r w:rsidRPr="000C465B">
              <w:rPr>
                <w:sz w:val="20"/>
                <w:szCs w:val="20"/>
              </w:rPr>
              <w:t xml:space="preserve">Combining a voluntary quantity expression and the required DoNQ into a common box or other graphical/visual representation that appears to link both is not recommended.  The DoNQ is mandated in law and regulation to have separation from other expressions on the PDP and added expressions need to be clearly separate from the DoNQ but in terms of required separation and visual presentation.  </w:t>
            </w:r>
          </w:p>
          <w:p w14:paraId="028524B7" w14:textId="77777777" w:rsidR="000C465B" w:rsidRPr="000C465B" w:rsidRDefault="000C465B" w:rsidP="000C465B">
            <w:pPr>
              <w:spacing w:after="0"/>
              <w:rPr>
                <w:sz w:val="20"/>
                <w:szCs w:val="20"/>
              </w:rPr>
            </w:pPr>
          </w:p>
          <w:p w14:paraId="48DE28B7" w14:textId="77777777" w:rsidR="000C465B" w:rsidRPr="000C465B" w:rsidRDefault="000C465B" w:rsidP="000C465B">
            <w:pPr>
              <w:spacing w:after="0"/>
              <w:rPr>
                <w:sz w:val="20"/>
                <w:szCs w:val="20"/>
              </w:rPr>
            </w:pPr>
            <w:r w:rsidRPr="000C465B">
              <w:rPr>
                <w:sz w:val="20"/>
                <w:szCs w:val="20"/>
              </w:rPr>
              <w:t xml:space="preserve">Since a DoNQ is mandated and required to appear in a limited portion of the PDP where consumers know where it can be found, manufacturers are generally going to design a voluntary expression to maximize the chances the expression is also seen at the point of purchase by the consumer.   </w:t>
            </w:r>
          </w:p>
          <w:p w14:paraId="0DCCE315" w14:textId="77777777" w:rsidR="000C465B" w:rsidRPr="000C465B" w:rsidRDefault="000C465B" w:rsidP="000C465B">
            <w:pPr>
              <w:spacing w:after="0"/>
              <w:rPr>
                <w:sz w:val="20"/>
                <w:szCs w:val="20"/>
              </w:rPr>
            </w:pPr>
          </w:p>
          <w:p w14:paraId="083044A5" w14:textId="77777777" w:rsidR="000C465B" w:rsidRPr="000C465B" w:rsidRDefault="000C465B" w:rsidP="000C465B">
            <w:pPr>
              <w:spacing w:after="0"/>
              <w:rPr>
                <w:sz w:val="20"/>
                <w:szCs w:val="20"/>
              </w:rPr>
            </w:pPr>
            <w:r w:rsidRPr="000C465B">
              <w:rPr>
                <w:sz w:val="20"/>
                <w:szCs w:val="20"/>
              </w:rPr>
              <w:t xml:space="preserve">A voluntarily added expression will generally be of equal or larger size, a different font, and higher contrast than the information provided in the DoNQ since these characteristics are important to help ensure a consumer sees and understands these statements at the time a consumer is making product selections.  Not every product has or needs to have a voluntary expression related to quantity added to the PDP, and as a result, for those packages that a manufacturer believes warrant this added information, the manufacturer is attempting to make this information visible to a consumer who may not be necessarily looking for this information.  As a result, the manufacturer is going to give this added expression greater prominence than the DoNQ.  In doing this, the manufacturer must ensure the visibility of the information provided in the DoNQ is not compromised by the use of fonts, colors, and contrasts which largely mask the visibility of this information at the expense of the added expressions.  </w:t>
            </w:r>
          </w:p>
          <w:p w14:paraId="3EC62145" w14:textId="77777777" w:rsidR="000C465B" w:rsidRPr="000C465B" w:rsidRDefault="000C465B" w:rsidP="000C465B">
            <w:pPr>
              <w:spacing w:after="0"/>
              <w:rPr>
                <w:sz w:val="20"/>
                <w:szCs w:val="20"/>
              </w:rPr>
            </w:pPr>
          </w:p>
          <w:p w14:paraId="51F717CD" w14:textId="77777777" w:rsidR="000C465B" w:rsidRPr="000C465B" w:rsidRDefault="000C465B" w:rsidP="000C465B">
            <w:pPr>
              <w:spacing w:after="0"/>
              <w:rPr>
                <w:sz w:val="20"/>
                <w:szCs w:val="20"/>
              </w:rPr>
            </w:pPr>
            <w:r w:rsidRPr="000C465B">
              <w:rPr>
                <w:sz w:val="20"/>
                <w:szCs w:val="20"/>
              </w:rPr>
              <w:t xml:space="preserve">In general, an expression that repeats information present in the required DoNQ is more likely to be useful to a consumer if it is substantially separated from the DoNQ.  </w:t>
            </w:r>
            <w:r w:rsidRPr="000C465B">
              <w:rPr>
                <w:sz w:val="20"/>
                <w:szCs w:val="20"/>
              </w:rPr>
              <w:lastRenderedPageBreak/>
              <w:t xml:space="preserve">Similarly, an expression that provides quantity-related information that is not present in DoNQ, (for example, count for a package labeled by weight) may be more useful to a consumer if it is located closer to the DoNQ since the consumer will look for and benefit from having all the net quantity-related information in one general area of the product label.  Mixing fonts and using icons as part of the added expression can be effective ways to help facilitate conveying additional information in a manner that is clearly separate from the DoNQ.   In the end, the manufacturer electing to provide additional information is responsible for ensuring the combination of the expression content and detail, size, location, font, and contrast provide information in addition to the DoNQ for the typical consumer.   </w:t>
            </w:r>
          </w:p>
          <w:p w14:paraId="0F58F51C" w14:textId="77777777" w:rsidR="000C465B" w:rsidRPr="000C465B" w:rsidRDefault="000C465B" w:rsidP="000C465B">
            <w:pPr>
              <w:spacing w:after="0"/>
              <w:rPr>
                <w:sz w:val="20"/>
                <w:szCs w:val="20"/>
              </w:rPr>
            </w:pPr>
          </w:p>
          <w:p w14:paraId="62BFDA48" w14:textId="77777777" w:rsidR="000C465B" w:rsidRPr="000C465B" w:rsidRDefault="000C465B" w:rsidP="000C465B">
            <w:pPr>
              <w:spacing w:after="0"/>
              <w:rPr>
                <w:sz w:val="20"/>
                <w:szCs w:val="20"/>
              </w:rPr>
            </w:pPr>
            <w:r w:rsidRPr="000C465B">
              <w:rPr>
                <w:sz w:val="20"/>
                <w:szCs w:val="20"/>
              </w:rPr>
              <w:t xml:space="preserve">When a comparative statement is planned, the manufacturer needs to determine where and how this information is best provided for the benefit of the consumer.  Since comparisons can have multiple words, which may differ in font and contrast, a manufacturer must fully consider the location and font of each individual word/term of the expression as well as the overall statement in total in to assess how this might affect the information present in the required DoNQ .  </w:t>
            </w:r>
          </w:p>
          <w:p w14:paraId="7525F550" w14:textId="77777777" w:rsidR="000C465B" w:rsidRPr="000C465B" w:rsidRDefault="000C465B" w:rsidP="000C465B">
            <w:pPr>
              <w:spacing w:after="0"/>
              <w:rPr>
                <w:sz w:val="20"/>
                <w:szCs w:val="20"/>
              </w:rPr>
            </w:pPr>
          </w:p>
          <w:p w14:paraId="4C40F340" w14:textId="77777777" w:rsidR="000C465B" w:rsidRPr="000C465B" w:rsidRDefault="000C465B" w:rsidP="000C465B">
            <w:pPr>
              <w:spacing w:after="0"/>
              <w:rPr>
                <w:sz w:val="20"/>
                <w:szCs w:val="20"/>
              </w:rPr>
            </w:pPr>
            <w:r w:rsidRPr="000C465B">
              <w:rPr>
                <w:sz w:val="20"/>
                <w:szCs w:val="20"/>
              </w:rPr>
              <w:t>Examples that help illustrate recommended practices for voluntarily added quantity expressions are provided in Appendix 2.</w:t>
            </w:r>
          </w:p>
          <w:p w14:paraId="72C0BB62" w14:textId="77777777" w:rsidR="000C465B" w:rsidRPr="000C465B" w:rsidRDefault="000C465B" w:rsidP="000C465B">
            <w:pPr>
              <w:spacing w:after="0"/>
              <w:rPr>
                <w:sz w:val="20"/>
                <w:szCs w:val="20"/>
              </w:rPr>
            </w:pPr>
            <w:r w:rsidRPr="000C465B">
              <w:rPr>
                <w:sz w:val="20"/>
                <w:szCs w:val="20"/>
              </w:rPr>
              <w:t xml:space="preserve"> </w:t>
            </w:r>
          </w:p>
        </w:tc>
      </w:tr>
      <w:tr w:rsidR="000C465B" w:rsidRPr="000C465B" w14:paraId="1D0931D8" w14:textId="77777777" w:rsidTr="005F0F3E">
        <w:tc>
          <w:tcPr>
            <w:tcW w:w="2221" w:type="dxa"/>
          </w:tcPr>
          <w:p w14:paraId="77514545" w14:textId="77777777" w:rsidR="000C465B" w:rsidRPr="000C465B" w:rsidRDefault="000C465B" w:rsidP="000C465B">
            <w:pPr>
              <w:spacing w:after="0"/>
              <w:jc w:val="left"/>
              <w:rPr>
                <w:sz w:val="20"/>
                <w:szCs w:val="20"/>
              </w:rPr>
            </w:pPr>
            <w:r w:rsidRPr="000C465B">
              <w:rPr>
                <w:sz w:val="20"/>
                <w:szCs w:val="20"/>
              </w:rPr>
              <w:lastRenderedPageBreak/>
              <w:t>6. Expression information must be   relevant to the consumer purchasing or using the product.</w:t>
            </w:r>
          </w:p>
          <w:p w14:paraId="03DB54B7" w14:textId="77777777" w:rsidR="000C465B" w:rsidRPr="000C465B" w:rsidRDefault="000C465B" w:rsidP="000C465B">
            <w:pPr>
              <w:spacing w:after="0"/>
              <w:jc w:val="left"/>
              <w:rPr>
                <w:sz w:val="20"/>
                <w:szCs w:val="20"/>
              </w:rPr>
            </w:pPr>
          </w:p>
          <w:p w14:paraId="104DB2A5" w14:textId="77777777" w:rsidR="000C465B" w:rsidRPr="000C465B" w:rsidRDefault="000C465B" w:rsidP="000C465B">
            <w:pPr>
              <w:spacing w:after="0"/>
              <w:jc w:val="left"/>
              <w:rPr>
                <w:i/>
                <w:iCs/>
                <w:sz w:val="20"/>
                <w:szCs w:val="20"/>
              </w:rPr>
            </w:pPr>
            <w:r w:rsidRPr="000C465B">
              <w:rPr>
                <w:i/>
                <w:iCs/>
                <w:sz w:val="20"/>
                <w:szCs w:val="20"/>
              </w:rPr>
              <w:t>Are the conditions of use well defined and do the statements reflect real-life usage expectations?</w:t>
            </w:r>
          </w:p>
          <w:p w14:paraId="0FCB2655" w14:textId="77777777" w:rsidR="000C465B" w:rsidRPr="000C465B" w:rsidRDefault="000C465B" w:rsidP="000C465B">
            <w:pPr>
              <w:spacing w:after="0"/>
              <w:jc w:val="left"/>
              <w:rPr>
                <w:sz w:val="20"/>
                <w:szCs w:val="20"/>
              </w:rPr>
            </w:pPr>
          </w:p>
          <w:p w14:paraId="7F8A3BCE" w14:textId="77777777" w:rsidR="000C465B" w:rsidRPr="000C465B" w:rsidRDefault="000C465B" w:rsidP="000C465B">
            <w:pPr>
              <w:spacing w:after="0"/>
              <w:jc w:val="left"/>
              <w:rPr>
                <w:sz w:val="20"/>
                <w:szCs w:val="20"/>
              </w:rPr>
            </w:pPr>
            <w:r w:rsidRPr="000C465B">
              <w:rPr>
                <w:sz w:val="20"/>
                <w:szCs w:val="20"/>
              </w:rPr>
              <w:t>(Applies to all categories)</w:t>
            </w:r>
          </w:p>
          <w:p w14:paraId="75253F20" w14:textId="77777777" w:rsidR="000C465B" w:rsidRPr="000C465B" w:rsidRDefault="000C465B" w:rsidP="000C465B">
            <w:pPr>
              <w:spacing w:after="0"/>
              <w:jc w:val="left"/>
              <w:rPr>
                <w:sz w:val="20"/>
                <w:szCs w:val="20"/>
              </w:rPr>
            </w:pPr>
          </w:p>
          <w:p w14:paraId="30F3A10B" w14:textId="77777777" w:rsidR="000C465B" w:rsidRPr="000C465B" w:rsidRDefault="000C465B" w:rsidP="000C465B">
            <w:pPr>
              <w:spacing w:after="0"/>
              <w:jc w:val="left"/>
              <w:rPr>
                <w:sz w:val="20"/>
                <w:szCs w:val="20"/>
              </w:rPr>
            </w:pPr>
            <w:r w:rsidRPr="000C465B">
              <w:rPr>
                <w:sz w:val="20"/>
                <w:szCs w:val="20"/>
              </w:rPr>
              <w:t>Important for derived unit statements and comparative statements based on derived units</w:t>
            </w:r>
          </w:p>
          <w:p w14:paraId="0D75E490" w14:textId="77777777" w:rsidR="000C465B" w:rsidRPr="000C465B" w:rsidRDefault="000C465B" w:rsidP="000C465B">
            <w:pPr>
              <w:spacing w:after="0"/>
              <w:jc w:val="left"/>
              <w:rPr>
                <w:sz w:val="20"/>
                <w:szCs w:val="20"/>
              </w:rPr>
            </w:pPr>
          </w:p>
          <w:p w14:paraId="7ECE1950" w14:textId="77777777" w:rsidR="000C465B" w:rsidRPr="000C465B" w:rsidRDefault="000C465B" w:rsidP="000C465B">
            <w:pPr>
              <w:spacing w:after="0"/>
              <w:jc w:val="left"/>
              <w:rPr>
                <w:sz w:val="20"/>
                <w:szCs w:val="20"/>
              </w:rPr>
            </w:pPr>
          </w:p>
        </w:tc>
        <w:tc>
          <w:tcPr>
            <w:tcW w:w="7129" w:type="dxa"/>
          </w:tcPr>
          <w:p w14:paraId="43AE0A53" w14:textId="77777777" w:rsidR="000C465B" w:rsidRPr="000C465B" w:rsidRDefault="000C465B" w:rsidP="000C465B">
            <w:pPr>
              <w:spacing w:after="0"/>
              <w:rPr>
                <w:sz w:val="20"/>
                <w:szCs w:val="20"/>
              </w:rPr>
            </w:pPr>
            <w:r w:rsidRPr="000C465B">
              <w:rPr>
                <w:bCs/>
                <w:sz w:val="20"/>
                <w:szCs w:val="20"/>
              </w:rPr>
              <w:t xml:space="preserve">Voluntary expressions should provide information that a consumer purchasing the product is likely to want or need to know prior to purchase.  Similarly, the voluntarily added information provided should reasonably relate </w:t>
            </w:r>
            <w:r w:rsidRPr="000C465B">
              <w:rPr>
                <w:sz w:val="20"/>
                <w:szCs w:val="20"/>
              </w:rPr>
              <w:t xml:space="preserve">to how a normal user would use the product.  </w:t>
            </w:r>
          </w:p>
          <w:p w14:paraId="06CEDA2A" w14:textId="77777777" w:rsidR="000C465B" w:rsidRPr="000C465B" w:rsidRDefault="000C465B" w:rsidP="000C465B">
            <w:pPr>
              <w:spacing w:after="0"/>
              <w:rPr>
                <w:sz w:val="20"/>
                <w:szCs w:val="20"/>
              </w:rPr>
            </w:pPr>
          </w:p>
          <w:p w14:paraId="48941FBA" w14:textId="77777777" w:rsidR="000C465B" w:rsidRPr="000C465B" w:rsidRDefault="000C465B" w:rsidP="000C465B">
            <w:pPr>
              <w:spacing w:after="0"/>
              <w:rPr>
                <w:sz w:val="20"/>
                <w:szCs w:val="20"/>
              </w:rPr>
            </w:pPr>
            <w:r w:rsidRPr="000C465B">
              <w:rPr>
                <w:sz w:val="20"/>
                <w:szCs w:val="20"/>
              </w:rPr>
              <w:t xml:space="preserve">Statements about reconstitution can help educate consumers about product quantity, especially when similar products are present in different product forms such as ready-to-use liquids, liquid concentrates, and solids.  For example, an expression containing information about the amount of product a consumer can expect when package contents are reconstituted should relate to the purpose of that product.  Knowing the contents of a package reliably prepares 5 gallons or 10 gallons of drink can be useful when a consumer is planning to provide beverages for a large group or has a dispenser with a 5-gallon capacity.  </w:t>
            </w:r>
          </w:p>
          <w:p w14:paraId="7591EB53" w14:textId="77777777" w:rsidR="000C465B" w:rsidRPr="000C465B" w:rsidRDefault="000C465B" w:rsidP="000C465B">
            <w:pPr>
              <w:spacing w:after="0"/>
              <w:rPr>
                <w:sz w:val="20"/>
                <w:szCs w:val="20"/>
              </w:rPr>
            </w:pPr>
          </w:p>
          <w:p w14:paraId="79FDB74D" w14:textId="77777777" w:rsidR="000C465B" w:rsidRPr="000C465B" w:rsidRDefault="000C465B" w:rsidP="000C465B">
            <w:pPr>
              <w:spacing w:after="0"/>
              <w:rPr>
                <w:sz w:val="20"/>
                <w:szCs w:val="20"/>
              </w:rPr>
            </w:pPr>
            <w:r w:rsidRPr="000C465B">
              <w:rPr>
                <w:sz w:val="20"/>
                <w:szCs w:val="20"/>
              </w:rPr>
              <w:t xml:space="preserve">Similarly, an expression providing information in terms of a recognizable derived unit is more helpful and relevant to a consumer when the product is used in a regular and consistent manner by most users.  For example, providing health or medicinal information based on “uses” or “doses” can be useful to consumers as they consider how long they might need to want to use the product.  Similarly, providing laundry product information based on “loads” can be useful in helping consumers relate to varying degrees of product concentration, especially when a dosing cup is provided to reinforce the quantity expression.  Generally, a derived unit expression should have a logical or research-based rationale for why this information is useful to consumers.  </w:t>
            </w:r>
          </w:p>
          <w:p w14:paraId="156DF166" w14:textId="77777777" w:rsidR="000C465B" w:rsidRPr="000C465B" w:rsidRDefault="000C465B" w:rsidP="000C465B">
            <w:pPr>
              <w:spacing w:after="0"/>
              <w:rPr>
                <w:sz w:val="20"/>
                <w:szCs w:val="20"/>
              </w:rPr>
            </w:pPr>
          </w:p>
          <w:p w14:paraId="35D2833D" w14:textId="77777777" w:rsidR="000C465B" w:rsidRPr="000C465B" w:rsidRDefault="000C465B" w:rsidP="000C465B">
            <w:pPr>
              <w:spacing w:after="0"/>
              <w:rPr>
                <w:sz w:val="20"/>
                <w:szCs w:val="20"/>
              </w:rPr>
            </w:pPr>
            <w:r w:rsidRPr="000C465B">
              <w:rPr>
                <w:sz w:val="20"/>
                <w:szCs w:val="20"/>
              </w:rPr>
              <w:t xml:space="preserve">On the other hand, statements such as “Makes 60 Waffles” or “Washes 18 Floors” may be less helpful or useful due to variability in factors associated with making waffles such as ingredients, equipment, and actual size, or with the size of rooms in a house, variation in product concentration, differences in expected performance.   In these instances, the relevance of the declaration seems less uniform, and the specificity of the expression is less likely to apply broadly to a large subset of consumers.  </w:t>
            </w:r>
          </w:p>
          <w:p w14:paraId="680182F0" w14:textId="77777777" w:rsidR="000C465B" w:rsidRPr="000C465B" w:rsidRDefault="000C465B" w:rsidP="000C465B">
            <w:pPr>
              <w:spacing w:after="0"/>
              <w:rPr>
                <w:sz w:val="20"/>
                <w:szCs w:val="20"/>
              </w:rPr>
            </w:pPr>
          </w:p>
        </w:tc>
      </w:tr>
      <w:tr w:rsidR="000C465B" w:rsidRPr="000C465B" w14:paraId="42041DC0" w14:textId="77777777" w:rsidTr="005F0F3E">
        <w:tc>
          <w:tcPr>
            <w:tcW w:w="2221" w:type="dxa"/>
          </w:tcPr>
          <w:p w14:paraId="04C9DA3A" w14:textId="77777777" w:rsidR="000C465B" w:rsidRPr="000C465B" w:rsidRDefault="000C465B" w:rsidP="000C465B">
            <w:pPr>
              <w:spacing w:after="0"/>
              <w:jc w:val="left"/>
              <w:rPr>
                <w:sz w:val="20"/>
                <w:szCs w:val="20"/>
              </w:rPr>
            </w:pPr>
            <w:r w:rsidRPr="000C465B">
              <w:rPr>
                <w:sz w:val="20"/>
                <w:szCs w:val="20"/>
              </w:rPr>
              <w:lastRenderedPageBreak/>
              <w:t>7. Expressions should not conflict with units of Legal Metrology</w:t>
            </w:r>
          </w:p>
          <w:p w14:paraId="4EC5A3BC" w14:textId="77777777" w:rsidR="000C465B" w:rsidRPr="000C465B" w:rsidRDefault="000C465B" w:rsidP="000C465B">
            <w:pPr>
              <w:spacing w:after="0"/>
              <w:jc w:val="left"/>
              <w:rPr>
                <w:sz w:val="20"/>
                <w:szCs w:val="20"/>
              </w:rPr>
            </w:pPr>
          </w:p>
          <w:p w14:paraId="0F2733C6" w14:textId="77777777" w:rsidR="000C465B" w:rsidRPr="000C465B" w:rsidRDefault="000C465B" w:rsidP="000C465B">
            <w:pPr>
              <w:spacing w:after="0"/>
              <w:jc w:val="left"/>
              <w:rPr>
                <w:i/>
                <w:iCs/>
                <w:sz w:val="20"/>
                <w:szCs w:val="20"/>
              </w:rPr>
            </w:pPr>
            <w:r w:rsidRPr="000C465B">
              <w:rPr>
                <w:i/>
                <w:iCs/>
                <w:sz w:val="20"/>
                <w:szCs w:val="20"/>
              </w:rPr>
              <w:t xml:space="preserve">Is the expression consistent with units of Legal Metrology? </w:t>
            </w:r>
          </w:p>
          <w:p w14:paraId="6DF9E98D" w14:textId="77777777" w:rsidR="000C465B" w:rsidRPr="000C465B" w:rsidRDefault="000C465B" w:rsidP="000C465B">
            <w:pPr>
              <w:spacing w:after="0"/>
              <w:jc w:val="left"/>
              <w:rPr>
                <w:i/>
                <w:iCs/>
                <w:sz w:val="20"/>
                <w:szCs w:val="20"/>
              </w:rPr>
            </w:pPr>
            <w:r w:rsidRPr="000C465B">
              <w:rPr>
                <w:i/>
                <w:iCs/>
                <w:sz w:val="20"/>
                <w:szCs w:val="20"/>
              </w:rPr>
              <w:t>Is the expression exaggerating or minimizing a unit of measure?</w:t>
            </w:r>
          </w:p>
          <w:p w14:paraId="2781B006" w14:textId="77777777" w:rsidR="000C465B" w:rsidRPr="000C465B" w:rsidRDefault="000C465B" w:rsidP="000C465B">
            <w:pPr>
              <w:spacing w:after="0"/>
              <w:jc w:val="left"/>
              <w:rPr>
                <w:sz w:val="20"/>
                <w:szCs w:val="20"/>
              </w:rPr>
            </w:pPr>
          </w:p>
          <w:p w14:paraId="354A9BF0" w14:textId="77777777" w:rsidR="000C465B" w:rsidRPr="000C465B" w:rsidRDefault="000C465B" w:rsidP="000C465B">
            <w:pPr>
              <w:spacing w:after="0"/>
              <w:jc w:val="left"/>
              <w:rPr>
                <w:i/>
                <w:iCs/>
                <w:sz w:val="20"/>
                <w:szCs w:val="20"/>
              </w:rPr>
            </w:pPr>
            <w:r w:rsidRPr="000C465B">
              <w:rPr>
                <w:i/>
                <w:iCs/>
                <w:sz w:val="20"/>
                <w:szCs w:val="20"/>
              </w:rPr>
              <w:t>Does the expression have the potential to create confusion?</w:t>
            </w:r>
          </w:p>
          <w:p w14:paraId="0A4D2427" w14:textId="77777777" w:rsidR="000C465B" w:rsidRPr="000C465B" w:rsidRDefault="000C465B" w:rsidP="000C465B">
            <w:pPr>
              <w:spacing w:after="0"/>
              <w:jc w:val="left"/>
              <w:rPr>
                <w:sz w:val="20"/>
                <w:szCs w:val="20"/>
              </w:rPr>
            </w:pPr>
          </w:p>
          <w:p w14:paraId="4C70971A" w14:textId="77777777" w:rsidR="000C465B" w:rsidRPr="000C465B" w:rsidRDefault="000C465B" w:rsidP="000C465B">
            <w:pPr>
              <w:spacing w:after="0"/>
              <w:jc w:val="left"/>
              <w:rPr>
                <w:sz w:val="20"/>
                <w:szCs w:val="20"/>
              </w:rPr>
            </w:pPr>
            <w:r w:rsidRPr="000C465B">
              <w:rPr>
                <w:sz w:val="20"/>
                <w:szCs w:val="20"/>
              </w:rPr>
              <w:t>(Applies to Derived Unit Expressions (DUE’s), Comparative Quantity Representations (CQR’s) and Comparative Performance Representations (CPR’s)</w:t>
            </w:r>
          </w:p>
        </w:tc>
        <w:tc>
          <w:tcPr>
            <w:tcW w:w="7129" w:type="dxa"/>
          </w:tcPr>
          <w:p w14:paraId="16619D5C" w14:textId="77777777" w:rsidR="000C465B" w:rsidRPr="000C465B" w:rsidRDefault="000C465B" w:rsidP="000C465B">
            <w:pPr>
              <w:spacing w:after="0"/>
              <w:rPr>
                <w:sz w:val="20"/>
                <w:szCs w:val="20"/>
              </w:rPr>
            </w:pPr>
            <w:r w:rsidRPr="000C465B">
              <w:rPr>
                <w:sz w:val="20"/>
                <w:szCs w:val="20"/>
              </w:rPr>
              <w:t xml:space="preserve">Voluntary expressions that provide quantity-related information in terms of derived units should ensure the expressions do not conflict with or redefine a unit of legal metrology.   Units of legal metrology such as ounce, pound, ton, pint, quart, cup, liter, foot, inch, yard, bushel, etc., have precise definitions, and incorporating these terms into the definition of a derived unit requires careful consideration to ensure the derived unit is clear and non-misleading.  </w:t>
            </w:r>
          </w:p>
          <w:p w14:paraId="39DE8EE4" w14:textId="77777777" w:rsidR="000C465B" w:rsidRPr="000C465B" w:rsidRDefault="000C465B" w:rsidP="000C465B">
            <w:pPr>
              <w:spacing w:after="0"/>
              <w:rPr>
                <w:sz w:val="20"/>
                <w:szCs w:val="20"/>
              </w:rPr>
            </w:pPr>
          </w:p>
          <w:p w14:paraId="2A1C8AB6" w14:textId="77777777" w:rsidR="000C465B" w:rsidRPr="000C465B" w:rsidRDefault="000C465B" w:rsidP="000C465B">
            <w:pPr>
              <w:spacing w:after="0"/>
              <w:rPr>
                <w:sz w:val="20"/>
                <w:szCs w:val="20"/>
              </w:rPr>
            </w:pPr>
            <w:r w:rsidRPr="000C465B">
              <w:rPr>
                <w:sz w:val="20"/>
                <w:szCs w:val="20"/>
              </w:rPr>
              <w:t>Voluntary expressions should avoid practices that could create confusion regarding existing units of measure.  For example, federal Law prohibits any term qualifying a unit of weight, measure, or count that tends to exaggerate the amount of product in a container, such as “jumbo quart” or “full gallon”.  In addition to complying with this requirement, manufacturers should also avoid other practices that may create confusion regarding existing units of measure, such as using a “10-inch foot”.    Statements of this type provide no added value to consumers and can be viewed as misleading.</w:t>
            </w:r>
          </w:p>
          <w:p w14:paraId="24021F57" w14:textId="77777777" w:rsidR="000C465B" w:rsidRPr="000C465B" w:rsidRDefault="000C465B" w:rsidP="000C465B">
            <w:pPr>
              <w:spacing w:after="0"/>
              <w:rPr>
                <w:sz w:val="20"/>
                <w:szCs w:val="20"/>
              </w:rPr>
            </w:pPr>
          </w:p>
          <w:p w14:paraId="0079216E" w14:textId="77777777" w:rsidR="000C465B" w:rsidRPr="000C465B" w:rsidRDefault="000C465B" w:rsidP="000C465B">
            <w:pPr>
              <w:spacing w:after="0"/>
              <w:rPr>
                <w:sz w:val="20"/>
                <w:szCs w:val="20"/>
              </w:rPr>
            </w:pPr>
          </w:p>
        </w:tc>
      </w:tr>
      <w:tr w:rsidR="000C465B" w:rsidRPr="000C465B" w14:paraId="74A6FA76" w14:textId="77777777" w:rsidTr="005F0F3E">
        <w:tc>
          <w:tcPr>
            <w:tcW w:w="2221" w:type="dxa"/>
          </w:tcPr>
          <w:p w14:paraId="32F62FB6" w14:textId="77777777" w:rsidR="000C465B" w:rsidRPr="000C465B" w:rsidRDefault="000C465B" w:rsidP="000C465B">
            <w:pPr>
              <w:spacing w:after="0"/>
              <w:jc w:val="left"/>
              <w:rPr>
                <w:sz w:val="20"/>
                <w:szCs w:val="20"/>
              </w:rPr>
            </w:pPr>
            <w:r w:rsidRPr="000C465B">
              <w:rPr>
                <w:sz w:val="20"/>
                <w:szCs w:val="20"/>
              </w:rPr>
              <w:t xml:space="preserve">8. Expressions containing reconstituted product information must provide directions for reconstitution on the product label.  </w:t>
            </w:r>
          </w:p>
          <w:p w14:paraId="299119B5" w14:textId="77777777" w:rsidR="000C465B" w:rsidRPr="000C465B" w:rsidRDefault="000C465B" w:rsidP="000C465B">
            <w:pPr>
              <w:spacing w:after="0"/>
              <w:jc w:val="left"/>
              <w:rPr>
                <w:sz w:val="20"/>
                <w:szCs w:val="20"/>
              </w:rPr>
            </w:pPr>
          </w:p>
          <w:p w14:paraId="3E93FE42" w14:textId="77777777" w:rsidR="000C465B" w:rsidRPr="000C465B" w:rsidRDefault="000C465B" w:rsidP="000C465B">
            <w:pPr>
              <w:spacing w:after="0"/>
              <w:jc w:val="left"/>
              <w:rPr>
                <w:sz w:val="20"/>
                <w:szCs w:val="20"/>
              </w:rPr>
            </w:pPr>
            <w:r w:rsidRPr="000C465B">
              <w:rPr>
                <w:sz w:val="20"/>
                <w:szCs w:val="20"/>
              </w:rPr>
              <w:t>If an expression states how much product the package can make, the directions for how to prepare the product must be provided on the label.</w:t>
            </w:r>
          </w:p>
          <w:p w14:paraId="4E8E0B15" w14:textId="77777777" w:rsidR="000C465B" w:rsidRPr="000C465B" w:rsidRDefault="000C465B" w:rsidP="000C465B">
            <w:pPr>
              <w:spacing w:after="0"/>
              <w:jc w:val="left"/>
              <w:rPr>
                <w:sz w:val="20"/>
                <w:szCs w:val="20"/>
              </w:rPr>
            </w:pPr>
          </w:p>
          <w:p w14:paraId="3A4C0E0E" w14:textId="77777777" w:rsidR="000C465B" w:rsidRPr="000C465B" w:rsidRDefault="000C465B" w:rsidP="000C465B">
            <w:pPr>
              <w:spacing w:after="0"/>
              <w:jc w:val="left"/>
              <w:rPr>
                <w:sz w:val="20"/>
                <w:szCs w:val="20"/>
              </w:rPr>
            </w:pPr>
            <w:r w:rsidRPr="000C465B">
              <w:rPr>
                <w:sz w:val="20"/>
                <w:szCs w:val="20"/>
              </w:rPr>
              <w:t xml:space="preserve">(Applies to REQ’s) </w:t>
            </w:r>
          </w:p>
        </w:tc>
        <w:tc>
          <w:tcPr>
            <w:tcW w:w="7129" w:type="dxa"/>
          </w:tcPr>
          <w:p w14:paraId="12C3F85E" w14:textId="77777777" w:rsidR="000C465B" w:rsidRPr="000C465B" w:rsidRDefault="000C465B" w:rsidP="000C465B">
            <w:pPr>
              <w:spacing w:after="0"/>
              <w:rPr>
                <w:sz w:val="20"/>
                <w:szCs w:val="20"/>
              </w:rPr>
            </w:pPr>
            <w:r w:rsidRPr="000C465B">
              <w:rPr>
                <w:sz w:val="20"/>
                <w:szCs w:val="20"/>
              </w:rPr>
              <w:t xml:space="preserve">When a Reconstituted Expression of Quantity (REQ) is present on the Principal Display Panel (PDP), the manufacturer also must provide information on the package label clearly detailing how the product is recommended to be reconstituted for consumer inspection prior to product purchase. Consumers should be able to tell what other products, ingredients, or equipment will be needed to prepare the product for use. A consumer should be able to readily view and accurately understand the directions to reconstitute the product prior to making a purchase decision.  </w:t>
            </w:r>
          </w:p>
          <w:p w14:paraId="031BFA5B" w14:textId="77777777" w:rsidR="000C465B" w:rsidRPr="000C465B" w:rsidRDefault="000C465B" w:rsidP="000C465B">
            <w:pPr>
              <w:spacing w:after="0"/>
              <w:rPr>
                <w:sz w:val="20"/>
                <w:szCs w:val="20"/>
              </w:rPr>
            </w:pPr>
          </w:p>
          <w:p w14:paraId="63601E1E" w14:textId="77777777" w:rsidR="000C465B" w:rsidRPr="000C465B" w:rsidRDefault="000C465B" w:rsidP="000C465B">
            <w:pPr>
              <w:spacing w:after="0"/>
              <w:rPr>
                <w:sz w:val="20"/>
                <w:szCs w:val="20"/>
              </w:rPr>
            </w:pPr>
            <w:r w:rsidRPr="000C465B">
              <w:rPr>
                <w:sz w:val="20"/>
                <w:szCs w:val="20"/>
              </w:rPr>
              <w:t xml:space="preserve">The information detailing the reconstitution directions should be located on the outer package (not on the bottom of the package) for consumer inspection prior to product purchase.  The location, size and appearance of this accompanying information should be sized appropriately to ensure a consumer can readily find this information either before purchase or during use.  </w:t>
            </w:r>
          </w:p>
          <w:p w14:paraId="7970536B" w14:textId="77777777" w:rsidR="000C465B" w:rsidRPr="000C465B" w:rsidRDefault="000C465B" w:rsidP="000C465B">
            <w:pPr>
              <w:spacing w:after="0"/>
              <w:rPr>
                <w:sz w:val="20"/>
                <w:szCs w:val="20"/>
              </w:rPr>
            </w:pPr>
          </w:p>
          <w:p w14:paraId="653D1DA4" w14:textId="77777777" w:rsidR="000C465B" w:rsidRPr="000C465B" w:rsidRDefault="000C465B" w:rsidP="000C465B">
            <w:pPr>
              <w:spacing w:after="0"/>
              <w:rPr>
                <w:sz w:val="20"/>
                <w:szCs w:val="20"/>
              </w:rPr>
            </w:pPr>
            <w:r w:rsidRPr="000C465B">
              <w:rPr>
                <w:bCs/>
                <w:sz w:val="20"/>
                <w:szCs w:val="20"/>
              </w:rPr>
              <w:t>A package can provide reconstitution details for how to prepare the entire package contents or a portion of the contents.  For example, when a product states “Makes 64 quarts”, providing consumers with directions for making 2 quarts is encouraged since it is more practical for most consumers not to make all 64 quarts at one time in one container.</w:t>
            </w:r>
          </w:p>
        </w:tc>
      </w:tr>
      <w:tr w:rsidR="000C465B" w:rsidRPr="000C465B" w14:paraId="10301057" w14:textId="77777777" w:rsidTr="005F0F3E">
        <w:trPr>
          <w:trHeight w:val="70"/>
        </w:trPr>
        <w:tc>
          <w:tcPr>
            <w:tcW w:w="2221" w:type="dxa"/>
          </w:tcPr>
          <w:p w14:paraId="44E3718F" w14:textId="77777777" w:rsidR="000C465B" w:rsidRPr="000C465B" w:rsidRDefault="000C465B" w:rsidP="000C465B">
            <w:pPr>
              <w:spacing w:after="0"/>
              <w:jc w:val="left"/>
              <w:rPr>
                <w:sz w:val="20"/>
                <w:szCs w:val="20"/>
              </w:rPr>
            </w:pPr>
            <w:r w:rsidRPr="000C465B">
              <w:rPr>
                <w:sz w:val="20"/>
                <w:szCs w:val="20"/>
              </w:rPr>
              <w:t>9. Expressions containing Derived Units must provide a definition of that unit on the package label.</w:t>
            </w:r>
          </w:p>
          <w:p w14:paraId="64885BFB" w14:textId="77777777" w:rsidR="000C465B" w:rsidRPr="000C465B" w:rsidRDefault="000C465B" w:rsidP="000C465B">
            <w:pPr>
              <w:spacing w:after="0"/>
              <w:jc w:val="left"/>
              <w:rPr>
                <w:sz w:val="20"/>
                <w:szCs w:val="20"/>
              </w:rPr>
            </w:pPr>
          </w:p>
          <w:p w14:paraId="5E3D8EA3" w14:textId="77777777" w:rsidR="000C465B" w:rsidRPr="000C465B" w:rsidRDefault="000C465B" w:rsidP="000C465B">
            <w:pPr>
              <w:spacing w:after="0"/>
              <w:jc w:val="left"/>
              <w:rPr>
                <w:sz w:val="20"/>
                <w:szCs w:val="20"/>
              </w:rPr>
            </w:pPr>
            <w:r w:rsidRPr="000C465B">
              <w:rPr>
                <w:sz w:val="20"/>
                <w:szCs w:val="20"/>
              </w:rPr>
              <w:t xml:space="preserve">If an expression conveys a quantity in   terms of a Unit that is not defined in Legal Metrology, the Unit must be adequately </w:t>
            </w:r>
            <w:r w:rsidRPr="000C465B">
              <w:rPr>
                <w:sz w:val="20"/>
                <w:szCs w:val="20"/>
              </w:rPr>
              <w:lastRenderedPageBreak/>
              <w:t>defined on the label. information</w:t>
            </w:r>
          </w:p>
          <w:p w14:paraId="7A95F6FA" w14:textId="77777777" w:rsidR="000C465B" w:rsidRPr="000C465B" w:rsidRDefault="000C465B" w:rsidP="000C465B">
            <w:pPr>
              <w:spacing w:after="0"/>
              <w:jc w:val="left"/>
              <w:rPr>
                <w:sz w:val="20"/>
                <w:szCs w:val="20"/>
              </w:rPr>
            </w:pPr>
          </w:p>
          <w:p w14:paraId="6630C702" w14:textId="77777777" w:rsidR="000C465B" w:rsidRPr="000C465B" w:rsidRDefault="000C465B" w:rsidP="000C465B">
            <w:pPr>
              <w:spacing w:after="0"/>
              <w:jc w:val="left"/>
              <w:rPr>
                <w:sz w:val="20"/>
                <w:szCs w:val="20"/>
              </w:rPr>
            </w:pPr>
            <w:r w:rsidRPr="000C465B">
              <w:rPr>
                <w:sz w:val="20"/>
                <w:szCs w:val="20"/>
              </w:rPr>
              <w:t>(Applies to Derived Unit Expressions (DUE’s), Comparative Quantity Representations (CQR’s) and Comparative Performance Representations (CPR’s)</w:t>
            </w:r>
          </w:p>
        </w:tc>
        <w:tc>
          <w:tcPr>
            <w:tcW w:w="7129" w:type="dxa"/>
          </w:tcPr>
          <w:p w14:paraId="784F9108" w14:textId="77777777" w:rsidR="000C465B" w:rsidRPr="000C465B" w:rsidRDefault="000C465B" w:rsidP="000C465B">
            <w:pPr>
              <w:spacing w:after="0"/>
              <w:rPr>
                <w:sz w:val="20"/>
                <w:szCs w:val="20"/>
              </w:rPr>
            </w:pPr>
            <w:r w:rsidRPr="000C465B">
              <w:rPr>
                <w:sz w:val="20"/>
                <w:szCs w:val="20"/>
              </w:rPr>
              <w:lastRenderedPageBreak/>
              <w:t xml:space="preserve">A consumer should be able to readily view and accurately understand a derived unit statement prior to making a purchase decision.  Since a derived unit is not a recognized unit of Legal Metrology, information that defines, and, if necessary, explains the derived unit to ensure consumer understanding should be provided.   </w:t>
            </w:r>
          </w:p>
          <w:p w14:paraId="1F7BE308" w14:textId="77777777" w:rsidR="000C465B" w:rsidRPr="000C465B" w:rsidRDefault="000C465B" w:rsidP="000C465B">
            <w:pPr>
              <w:spacing w:after="0"/>
              <w:rPr>
                <w:sz w:val="20"/>
                <w:szCs w:val="20"/>
              </w:rPr>
            </w:pPr>
          </w:p>
          <w:p w14:paraId="6EC17EF3" w14:textId="77777777" w:rsidR="000C465B" w:rsidRPr="000C465B" w:rsidRDefault="000C465B" w:rsidP="000C465B">
            <w:pPr>
              <w:spacing w:after="0"/>
              <w:rPr>
                <w:sz w:val="20"/>
                <w:szCs w:val="20"/>
              </w:rPr>
            </w:pPr>
            <w:r w:rsidRPr="000C465B">
              <w:rPr>
                <w:sz w:val="20"/>
                <w:szCs w:val="20"/>
              </w:rPr>
              <w:t xml:space="preserve">The information defining and explaining the derived unit should be located on the outer package (not on the bottom of the package) for consumer inspection prior to product purchase.  The location, size, and appearance of this accompanying information should be consistent with the required regulatory language, such as the required product responsible party statement.  Consistent with such requirements, the information must be legible and may be placed on the side or back panels of the package.  It may have a </w:t>
            </w:r>
            <w:r w:rsidRPr="000C465B">
              <w:rPr>
                <w:sz w:val="20"/>
                <w:szCs w:val="20"/>
              </w:rPr>
              <w:lastRenderedPageBreak/>
              <w:t xml:space="preserve">font smaller than that required for the Declaration of Net Quantity (DoNQ), which is often larger than other required text. </w:t>
            </w:r>
          </w:p>
        </w:tc>
      </w:tr>
      <w:tr w:rsidR="000C465B" w:rsidRPr="000C465B" w14:paraId="1D83E329" w14:textId="77777777" w:rsidTr="005F0F3E">
        <w:trPr>
          <w:cantSplit/>
        </w:trPr>
        <w:tc>
          <w:tcPr>
            <w:tcW w:w="2221" w:type="dxa"/>
          </w:tcPr>
          <w:p w14:paraId="1EEF87FD" w14:textId="77777777" w:rsidR="000C465B" w:rsidRPr="000C465B" w:rsidRDefault="000C465B" w:rsidP="000C465B">
            <w:pPr>
              <w:spacing w:after="0"/>
              <w:jc w:val="left"/>
              <w:rPr>
                <w:sz w:val="20"/>
                <w:szCs w:val="20"/>
              </w:rPr>
            </w:pPr>
          </w:p>
          <w:p w14:paraId="6640B918" w14:textId="77777777" w:rsidR="000C465B" w:rsidRPr="000C465B" w:rsidRDefault="000C465B" w:rsidP="000C465B">
            <w:pPr>
              <w:spacing w:after="0"/>
              <w:jc w:val="left"/>
              <w:rPr>
                <w:sz w:val="20"/>
                <w:szCs w:val="20"/>
              </w:rPr>
            </w:pPr>
            <w:r w:rsidRPr="000C465B">
              <w:rPr>
                <w:sz w:val="20"/>
                <w:szCs w:val="20"/>
              </w:rPr>
              <w:t xml:space="preserve">10. Expressions that employ the same Derived Unit term must use the same definition for the Derived Unit. </w:t>
            </w:r>
          </w:p>
          <w:p w14:paraId="5C09B2CC" w14:textId="77777777" w:rsidR="000C465B" w:rsidRPr="000C465B" w:rsidRDefault="000C465B" w:rsidP="000C465B">
            <w:pPr>
              <w:spacing w:after="0"/>
              <w:jc w:val="left"/>
              <w:rPr>
                <w:sz w:val="20"/>
                <w:szCs w:val="20"/>
              </w:rPr>
            </w:pPr>
          </w:p>
          <w:p w14:paraId="7B1D1738" w14:textId="77777777" w:rsidR="000C465B" w:rsidRPr="000C465B" w:rsidRDefault="000C465B" w:rsidP="000C465B">
            <w:pPr>
              <w:spacing w:after="0"/>
              <w:jc w:val="left"/>
              <w:rPr>
                <w:sz w:val="20"/>
                <w:szCs w:val="20"/>
              </w:rPr>
            </w:pPr>
            <w:r w:rsidRPr="000C465B">
              <w:rPr>
                <w:sz w:val="20"/>
                <w:szCs w:val="20"/>
              </w:rPr>
              <w:t xml:space="preserve">The definition for that  </w:t>
            </w:r>
          </w:p>
          <w:p w14:paraId="2610BAC1" w14:textId="77777777" w:rsidR="000C465B" w:rsidRPr="000C465B" w:rsidRDefault="000C465B" w:rsidP="000C465B">
            <w:pPr>
              <w:spacing w:after="0"/>
              <w:jc w:val="left"/>
              <w:rPr>
                <w:sz w:val="20"/>
                <w:szCs w:val="20"/>
              </w:rPr>
            </w:pPr>
            <w:r w:rsidRPr="000C465B">
              <w:rPr>
                <w:sz w:val="20"/>
                <w:szCs w:val="20"/>
              </w:rPr>
              <w:t>Derived Unit</w:t>
            </w:r>
          </w:p>
          <w:p w14:paraId="6AD937E1" w14:textId="77777777" w:rsidR="000C465B" w:rsidRPr="000C465B" w:rsidRDefault="000C465B" w:rsidP="000C465B">
            <w:pPr>
              <w:spacing w:after="0"/>
              <w:jc w:val="left"/>
              <w:rPr>
                <w:sz w:val="20"/>
                <w:szCs w:val="20"/>
              </w:rPr>
            </w:pPr>
            <w:r w:rsidRPr="000C465B">
              <w:rPr>
                <w:sz w:val="20"/>
                <w:szCs w:val="20"/>
              </w:rPr>
              <w:t>must be consistent across similar products using consistent terms amongst similar products.</w:t>
            </w:r>
          </w:p>
          <w:p w14:paraId="2A41B4AA" w14:textId="77777777" w:rsidR="000C465B" w:rsidRPr="000C465B" w:rsidRDefault="000C465B" w:rsidP="000C465B">
            <w:pPr>
              <w:spacing w:after="0"/>
              <w:jc w:val="left"/>
              <w:rPr>
                <w:sz w:val="20"/>
                <w:szCs w:val="20"/>
              </w:rPr>
            </w:pPr>
          </w:p>
          <w:p w14:paraId="35BCB666" w14:textId="77777777" w:rsidR="000C465B" w:rsidRPr="000C465B" w:rsidRDefault="000C465B" w:rsidP="000C465B">
            <w:pPr>
              <w:spacing w:after="0"/>
              <w:jc w:val="left"/>
              <w:rPr>
                <w:i/>
                <w:iCs/>
                <w:sz w:val="20"/>
                <w:szCs w:val="20"/>
              </w:rPr>
            </w:pPr>
            <w:r w:rsidRPr="000C465B">
              <w:rPr>
                <w:i/>
                <w:iCs/>
                <w:sz w:val="20"/>
                <w:szCs w:val="20"/>
              </w:rPr>
              <w:t>Is the statement based on a consistent metric and meaning within a product category?</w:t>
            </w:r>
          </w:p>
          <w:p w14:paraId="23AE3C53" w14:textId="77777777" w:rsidR="000C465B" w:rsidRPr="000C465B" w:rsidRDefault="000C465B" w:rsidP="000C465B">
            <w:pPr>
              <w:spacing w:after="0"/>
              <w:jc w:val="left"/>
              <w:rPr>
                <w:sz w:val="20"/>
                <w:szCs w:val="20"/>
              </w:rPr>
            </w:pPr>
          </w:p>
          <w:p w14:paraId="6E4D0AC0" w14:textId="77777777" w:rsidR="000C465B" w:rsidRPr="000C465B" w:rsidRDefault="000C465B" w:rsidP="000C465B">
            <w:pPr>
              <w:spacing w:after="0"/>
              <w:jc w:val="left"/>
              <w:rPr>
                <w:sz w:val="20"/>
                <w:szCs w:val="20"/>
              </w:rPr>
            </w:pPr>
            <w:r w:rsidRPr="000C465B">
              <w:rPr>
                <w:sz w:val="20"/>
                <w:szCs w:val="20"/>
              </w:rPr>
              <w:t>Important for derived unit statements and comparative statements based on derived units</w:t>
            </w:r>
          </w:p>
          <w:p w14:paraId="1CA25659" w14:textId="77777777" w:rsidR="000C465B" w:rsidRPr="000C465B" w:rsidRDefault="000C465B" w:rsidP="000C465B">
            <w:pPr>
              <w:spacing w:after="0"/>
              <w:jc w:val="left"/>
              <w:rPr>
                <w:sz w:val="20"/>
                <w:szCs w:val="20"/>
              </w:rPr>
            </w:pPr>
          </w:p>
          <w:p w14:paraId="1AD74BB5" w14:textId="77777777" w:rsidR="000C465B" w:rsidRPr="000C465B" w:rsidRDefault="000C465B" w:rsidP="000C465B">
            <w:pPr>
              <w:spacing w:after="0"/>
              <w:jc w:val="left"/>
              <w:rPr>
                <w:sz w:val="20"/>
                <w:szCs w:val="20"/>
              </w:rPr>
            </w:pPr>
            <w:r w:rsidRPr="000C465B">
              <w:rPr>
                <w:sz w:val="20"/>
                <w:szCs w:val="20"/>
              </w:rPr>
              <w:t>(Applies to Derived Unit Expressions (DUE’s), Comparative Quantity Representations (CQR’s) and Comparative Performance Representations (CPR’s)</w:t>
            </w:r>
          </w:p>
          <w:p w14:paraId="50801B25" w14:textId="77777777" w:rsidR="000C465B" w:rsidRPr="000C465B" w:rsidRDefault="000C465B" w:rsidP="000C465B">
            <w:pPr>
              <w:spacing w:after="0"/>
              <w:jc w:val="center"/>
              <w:rPr>
                <w:sz w:val="20"/>
                <w:szCs w:val="20"/>
              </w:rPr>
            </w:pPr>
          </w:p>
          <w:p w14:paraId="5D9E43B7" w14:textId="77777777" w:rsidR="000C465B" w:rsidRPr="000C465B" w:rsidRDefault="000C465B" w:rsidP="000C465B">
            <w:pPr>
              <w:spacing w:after="0"/>
              <w:jc w:val="center"/>
              <w:rPr>
                <w:sz w:val="20"/>
                <w:szCs w:val="20"/>
              </w:rPr>
            </w:pPr>
          </w:p>
        </w:tc>
        <w:tc>
          <w:tcPr>
            <w:tcW w:w="7129" w:type="dxa"/>
          </w:tcPr>
          <w:p w14:paraId="1B98A531" w14:textId="77777777" w:rsidR="000C465B" w:rsidRPr="000C465B" w:rsidRDefault="000C465B" w:rsidP="000C465B">
            <w:pPr>
              <w:spacing w:after="0"/>
              <w:rPr>
                <w:sz w:val="20"/>
                <w:szCs w:val="20"/>
              </w:rPr>
            </w:pPr>
          </w:p>
          <w:p w14:paraId="4A05F6E2" w14:textId="77777777" w:rsidR="000C465B" w:rsidRPr="000C465B" w:rsidRDefault="000C465B" w:rsidP="000C465B">
            <w:pPr>
              <w:spacing w:after="0"/>
              <w:rPr>
                <w:sz w:val="20"/>
                <w:szCs w:val="20"/>
              </w:rPr>
            </w:pPr>
            <w:r w:rsidRPr="000C465B">
              <w:rPr>
                <w:sz w:val="20"/>
                <w:szCs w:val="20"/>
              </w:rPr>
              <w:t xml:space="preserve">For statements that are not based on “units” of Legal Metrology, consumers need confidence that expressions appearing on similar and competing product packages can be applied consistently to facilitate value comparisons. Inconsistent definitions for the same “derived unit” or the use of different “derived units” by products in the same product category have the potential to confuse or mislead consumers.  </w:t>
            </w:r>
          </w:p>
          <w:p w14:paraId="61DD0AC6" w14:textId="77777777" w:rsidR="000C465B" w:rsidRPr="000C465B" w:rsidRDefault="000C465B" w:rsidP="000C465B">
            <w:pPr>
              <w:spacing w:after="0"/>
              <w:rPr>
                <w:sz w:val="20"/>
                <w:szCs w:val="20"/>
              </w:rPr>
            </w:pPr>
          </w:p>
          <w:p w14:paraId="77F3437D" w14:textId="77777777" w:rsidR="000C465B" w:rsidRPr="000C465B" w:rsidRDefault="000C465B" w:rsidP="000C465B">
            <w:pPr>
              <w:spacing w:after="0"/>
              <w:rPr>
                <w:sz w:val="20"/>
                <w:szCs w:val="20"/>
              </w:rPr>
            </w:pPr>
            <w:r w:rsidRPr="000C465B">
              <w:rPr>
                <w:sz w:val="20"/>
                <w:szCs w:val="20"/>
              </w:rPr>
              <w:t xml:space="preserve">Manufacturers using expressions containing derived units are responsible for ensuring that they help consumers and aid in value comparison and purchase decisions. When different definitions are used for similar products, individual companies and trade groups must work together to develop and implement consistent definitions.  </w:t>
            </w:r>
          </w:p>
          <w:p w14:paraId="4A711263" w14:textId="77777777" w:rsidR="000C465B" w:rsidRPr="000C465B" w:rsidRDefault="000C465B" w:rsidP="000C465B">
            <w:pPr>
              <w:spacing w:after="0"/>
              <w:rPr>
                <w:sz w:val="20"/>
                <w:szCs w:val="20"/>
              </w:rPr>
            </w:pPr>
          </w:p>
          <w:p w14:paraId="6EDB4318" w14:textId="77777777" w:rsidR="000C465B" w:rsidRPr="000C465B" w:rsidRDefault="000C465B" w:rsidP="000C465B">
            <w:pPr>
              <w:spacing w:after="0"/>
              <w:rPr>
                <w:sz w:val="20"/>
                <w:szCs w:val="20"/>
              </w:rPr>
            </w:pPr>
            <w:r w:rsidRPr="000C465B">
              <w:rPr>
                <w:sz w:val="20"/>
                <w:szCs w:val="20"/>
              </w:rPr>
              <w:t xml:space="preserve">For example, if competing laundry detergent packages declare the number of “loads”, consumers can rely on this declaration only if the term “loads” is defined in a common way, even if one product is a liquid, a second is a liquid concentrate, and a third is a powder.   The uniform, common definition can be defined based on common product attributes--such as a delivered concentration or a degree or recognized performance, a defined quantity of product, or another consumer-related parameter.  The key attributes of a derived unit that they must be objective, measurable, and verifiable by a third party.  </w:t>
            </w:r>
          </w:p>
          <w:p w14:paraId="6CA9D578" w14:textId="77777777" w:rsidR="000C465B" w:rsidRPr="000C465B" w:rsidRDefault="000C465B" w:rsidP="000C465B">
            <w:pPr>
              <w:spacing w:after="0"/>
              <w:rPr>
                <w:sz w:val="20"/>
                <w:szCs w:val="20"/>
              </w:rPr>
            </w:pPr>
          </w:p>
          <w:p w14:paraId="4A6F5035" w14:textId="77777777" w:rsidR="000C465B" w:rsidRPr="000C465B" w:rsidRDefault="000C465B" w:rsidP="000C465B">
            <w:pPr>
              <w:spacing w:after="0"/>
              <w:rPr>
                <w:sz w:val="20"/>
                <w:szCs w:val="20"/>
              </w:rPr>
            </w:pPr>
            <w:r w:rsidRPr="000C465B">
              <w:rPr>
                <w:sz w:val="20"/>
                <w:szCs w:val="20"/>
              </w:rPr>
              <w:t xml:space="preserve">Multiple definitions of a derived unit between similar products or competing products neutralize the potential benefit provided by recognizing derived units, and the prevention of multiple definitions should be aggressively enforced and policed within product categories to promote consistency and uniformity.  Similarly, the creation of similar-but-different derived units should also be avoided generally.  For example, company A should not create an “A-dose”, and company B should not create a “B-dose” to compete against other products bearing the term “dose”.     </w:t>
            </w:r>
          </w:p>
          <w:p w14:paraId="2B64E596" w14:textId="77777777" w:rsidR="000C465B" w:rsidRPr="000C465B" w:rsidRDefault="000C465B" w:rsidP="000C465B">
            <w:pPr>
              <w:spacing w:after="0"/>
              <w:rPr>
                <w:sz w:val="20"/>
                <w:szCs w:val="20"/>
              </w:rPr>
            </w:pPr>
          </w:p>
          <w:p w14:paraId="58C86749" w14:textId="77777777" w:rsidR="000C465B" w:rsidRPr="000C465B" w:rsidRDefault="000C465B" w:rsidP="000C465B">
            <w:pPr>
              <w:spacing w:after="0"/>
              <w:rPr>
                <w:sz w:val="20"/>
                <w:szCs w:val="20"/>
              </w:rPr>
            </w:pPr>
            <w:r w:rsidRPr="000C465B">
              <w:rPr>
                <w:sz w:val="20"/>
                <w:szCs w:val="20"/>
              </w:rPr>
              <w:t xml:space="preserve">Consumers need confidence that comparative statements are based on consistent terms to facilitate value comparison.  Using inconsistent terms in comparative claims has the potential to confuse or mislead consumers.  </w:t>
            </w:r>
          </w:p>
          <w:p w14:paraId="1B2F336A" w14:textId="77777777" w:rsidR="000C465B" w:rsidRPr="000C465B" w:rsidRDefault="000C465B" w:rsidP="000C465B">
            <w:pPr>
              <w:spacing w:after="0"/>
              <w:rPr>
                <w:sz w:val="20"/>
                <w:szCs w:val="20"/>
              </w:rPr>
            </w:pPr>
          </w:p>
          <w:p w14:paraId="7CD41F74" w14:textId="77777777" w:rsidR="000C465B" w:rsidRPr="000C465B" w:rsidRDefault="000C465B" w:rsidP="000C465B">
            <w:pPr>
              <w:spacing w:after="0"/>
              <w:rPr>
                <w:sz w:val="20"/>
                <w:szCs w:val="20"/>
              </w:rPr>
            </w:pPr>
          </w:p>
          <w:p w14:paraId="70C79CF3" w14:textId="77777777" w:rsidR="000C465B" w:rsidRPr="000C465B" w:rsidRDefault="000C465B" w:rsidP="000C465B">
            <w:pPr>
              <w:spacing w:after="0"/>
              <w:rPr>
                <w:sz w:val="20"/>
                <w:szCs w:val="20"/>
              </w:rPr>
            </w:pPr>
          </w:p>
          <w:p w14:paraId="34DD0133" w14:textId="77777777" w:rsidR="000C465B" w:rsidRPr="000C465B" w:rsidRDefault="000C465B" w:rsidP="000C465B">
            <w:pPr>
              <w:spacing w:after="0"/>
              <w:rPr>
                <w:sz w:val="20"/>
                <w:szCs w:val="20"/>
              </w:rPr>
            </w:pPr>
          </w:p>
        </w:tc>
      </w:tr>
      <w:tr w:rsidR="000C465B" w:rsidRPr="000C465B" w14:paraId="2F4DD858" w14:textId="77777777" w:rsidTr="005F0F3E">
        <w:trPr>
          <w:cantSplit/>
        </w:trPr>
        <w:tc>
          <w:tcPr>
            <w:tcW w:w="2221" w:type="dxa"/>
          </w:tcPr>
          <w:p w14:paraId="67AE695E" w14:textId="77777777" w:rsidR="000C465B" w:rsidRPr="000C465B" w:rsidRDefault="000C465B" w:rsidP="000C465B">
            <w:pPr>
              <w:spacing w:after="0"/>
              <w:jc w:val="left"/>
              <w:rPr>
                <w:sz w:val="20"/>
                <w:szCs w:val="20"/>
              </w:rPr>
            </w:pPr>
          </w:p>
          <w:p w14:paraId="290D344F" w14:textId="77777777" w:rsidR="000C465B" w:rsidRPr="000C465B" w:rsidRDefault="000C465B" w:rsidP="000C465B">
            <w:pPr>
              <w:spacing w:after="0"/>
              <w:jc w:val="left"/>
              <w:rPr>
                <w:sz w:val="20"/>
                <w:szCs w:val="20"/>
              </w:rPr>
            </w:pPr>
            <w:r w:rsidRPr="000C465B">
              <w:rPr>
                <w:sz w:val="20"/>
                <w:szCs w:val="20"/>
              </w:rPr>
              <w:t>11. Comparative Expressions which contain a reference to a unit of Legal Metrology must be complete and balanced statements and must appear entirely in the upper 70% of the PDP.</w:t>
            </w:r>
          </w:p>
          <w:p w14:paraId="7A9C8985" w14:textId="77777777" w:rsidR="000C465B" w:rsidRPr="000C465B" w:rsidRDefault="000C465B" w:rsidP="000C465B">
            <w:pPr>
              <w:spacing w:after="0"/>
              <w:jc w:val="left"/>
              <w:rPr>
                <w:sz w:val="20"/>
                <w:szCs w:val="20"/>
              </w:rPr>
            </w:pPr>
          </w:p>
          <w:p w14:paraId="6254B6D0" w14:textId="77777777" w:rsidR="000C465B" w:rsidRPr="000C465B" w:rsidRDefault="000C465B" w:rsidP="000C465B">
            <w:pPr>
              <w:spacing w:after="0"/>
              <w:jc w:val="left"/>
              <w:rPr>
                <w:sz w:val="20"/>
                <w:szCs w:val="20"/>
              </w:rPr>
            </w:pPr>
            <w:r w:rsidRPr="000C465B">
              <w:rPr>
                <w:sz w:val="20"/>
                <w:szCs w:val="20"/>
              </w:rPr>
              <w:t xml:space="preserve">(Applies to CQRs) </w:t>
            </w:r>
          </w:p>
          <w:p w14:paraId="66F6415F" w14:textId="77777777" w:rsidR="000C465B" w:rsidRPr="000C465B" w:rsidRDefault="000C465B" w:rsidP="000C465B">
            <w:pPr>
              <w:spacing w:after="0"/>
              <w:jc w:val="left"/>
              <w:rPr>
                <w:sz w:val="20"/>
                <w:szCs w:val="20"/>
              </w:rPr>
            </w:pPr>
          </w:p>
        </w:tc>
        <w:tc>
          <w:tcPr>
            <w:tcW w:w="7129" w:type="dxa"/>
          </w:tcPr>
          <w:p w14:paraId="1036C45D" w14:textId="77777777" w:rsidR="000C465B" w:rsidRPr="000C465B" w:rsidRDefault="000C465B" w:rsidP="000C465B">
            <w:pPr>
              <w:spacing w:after="0"/>
              <w:rPr>
                <w:bCs/>
                <w:sz w:val="20"/>
                <w:szCs w:val="20"/>
              </w:rPr>
            </w:pPr>
          </w:p>
          <w:p w14:paraId="2017D803" w14:textId="77777777" w:rsidR="000C465B" w:rsidRPr="000C465B" w:rsidRDefault="000C465B" w:rsidP="000C465B">
            <w:pPr>
              <w:spacing w:after="0"/>
              <w:rPr>
                <w:bCs/>
                <w:sz w:val="20"/>
                <w:szCs w:val="20"/>
              </w:rPr>
            </w:pPr>
            <w:r w:rsidRPr="000C465B">
              <w:rPr>
                <w:bCs/>
                <w:sz w:val="20"/>
                <w:szCs w:val="20"/>
              </w:rPr>
              <w:t xml:space="preserve">Manufacturer interest in making comparative statements on their packages has increased as new product technologies have been incorporated into products, resulting in better or longer performance, greater product efficiency, more concentrated products, and lighter-weight products.  Traditional comparisons based solely on use of product net content declarations may not provide consumers with sufficient information necessary for consumers to make a fully informed decision.  Comparative statements are one means by which manufacturers can provide information about new product forms and performance to consumers.  They are also a means by which manufacturers can compare their products to competing products.   </w:t>
            </w:r>
          </w:p>
          <w:p w14:paraId="4DC6B5B8" w14:textId="77777777" w:rsidR="000C465B" w:rsidRPr="000C465B" w:rsidRDefault="000C465B" w:rsidP="000C465B">
            <w:pPr>
              <w:spacing w:after="0"/>
              <w:rPr>
                <w:bCs/>
                <w:sz w:val="20"/>
                <w:szCs w:val="20"/>
              </w:rPr>
            </w:pPr>
          </w:p>
          <w:p w14:paraId="5B362A62" w14:textId="77777777" w:rsidR="000C465B" w:rsidRPr="000C465B" w:rsidRDefault="000C465B" w:rsidP="000C465B">
            <w:pPr>
              <w:spacing w:after="0"/>
              <w:rPr>
                <w:bCs/>
                <w:sz w:val="20"/>
                <w:szCs w:val="20"/>
              </w:rPr>
            </w:pPr>
            <w:r w:rsidRPr="000C465B">
              <w:rPr>
                <w:bCs/>
                <w:sz w:val="20"/>
                <w:szCs w:val="20"/>
              </w:rPr>
              <w:t xml:space="preserve">Manufacturers must carefully consider using comparative statements on the Principal Display panel to ensure the message is complete, clear, correct, </w:t>
            </w:r>
          </w:p>
          <w:p w14:paraId="4804E9F0" w14:textId="77777777" w:rsidR="000C465B" w:rsidRPr="000C465B" w:rsidRDefault="000C465B" w:rsidP="000C465B">
            <w:pPr>
              <w:spacing w:after="0"/>
              <w:rPr>
                <w:bCs/>
                <w:sz w:val="20"/>
                <w:szCs w:val="20"/>
              </w:rPr>
            </w:pPr>
            <w:r w:rsidRPr="000C465B">
              <w:rPr>
                <w:bCs/>
                <w:sz w:val="20"/>
                <w:szCs w:val="20"/>
              </w:rPr>
              <w:t xml:space="preserve">relevant, and non-misleading. They also need to ensure that consumers do not interpret a CQR (or parts thereof) as the required DoNQ. </w:t>
            </w:r>
          </w:p>
          <w:p w14:paraId="7F8F6B15" w14:textId="77777777" w:rsidR="000C465B" w:rsidRPr="000C465B" w:rsidRDefault="000C465B" w:rsidP="000C465B">
            <w:pPr>
              <w:spacing w:after="0"/>
              <w:rPr>
                <w:bCs/>
                <w:sz w:val="20"/>
                <w:szCs w:val="20"/>
              </w:rPr>
            </w:pPr>
          </w:p>
          <w:p w14:paraId="3C0C0F19" w14:textId="77777777" w:rsidR="000C465B" w:rsidRPr="000C465B" w:rsidRDefault="000C465B" w:rsidP="000C465B">
            <w:pPr>
              <w:spacing w:after="0"/>
              <w:rPr>
                <w:sz w:val="20"/>
                <w:szCs w:val="20"/>
              </w:rPr>
            </w:pPr>
            <w:r w:rsidRPr="000C465B">
              <w:rPr>
                <w:bCs/>
                <w:sz w:val="20"/>
                <w:szCs w:val="20"/>
              </w:rPr>
              <w:t xml:space="preserve">Comparative Quantity Representations may provide consumers with important information but also have the potential to confuse or mislead consumers about products.  These statements can vary in length, word choice, use of icons and pictograms, the quantity(ies) being compared, and can use limitless choices of fonts, colors, and contrasts to emphasize all or certain parts of a comparative statement.   </w:t>
            </w:r>
            <w:r w:rsidRPr="000C465B">
              <w:rPr>
                <w:sz w:val="20"/>
                <w:szCs w:val="20"/>
              </w:rPr>
              <w:t xml:space="preserve">A manufacturer must carefully consider how the CQR content, location, font, and contrast will appear in conjunction with the package’s required DoNQ to help facilitate consumers ability to make accurate value comparisons.  This is specifically true for a CQR since the weight or measure terms appearing in a CQR have the potential to be interpreted as aDeclaration of Net Quantity.    </w:t>
            </w:r>
          </w:p>
          <w:p w14:paraId="35ABFF56" w14:textId="77777777" w:rsidR="000C465B" w:rsidRPr="000C465B" w:rsidRDefault="000C465B" w:rsidP="000C465B">
            <w:pPr>
              <w:spacing w:after="0"/>
              <w:rPr>
                <w:sz w:val="20"/>
                <w:szCs w:val="20"/>
              </w:rPr>
            </w:pPr>
          </w:p>
          <w:p w14:paraId="226F4423" w14:textId="77777777" w:rsidR="000C465B" w:rsidRPr="000C465B" w:rsidRDefault="000C465B" w:rsidP="000C465B">
            <w:pPr>
              <w:spacing w:after="0"/>
              <w:rPr>
                <w:sz w:val="20"/>
                <w:szCs w:val="20"/>
              </w:rPr>
            </w:pPr>
            <w:r w:rsidRPr="000C465B">
              <w:rPr>
                <w:sz w:val="20"/>
                <w:szCs w:val="20"/>
              </w:rPr>
              <w:t>To help ensure CQRs (or portions of the comparative statement) which contain references to units of Legal Metrology are not misinterpreted as net content information, the following is recommended:</w:t>
            </w:r>
          </w:p>
          <w:p w14:paraId="2195A78B" w14:textId="77777777" w:rsidR="000C465B" w:rsidRPr="000C465B" w:rsidRDefault="000C465B" w:rsidP="000C465B">
            <w:pPr>
              <w:spacing w:after="0"/>
              <w:rPr>
                <w:sz w:val="20"/>
                <w:szCs w:val="20"/>
              </w:rPr>
            </w:pPr>
          </w:p>
          <w:p w14:paraId="05493526" w14:textId="77777777" w:rsidR="000C465B" w:rsidRPr="000C465B" w:rsidRDefault="000C465B" w:rsidP="000C465B">
            <w:pPr>
              <w:numPr>
                <w:ilvl w:val="0"/>
                <w:numId w:val="130"/>
              </w:numPr>
              <w:spacing w:after="0"/>
              <w:contextualSpacing/>
              <w:jc w:val="left"/>
              <w:rPr>
                <w:rFonts w:eastAsia="Times New Roman"/>
                <w:sz w:val="20"/>
                <w:szCs w:val="20"/>
              </w:rPr>
            </w:pPr>
            <w:r w:rsidRPr="000C465B">
              <w:rPr>
                <w:rFonts w:eastAsia="Times New Roman"/>
                <w:sz w:val="20"/>
                <w:szCs w:val="20"/>
              </w:rPr>
              <w:t>A comparative expression comprised of one or more units of Legal Metrology must appear in its entirety in the upper 70% of the PDP or on another panel of the package.  It should not appear in total or part in the lower 30% of the PDP.</w:t>
            </w:r>
          </w:p>
          <w:p w14:paraId="6488A860" w14:textId="77777777" w:rsidR="000C465B" w:rsidRPr="000C465B" w:rsidRDefault="000C465B" w:rsidP="000C465B">
            <w:pPr>
              <w:numPr>
                <w:ilvl w:val="0"/>
                <w:numId w:val="130"/>
              </w:numPr>
              <w:spacing w:after="0"/>
              <w:contextualSpacing/>
              <w:jc w:val="left"/>
              <w:rPr>
                <w:rFonts w:eastAsia="Times New Roman"/>
                <w:sz w:val="20"/>
                <w:szCs w:val="20"/>
              </w:rPr>
            </w:pPr>
            <w:r w:rsidRPr="000C465B">
              <w:rPr>
                <w:rFonts w:eastAsia="Times New Roman"/>
                <w:sz w:val="20"/>
                <w:szCs w:val="20"/>
              </w:rPr>
              <w:t>A comparative expression comprised of one of more units of Legal Metrology must be a complete statement with clear and explicit reference to the products that are being compared.  For example, “This product provides 40% more product than the 20 ounce size”.  Just saying “40% more product” is not a complete statement.  Use of asterisks and asterisked statements located elsewhere on the label are not recommended as means to provide a complete statement.  If a statement appears on the PDP, it must be a complete statement on the PDP.</w:t>
            </w:r>
          </w:p>
          <w:p w14:paraId="69B06634" w14:textId="77777777" w:rsidR="000C465B" w:rsidRPr="000C465B" w:rsidRDefault="000C465B" w:rsidP="000C465B">
            <w:pPr>
              <w:spacing w:after="0"/>
              <w:rPr>
                <w:bCs/>
                <w:sz w:val="20"/>
                <w:szCs w:val="20"/>
              </w:rPr>
            </w:pPr>
          </w:p>
        </w:tc>
      </w:tr>
      <w:tr w:rsidR="000C465B" w:rsidRPr="000C465B" w14:paraId="2074509D" w14:textId="77777777" w:rsidTr="005F0F3E">
        <w:trPr>
          <w:cantSplit/>
        </w:trPr>
        <w:tc>
          <w:tcPr>
            <w:tcW w:w="2221" w:type="dxa"/>
          </w:tcPr>
          <w:p w14:paraId="587180AF" w14:textId="77777777" w:rsidR="000C465B" w:rsidRPr="000C465B" w:rsidRDefault="000C465B" w:rsidP="000C465B">
            <w:pPr>
              <w:spacing w:after="0"/>
              <w:jc w:val="left"/>
              <w:rPr>
                <w:sz w:val="20"/>
                <w:szCs w:val="20"/>
              </w:rPr>
            </w:pPr>
          </w:p>
        </w:tc>
        <w:tc>
          <w:tcPr>
            <w:tcW w:w="7129" w:type="dxa"/>
          </w:tcPr>
          <w:p w14:paraId="156295D0"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 xml:space="preserve">Information gathered on comparative products should use the same testing methodology as that used for the package bearing the CQR, unless it is not technically feasible and an alternate objective test method is used. </w:t>
            </w:r>
          </w:p>
          <w:p w14:paraId="021A170C" w14:textId="77777777" w:rsidR="000C465B" w:rsidRPr="000C465B" w:rsidRDefault="000C465B" w:rsidP="000C465B">
            <w:pPr>
              <w:spacing w:before="240" w:after="100" w:afterAutospacing="1"/>
              <w:ind w:left="720"/>
              <w:contextualSpacing/>
              <w:jc w:val="left"/>
              <w:rPr>
                <w:rFonts w:eastAsia="Times New Roman"/>
                <w:sz w:val="20"/>
                <w:szCs w:val="20"/>
              </w:rPr>
            </w:pPr>
            <w:r w:rsidRPr="000C465B">
              <w:rPr>
                <w:rFonts w:eastAsia="Times New Roman"/>
                <w:sz w:val="20"/>
                <w:szCs w:val="20"/>
              </w:rPr>
              <w:t xml:space="preserve"> </w:t>
            </w:r>
          </w:p>
          <w:p w14:paraId="3DF2C99A"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While a CQR is not required to name another brand, it is the manufacturer's responsibility to ensure the CQR statement is accurate and valid. Although CQR accuracy is often easy to assess since the CQR and DoNQ are both present on the PDP, CQR statements are still required to be accurate and verifiable, should be supported by manufacturer data, and are subject to external evaluation and confirmation.</w:t>
            </w:r>
          </w:p>
          <w:p w14:paraId="262CF32A" w14:textId="77777777" w:rsidR="000C465B" w:rsidRPr="000C465B" w:rsidRDefault="000C465B" w:rsidP="000C465B">
            <w:pPr>
              <w:spacing w:before="240" w:after="100" w:afterAutospacing="1"/>
              <w:ind w:left="720"/>
              <w:contextualSpacing/>
              <w:jc w:val="left"/>
              <w:rPr>
                <w:rFonts w:eastAsia="Times New Roman"/>
                <w:sz w:val="20"/>
                <w:szCs w:val="20"/>
              </w:rPr>
            </w:pPr>
          </w:p>
          <w:p w14:paraId="2579510D"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 xml:space="preserve">A comparative expression comprised of one or more units of Legal Metrology must provide equal emphasis on the units of measure.  For example, “This </w:t>
            </w:r>
            <w:r w:rsidRPr="000C465B">
              <w:rPr>
                <w:rFonts w:eastAsia="Times New Roman"/>
                <w:b/>
                <w:color w:val="FF0000"/>
                <w:sz w:val="20"/>
                <w:szCs w:val="20"/>
              </w:rPr>
              <w:t>46 OZ</w:t>
            </w:r>
            <w:r w:rsidRPr="000C465B">
              <w:rPr>
                <w:rFonts w:eastAsia="Times New Roman"/>
                <w:sz w:val="20"/>
                <w:szCs w:val="20"/>
              </w:rPr>
              <w:t xml:space="preserve"> package provides over 100% more product than our </w:t>
            </w:r>
            <w:r w:rsidRPr="000C465B">
              <w:rPr>
                <w:rFonts w:eastAsia="Times New Roman"/>
                <w:b/>
                <w:color w:val="FF0000"/>
                <w:sz w:val="20"/>
                <w:szCs w:val="20"/>
              </w:rPr>
              <w:t>22 OZ</w:t>
            </w:r>
            <w:r w:rsidRPr="000C465B">
              <w:rPr>
                <w:rFonts w:eastAsia="Times New Roman"/>
                <w:sz w:val="20"/>
                <w:szCs w:val="20"/>
              </w:rPr>
              <w:t xml:space="preserve"> package”.  </w:t>
            </w:r>
            <w:commentRangeStart w:id="892"/>
            <w:commentRangeEnd w:id="892"/>
            <w:r w:rsidRPr="000C465B">
              <w:rPr>
                <w:rStyle w:val="CommentReference"/>
                <w:rFonts w:eastAsia="Times New Roman"/>
                <w:sz w:val="20"/>
                <w:szCs w:val="20"/>
              </w:rPr>
              <w:commentReference w:id="892"/>
            </w:r>
            <w:r w:rsidRPr="000C465B">
              <w:rPr>
                <w:rFonts w:eastAsia="Times New Roman"/>
                <w:sz w:val="20"/>
                <w:szCs w:val="20"/>
              </w:rPr>
              <w:t xml:space="preserve"> </w:t>
            </w:r>
          </w:p>
          <w:p w14:paraId="3A271B71" w14:textId="77777777" w:rsidR="000C465B" w:rsidRPr="000C465B" w:rsidRDefault="000C465B" w:rsidP="000C465B">
            <w:pPr>
              <w:spacing w:before="240" w:after="100" w:afterAutospacing="1"/>
              <w:ind w:left="720"/>
              <w:contextualSpacing/>
              <w:jc w:val="left"/>
              <w:rPr>
                <w:rFonts w:eastAsia="Times New Roman"/>
                <w:sz w:val="20"/>
                <w:szCs w:val="20"/>
              </w:rPr>
            </w:pPr>
          </w:p>
          <w:p w14:paraId="09548EFA"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 xml:space="preserve">While asterisks may be used in conjunction with a CQR, asterisked information should be used to provide a reference for the basis of the expression and not explain what the CQR really means.  A CQR needs to be able to stand on its own.  </w:t>
            </w:r>
          </w:p>
          <w:p w14:paraId="0BFDC6E5" w14:textId="77777777" w:rsidR="000C465B" w:rsidRPr="000C465B" w:rsidRDefault="000C465B" w:rsidP="000C465B">
            <w:pPr>
              <w:spacing w:before="240" w:after="100" w:afterAutospacing="1"/>
              <w:ind w:left="720"/>
              <w:contextualSpacing/>
              <w:jc w:val="left"/>
              <w:rPr>
                <w:rFonts w:eastAsia="Times New Roman"/>
                <w:sz w:val="20"/>
                <w:szCs w:val="20"/>
              </w:rPr>
            </w:pPr>
          </w:p>
          <w:p w14:paraId="21C3E9E7"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 xml:space="preserve">To aid in verification, it is critically important that comparative statements be complete and include correct references to the package and the comparative product(s) to which this package is being compared.  For example, a CQR should be a complete statement that makes clear the quantity being compared, the product used in comparison and, if the comparison appears unusual, enough context to ensure the statement is reasonably clear.  A consumer’s first reaction to a CQR should not be, “that statement is unclear or doesn’t make sense”. </w:t>
            </w:r>
          </w:p>
          <w:p w14:paraId="73F10AEC" w14:textId="77777777" w:rsidR="000C465B" w:rsidRPr="000C465B" w:rsidRDefault="000C465B" w:rsidP="000C465B">
            <w:pPr>
              <w:spacing w:before="240" w:after="100" w:afterAutospacing="1"/>
              <w:ind w:left="720"/>
              <w:contextualSpacing/>
              <w:jc w:val="left"/>
              <w:rPr>
                <w:rFonts w:eastAsia="Times New Roman"/>
                <w:sz w:val="20"/>
                <w:szCs w:val="20"/>
              </w:rPr>
            </w:pPr>
          </w:p>
          <w:p w14:paraId="013CEEEF" w14:textId="77777777" w:rsidR="000C465B" w:rsidRPr="000C465B" w:rsidRDefault="000C465B" w:rsidP="000C465B">
            <w:pPr>
              <w:numPr>
                <w:ilvl w:val="0"/>
                <w:numId w:val="130"/>
              </w:numPr>
              <w:spacing w:before="240" w:after="100" w:afterAutospacing="1"/>
              <w:contextualSpacing/>
              <w:jc w:val="left"/>
              <w:rPr>
                <w:rFonts w:eastAsia="Times New Roman"/>
                <w:sz w:val="20"/>
                <w:szCs w:val="20"/>
              </w:rPr>
            </w:pPr>
            <w:r w:rsidRPr="000C465B">
              <w:rPr>
                <w:rFonts w:eastAsia="Times New Roman"/>
                <w:sz w:val="20"/>
                <w:szCs w:val="20"/>
              </w:rPr>
              <w:t xml:space="preserve">When using a CQR, the comparative product should be another product currently marketed in that general marketplace or the previously marketed version to the same or similar product to make the representation relevant to the consumer.  Comparing to a product marketed five years ago provides little value for most consumers. </w:t>
            </w:r>
          </w:p>
          <w:p w14:paraId="19A6E938" w14:textId="77777777" w:rsidR="000C465B" w:rsidRPr="000C465B" w:rsidRDefault="000C465B" w:rsidP="000C465B">
            <w:pPr>
              <w:spacing w:before="240" w:after="0"/>
              <w:jc w:val="left"/>
              <w:rPr>
                <w:sz w:val="20"/>
                <w:szCs w:val="20"/>
              </w:rPr>
            </w:pPr>
            <w:r w:rsidRPr="000C465B">
              <w:rPr>
                <w:sz w:val="20"/>
                <w:szCs w:val="20"/>
              </w:rPr>
              <w:t xml:space="preserve"> </w:t>
            </w:r>
          </w:p>
          <w:p w14:paraId="334DCB22" w14:textId="77777777" w:rsidR="000C465B" w:rsidRPr="000C465B" w:rsidRDefault="000C465B" w:rsidP="000C465B">
            <w:pPr>
              <w:spacing w:before="240" w:after="0"/>
              <w:jc w:val="left"/>
              <w:rPr>
                <w:sz w:val="20"/>
                <w:szCs w:val="20"/>
              </w:rPr>
            </w:pPr>
            <w:r w:rsidRPr="000C465B">
              <w:rPr>
                <w:bCs/>
                <w:sz w:val="20"/>
                <w:szCs w:val="20"/>
              </w:rPr>
              <w:t xml:space="preserve">Manufacturers are responsible for ensuring comparative expressions are complete and clear. </w:t>
            </w:r>
            <w:r w:rsidRPr="000C465B">
              <w:rPr>
                <w:sz w:val="20"/>
                <w:szCs w:val="20"/>
              </w:rPr>
              <w:t xml:space="preserve">          </w:t>
            </w:r>
          </w:p>
          <w:p w14:paraId="4A76A8C3" w14:textId="77777777" w:rsidR="000C465B" w:rsidRPr="000C465B" w:rsidRDefault="000C465B" w:rsidP="000C465B">
            <w:pPr>
              <w:spacing w:before="240" w:after="0"/>
              <w:jc w:val="left"/>
              <w:rPr>
                <w:sz w:val="20"/>
                <w:szCs w:val="20"/>
              </w:rPr>
            </w:pPr>
          </w:p>
          <w:p w14:paraId="45351506" w14:textId="77777777" w:rsidR="000C465B" w:rsidRPr="000C465B" w:rsidRDefault="000C465B" w:rsidP="000C465B">
            <w:pPr>
              <w:spacing w:before="240" w:after="0"/>
              <w:rPr>
                <w:bCs/>
                <w:sz w:val="20"/>
                <w:szCs w:val="20"/>
              </w:rPr>
            </w:pPr>
          </w:p>
        </w:tc>
      </w:tr>
      <w:tr w:rsidR="000C465B" w:rsidRPr="000C465B" w14:paraId="4BEEA5C4" w14:textId="77777777" w:rsidTr="005F0F3E">
        <w:trPr>
          <w:cantSplit/>
        </w:trPr>
        <w:tc>
          <w:tcPr>
            <w:tcW w:w="2221" w:type="dxa"/>
          </w:tcPr>
          <w:p w14:paraId="29454AD0" w14:textId="77777777" w:rsidR="000C465B" w:rsidRPr="000C465B" w:rsidRDefault="000C465B" w:rsidP="000C465B">
            <w:pPr>
              <w:spacing w:after="0"/>
              <w:jc w:val="left"/>
              <w:rPr>
                <w:sz w:val="20"/>
                <w:szCs w:val="20"/>
              </w:rPr>
            </w:pPr>
          </w:p>
          <w:p w14:paraId="6253D4BE" w14:textId="77777777" w:rsidR="000C465B" w:rsidRPr="000C465B" w:rsidRDefault="000C465B" w:rsidP="000C465B">
            <w:pPr>
              <w:spacing w:after="0"/>
              <w:jc w:val="left"/>
              <w:rPr>
                <w:sz w:val="20"/>
                <w:szCs w:val="20"/>
              </w:rPr>
            </w:pPr>
            <w:r w:rsidRPr="000C465B">
              <w:rPr>
                <w:sz w:val="20"/>
                <w:szCs w:val="20"/>
              </w:rPr>
              <w:t>12. Comparative expression which does not contain a reference to recognized units of Legal Metrology   must be balanced and complete.</w:t>
            </w:r>
          </w:p>
          <w:p w14:paraId="45156C4B" w14:textId="77777777" w:rsidR="000C465B" w:rsidRPr="000C465B" w:rsidRDefault="000C465B" w:rsidP="000C465B">
            <w:pPr>
              <w:spacing w:after="0"/>
              <w:jc w:val="left"/>
              <w:rPr>
                <w:sz w:val="20"/>
                <w:szCs w:val="20"/>
              </w:rPr>
            </w:pPr>
          </w:p>
          <w:p w14:paraId="61E848F8" w14:textId="77777777" w:rsidR="000C465B" w:rsidRPr="000C465B" w:rsidRDefault="000C465B" w:rsidP="000C465B">
            <w:pPr>
              <w:spacing w:after="0"/>
              <w:jc w:val="left"/>
              <w:rPr>
                <w:sz w:val="20"/>
                <w:szCs w:val="20"/>
              </w:rPr>
            </w:pPr>
            <w:r w:rsidRPr="000C465B">
              <w:rPr>
                <w:sz w:val="20"/>
                <w:szCs w:val="20"/>
              </w:rPr>
              <w:t xml:space="preserve">Applies to Comparative Performance Representations (CPR’s) </w:t>
            </w:r>
          </w:p>
          <w:p w14:paraId="27443620" w14:textId="77777777" w:rsidR="000C465B" w:rsidRPr="000C465B" w:rsidRDefault="000C465B" w:rsidP="000C465B">
            <w:pPr>
              <w:spacing w:after="0"/>
              <w:jc w:val="left"/>
              <w:rPr>
                <w:sz w:val="20"/>
                <w:szCs w:val="20"/>
              </w:rPr>
            </w:pPr>
          </w:p>
        </w:tc>
        <w:tc>
          <w:tcPr>
            <w:tcW w:w="7129" w:type="dxa"/>
          </w:tcPr>
          <w:p w14:paraId="7EDD2FE7" w14:textId="77777777" w:rsidR="000C465B" w:rsidRPr="000C465B" w:rsidRDefault="000C465B" w:rsidP="000C465B">
            <w:pPr>
              <w:spacing w:after="0"/>
              <w:rPr>
                <w:bCs/>
                <w:sz w:val="20"/>
                <w:szCs w:val="20"/>
              </w:rPr>
            </w:pPr>
          </w:p>
          <w:p w14:paraId="0683BFA9" w14:textId="77777777" w:rsidR="000C465B" w:rsidRPr="000C465B" w:rsidRDefault="000C465B" w:rsidP="000C465B">
            <w:pPr>
              <w:spacing w:after="0"/>
              <w:rPr>
                <w:bCs/>
                <w:sz w:val="20"/>
                <w:szCs w:val="20"/>
              </w:rPr>
            </w:pPr>
            <w:r w:rsidRPr="000C465B">
              <w:rPr>
                <w:bCs/>
                <w:sz w:val="20"/>
                <w:szCs w:val="20"/>
              </w:rPr>
              <w:t xml:space="preserve">Manufacturer interest in making comparative statements on their packages has increased as new product technologies have been incorporated into products, resulting in better or longer performance, greater product efficiency, more concentrated products, and lighter-weight products.  Traditional comparisons based solely on use of product net content declarations may not provide consumers with sufficient information necessary for consumers to make a fully informed decision.  Comparative statements are one means by which manufacturers can provide information about new product forms and performance to consumers.  They are also a means by which manufacturers can compare their products to competing products.   </w:t>
            </w:r>
          </w:p>
          <w:p w14:paraId="075C6AEC" w14:textId="77777777" w:rsidR="000C465B" w:rsidRPr="000C465B" w:rsidRDefault="000C465B" w:rsidP="000C465B">
            <w:pPr>
              <w:spacing w:after="0"/>
              <w:jc w:val="left"/>
              <w:rPr>
                <w:sz w:val="20"/>
                <w:szCs w:val="20"/>
              </w:rPr>
            </w:pPr>
          </w:p>
          <w:p w14:paraId="7F7E9FDF" w14:textId="77777777" w:rsidR="000C465B" w:rsidRPr="000C465B" w:rsidRDefault="000C465B" w:rsidP="000C465B">
            <w:pPr>
              <w:spacing w:after="0"/>
              <w:rPr>
                <w:bCs/>
                <w:sz w:val="20"/>
                <w:szCs w:val="20"/>
              </w:rPr>
            </w:pPr>
            <w:r w:rsidRPr="000C465B">
              <w:rPr>
                <w:bCs/>
                <w:sz w:val="20"/>
                <w:szCs w:val="20"/>
              </w:rPr>
              <w:t xml:space="preserve">Manufacturers must carefully consider using Comparative Performance Representations (CPR’s) on the Principal Display (PDP) panel to ensure the message is complete, clear, correct, relevant, and non-misleading.  </w:t>
            </w:r>
          </w:p>
          <w:p w14:paraId="37C81A6F" w14:textId="77777777" w:rsidR="000C465B" w:rsidRPr="000C465B" w:rsidRDefault="000C465B" w:rsidP="000C465B">
            <w:pPr>
              <w:spacing w:after="0"/>
              <w:jc w:val="left"/>
              <w:rPr>
                <w:sz w:val="20"/>
                <w:szCs w:val="20"/>
              </w:rPr>
            </w:pPr>
          </w:p>
          <w:p w14:paraId="12AAE7DF" w14:textId="77777777" w:rsidR="000C465B" w:rsidRPr="000C465B" w:rsidRDefault="000C465B" w:rsidP="000C465B">
            <w:pPr>
              <w:spacing w:after="0"/>
              <w:rPr>
                <w:sz w:val="20"/>
                <w:szCs w:val="20"/>
              </w:rPr>
            </w:pPr>
            <w:r w:rsidRPr="000C465B">
              <w:rPr>
                <w:bCs/>
                <w:sz w:val="20"/>
                <w:szCs w:val="20"/>
              </w:rPr>
              <w:t xml:space="preserve">Comparative Performance Representations may provide consumers with important information regarding how well or long a product might perform but also have the potential to confuse or mislead consumers about products.  These statements can vary in length, word choice, use of icons and pictograms, the quantity(ies) being compared, and can use limitless choices of fonts, colors, and contrasts to emphasize all or certain parts of a comparative statement.   </w:t>
            </w:r>
            <w:r w:rsidRPr="000C465B">
              <w:rPr>
                <w:sz w:val="20"/>
                <w:szCs w:val="20"/>
              </w:rPr>
              <w:t xml:space="preserve">A manufacturer must carefully consider how the CPR content, location, font, and contrast will appear in conjunction with the package’s required Declaration of Net Quantity (DoNQ) and other expressions to help facilitate consumers' ability to make accurate value comparisons.  </w:t>
            </w:r>
          </w:p>
          <w:p w14:paraId="418E1DCB" w14:textId="77777777" w:rsidR="000C465B" w:rsidRPr="000C465B" w:rsidRDefault="000C465B" w:rsidP="000C465B">
            <w:pPr>
              <w:spacing w:after="0"/>
              <w:rPr>
                <w:sz w:val="20"/>
                <w:szCs w:val="20"/>
              </w:rPr>
            </w:pPr>
          </w:p>
          <w:p w14:paraId="0419CF0A" w14:textId="77777777" w:rsidR="000C465B" w:rsidRPr="000C465B" w:rsidRDefault="000C465B" w:rsidP="000C465B">
            <w:pPr>
              <w:spacing w:after="0"/>
              <w:rPr>
                <w:sz w:val="20"/>
                <w:szCs w:val="20"/>
              </w:rPr>
            </w:pPr>
            <w:r w:rsidRPr="000C465B">
              <w:rPr>
                <w:sz w:val="20"/>
                <w:szCs w:val="20"/>
              </w:rPr>
              <w:t>To help ensure CPR’s are clear and not misinterpreted, the following is recommended:</w:t>
            </w:r>
          </w:p>
          <w:p w14:paraId="6D286163" w14:textId="77777777" w:rsidR="000C465B" w:rsidRPr="000C465B" w:rsidRDefault="000C465B" w:rsidP="000C465B">
            <w:pPr>
              <w:spacing w:after="0"/>
              <w:rPr>
                <w:sz w:val="20"/>
                <w:szCs w:val="20"/>
              </w:rPr>
            </w:pPr>
          </w:p>
          <w:p w14:paraId="412CF9FE"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A comparative performance representation must be a complete statement with clear and explicit reference to the products that are being compared.  For example, “This new 20-ounce package provides the same number of uses as our old 46-ounce package.” or “This 20-ounce concentrate provides 100% more uses over our 20-ounce unconcentrated product”.   Just saying “100% more uses.” is not a complete statement.  The use of asterisks and asterisked statements located elsewhere on the label are not recommended as a means to provide a complete statement.  If a statement appears on the PDP, it must be a complete statement on the PDP.</w:t>
            </w:r>
          </w:p>
          <w:p w14:paraId="757F55D2"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Information gathered on comparative products should use the same testing methodology as that used for the package bearing the CPR, Information gathered on comparative products should use the same testing methodology as that used for the package bearing the CPR,</w:t>
            </w:r>
          </w:p>
          <w:p w14:paraId="310C3D3F" w14:textId="77777777" w:rsidR="000C465B" w:rsidRPr="000C465B" w:rsidRDefault="000C465B" w:rsidP="000C465B">
            <w:pPr>
              <w:spacing w:after="0"/>
              <w:rPr>
                <w:sz w:val="20"/>
                <w:szCs w:val="20"/>
              </w:rPr>
            </w:pPr>
          </w:p>
          <w:p w14:paraId="3D96595A" w14:textId="77777777" w:rsidR="000C465B" w:rsidRPr="000C465B" w:rsidRDefault="000C465B" w:rsidP="000C465B">
            <w:pPr>
              <w:spacing w:after="0"/>
              <w:jc w:val="left"/>
              <w:rPr>
                <w:sz w:val="20"/>
                <w:szCs w:val="20"/>
              </w:rPr>
            </w:pPr>
          </w:p>
        </w:tc>
      </w:tr>
      <w:tr w:rsidR="000C465B" w:rsidRPr="000C465B" w14:paraId="75901F26" w14:textId="77777777" w:rsidTr="005F0F3E">
        <w:trPr>
          <w:cantSplit/>
        </w:trPr>
        <w:tc>
          <w:tcPr>
            <w:tcW w:w="2221" w:type="dxa"/>
          </w:tcPr>
          <w:p w14:paraId="1D5A2267" w14:textId="77777777" w:rsidR="000C465B" w:rsidRPr="000C465B" w:rsidRDefault="000C465B" w:rsidP="000C465B">
            <w:pPr>
              <w:spacing w:after="0"/>
              <w:jc w:val="left"/>
              <w:rPr>
                <w:sz w:val="20"/>
                <w:szCs w:val="20"/>
              </w:rPr>
            </w:pPr>
          </w:p>
        </w:tc>
        <w:tc>
          <w:tcPr>
            <w:tcW w:w="7129" w:type="dxa"/>
          </w:tcPr>
          <w:p w14:paraId="25E686DC"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While a CPR is not required to name another brand, it is the manufacturer's responsibility to ensure the CPR statement is accurate and valid. Although CPR accuracy is often easy to assess since the CPR and DoNQ are both present on the PDP, CPR statements are still required to be accurate and verifiable, should be supported by manufacturer data, and are subject to external evaluation and confirmation.</w:t>
            </w:r>
          </w:p>
          <w:p w14:paraId="17D07DAA"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 xml:space="preserve">A comparative expression comprised of one or more units must provide equal emphasis on the units of measure.  For example, “This </w:t>
            </w:r>
            <w:commentRangeStart w:id="893"/>
            <w:r w:rsidRPr="000C465B">
              <w:rPr>
                <w:rFonts w:eastAsia="Times New Roman"/>
                <w:b/>
                <w:color w:val="FF0000"/>
                <w:sz w:val="20"/>
                <w:szCs w:val="20"/>
              </w:rPr>
              <w:t>40 Load</w:t>
            </w:r>
            <w:r w:rsidRPr="000C465B">
              <w:rPr>
                <w:rFonts w:eastAsia="Times New Roman"/>
                <w:sz w:val="20"/>
                <w:szCs w:val="20"/>
              </w:rPr>
              <w:t xml:space="preserve"> package provides double the uses as our </w:t>
            </w:r>
            <w:r w:rsidRPr="000C465B">
              <w:rPr>
                <w:rFonts w:eastAsia="Times New Roman"/>
                <w:b/>
                <w:color w:val="FF0000"/>
                <w:sz w:val="20"/>
                <w:szCs w:val="20"/>
              </w:rPr>
              <w:t>20 Load</w:t>
            </w:r>
            <w:r w:rsidRPr="000C465B">
              <w:rPr>
                <w:rFonts w:eastAsia="Times New Roman"/>
                <w:sz w:val="20"/>
                <w:szCs w:val="20"/>
              </w:rPr>
              <w:t xml:space="preserve"> package”.    </w:t>
            </w:r>
            <w:commentRangeEnd w:id="893"/>
            <w:r w:rsidRPr="000C465B">
              <w:rPr>
                <w:rStyle w:val="CommentReference"/>
                <w:rFonts w:eastAsia="Times New Roman"/>
                <w:sz w:val="20"/>
                <w:szCs w:val="20"/>
              </w:rPr>
              <w:commentReference w:id="893"/>
            </w:r>
          </w:p>
          <w:p w14:paraId="3471B122"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 xml:space="preserve">While asterisks may be used in conjunction with a CPR, asterisked information should be used to provide a reference for the basis of the expression and not explain what the CPR really means.  A CPR needs to be able to stand on its own.  </w:t>
            </w:r>
          </w:p>
          <w:p w14:paraId="08A53F0B"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 xml:space="preserve">To aid in verification, it is critically important that comparative statements be complete and include correct references to the package and the comparative product(s) to which this package is being compared.  For example, a CPR should be a complete statement that makes clear the quantity being compared, the product used in comparison and, if the comparison appears unusual, enough context to ensure the statement is reasonably clear.  A consumer’s first reaction to a CPR should not be, “that statement is unclear or doesn’t make sense”.  </w:t>
            </w:r>
          </w:p>
          <w:p w14:paraId="46704CBB" w14:textId="77777777" w:rsidR="000C465B" w:rsidRPr="000C465B" w:rsidRDefault="000C465B" w:rsidP="000C465B">
            <w:pPr>
              <w:numPr>
                <w:ilvl w:val="0"/>
                <w:numId w:val="122"/>
              </w:numPr>
              <w:spacing w:after="0"/>
              <w:contextualSpacing/>
              <w:jc w:val="left"/>
              <w:rPr>
                <w:rFonts w:eastAsia="Times New Roman"/>
                <w:sz w:val="20"/>
                <w:szCs w:val="20"/>
              </w:rPr>
            </w:pPr>
            <w:r w:rsidRPr="000C465B">
              <w:rPr>
                <w:rFonts w:eastAsia="Times New Roman"/>
                <w:sz w:val="20"/>
                <w:szCs w:val="20"/>
              </w:rPr>
              <w:t xml:space="preserve">When using a CPR, the comparative product should be another product currently marketed in that general marketplace or the previously marketed version to the same or similar product to make the representation relevant to the consumer.  Comparing to a product marketed five years ago provides little value for most consumers.  </w:t>
            </w:r>
          </w:p>
          <w:p w14:paraId="5D3C8390" w14:textId="77777777" w:rsidR="000C465B" w:rsidRPr="000C465B" w:rsidRDefault="000C465B" w:rsidP="000C465B">
            <w:pPr>
              <w:spacing w:after="0"/>
              <w:jc w:val="left"/>
              <w:rPr>
                <w:bCs/>
                <w:sz w:val="20"/>
                <w:szCs w:val="20"/>
              </w:rPr>
            </w:pPr>
            <w:r w:rsidRPr="000C465B">
              <w:rPr>
                <w:sz w:val="20"/>
                <w:szCs w:val="20"/>
              </w:rPr>
              <w:t xml:space="preserve">         </w:t>
            </w:r>
          </w:p>
        </w:tc>
      </w:tr>
    </w:tbl>
    <w:p w14:paraId="3507EDF7" w14:textId="77777777" w:rsidR="000C465B" w:rsidRPr="000C465B" w:rsidRDefault="000C465B" w:rsidP="000C465B">
      <w:pPr>
        <w:spacing w:after="200" w:line="276" w:lineRule="auto"/>
        <w:jc w:val="center"/>
        <w:rPr>
          <w:rFonts w:ascii="Calibri" w:hAnsi="Calibri"/>
          <w:sz w:val="22"/>
        </w:rPr>
      </w:pPr>
    </w:p>
    <w:p w14:paraId="0C40EBA2" w14:textId="77777777" w:rsidR="000C465B" w:rsidRPr="000C465B" w:rsidRDefault="000C465B" w:rsidP="000C465B">
      <w:pPr>
        <w:spacing w:after="200" w:line="276" w:lineRule="auto"/>
        <w:jc w:val="center"/>
        <w:rPr>
          <w:rFonts w:ascii="Calibri" w:hAnsi="Calibri"/>
          <w:b/>
          <w:sz w:val="40"/>
          <w:szCs w:val="40"/>
        </w:rPr>
      </w:pPr>
      <w:bookmarkStart w:id="894" w:name="Enforcement"/>
      <w:bookmarkEnd w:id="894"/>
    </w:p>
    <w:p w14:paraId="319C6398" w14:textId="77777777" w:rsidR="000C465B" w:rsidRPr="000C465B" w:rsidRDefault="000C465B" w:rsidP="000C465B">
      <w:pPr>
        <w:spacing w:after="200" w:line="276" w:lineRule="auto"/>
        <w:jc w:val="center"/>
        <w:rPr>
          <w:rFonts w:ascii="Calibri" w:hAnsi="Calibri"/>
          <w:b/>
          <w:sz w:val="40"/>
          <w:szCs w:val="40"/>
        </w:rPr>
      </w:pPr>
    </w:p>
    <w:p w14:paraId="57A58B78" w14:textId="77777777" w:rsidR="000C465B" w:rsidRPr="000C465B" w:rsidRDefault="000C465B" w:rsidP="000C465B">
      <w:pPr>
        <w:spacing w:after="200" w:line="276" w:lineRule="auto"/>
        <w:jc w:val="center"/>
        <w:rPr>
          <w:rFonts w:ascii="Calibri" w:hAnsi="Calibri"/>
          <w:b/>
          <w:sz w:val="40"/>
          <w:szCs w:val="40"/>
        </w:rPr>
      </w:pPr>
    </w:p>
    <w:p w14:paraId="04E45EDA" w14:textId="77777777" w:rsidR="000C465B" w:rsidRPr="000C465B" w:rsidRDefault="000C465B" w:rsidP="000C465B">
      <w:pPr>
        <w:spacing w:after="200" w:line="276" w:lineRule="auto"/>
        <w:jc w:val="center"/>
        <w:rPr>
          <w:rFonts w:ascii="Calibri" w:hAnsi="Calibri"/>
          <w:b/>
          <w:sz w:val="40"/>
          <w:szCs w:val="40"/>
        </w:rPr>
      </w:pPr>
    </w:p>
    <w:p w14:paraId="48178605" w14:textId="77777777" w:rsidR="000C465B" w:rsidRPr="000C465B" w:rsidRDefault="000C465B" w:rsidP="000C465B">
      <w:pPr>
        <w:spacing w:after="200" w:line="276" w:lineRule="auto"/>
        <w:jc w:val="center"/>
        <w:rPr>
          <w:rFonts w:ascii="Calibri" w:hAnsi="Calibri"/>
          <w:b/>
          <w:sz w:val="40"/>
          <w:szCs w:val="40"/>
        </w:rPr>
      </w:pPr>
    </w:p>
    <w:p w14:paraId="497D49D4" w14:textId="77777777" w:rsidR="000C465B" w:rsidRPr="000C465B" w:rsidRDefault="000C465B" w:rsidP="000C465B">
      <w:pPr>
        <w:spacing w:after="200" w:line="276" w:lineRule="auto"/>
        <w:jc w:val="center"/>
        <w:rPr>
          <w:rFonts w:ascii="Calibri" w:hAnsi="Calibri"/>
          <w:b/>
          <w:sz w:val="40"/>
          <w:szCs w:val="40"/>
        </w:rPr>
      </w:pPr>
    </w:p>
    <w:p w14:paraId="242F8849" w14:textId="77777777" w:rsidR="00810BDD" w:rsidRDefault="00810BDD">
      <w:pPr>
        <w:spacing w:after="0"/>
        <w:jc w:val="left"/>
        <w:rPr>
          <w:b/>
          <w:sz w:val="36"/>
          <w:szCs w:val="36"/>
        </w:rPr>
      </w:pPr>
      <w:r>
        <w:rPr>
          <w:b/>
          <w:sz w:val="36"/>
          <w:szCs w:val="36"/>
        </w:rPr>
        <w:br w:type="page"/>
      </w:r>
    </w:p>
    <w:p w14:paraId="668625F3" w14:textId="00ED219F" w:rsidR="000C465B" w:rsidRPr="000C465B" w:rsidRDefault="000C465B" w:rsidP="000C465B">
      <w:pPr>
        <w:spacing w:after="200" w:line="276" w:lineRule="auto"/>
        <w:jc w:val="center"/>
        <w:rPr>
          <w:b/>
          <w:sz w:val="36"/>
          <w:szCs w:val="36"/>
        </w:rPr>
      </w:pPr>
      <w:r w:rsidRPr="000C465B">
        <w:rPr>
          <w:b/>
          <w:sz w:val="36"/>
          <w:szCs w:val="36"/>
        </w:rPr>
        <w:lastRenderedPageBreak/>
        <w:t>Enforcement</w:t>
      </w:r>
    </w:p>
    <w:p w14:paraId="436AD69C" w14:textId="77777777" w:rsidR="000C465B" w:rsidRPr="000C465B" w:rsidRDefault="000C465B" w:rsidP="000C465B">
      <w:pPr>
        <w:spacing w:after="0"/>
        <w:rPr>
          <w:rFonts w:eastAsia="Times New Roman"/>
          <w:szCs w:val="20"/>
        </w:rPr>
      </w:pPr>
      <w:r w:rsidRPr="000C465B">
        <w:rPr>
          <w:rFonts w:eastAsia="Times New Roman"/>
          <w:szCs w:val="20"/>
        </w:rPr>
        <w:t xml:space="preserve">Voluntarily added quantity-related expressions are distinct from the Declaration of Net Quantity (DoNQ) and therefore require a different enforcement strategy. The DoNQ is mandatory and is enforced using practices developed over many decades and set out in extensive detail in applicable laws, regulations, and guidance. In contrast, as a type of voluntary label claim, voluntary statements are enforced in the same way as other voluntary claims.  </w:t>
      </w:r>
    </w:p>
    <w:p w14:paraId="74B7F7C2" w14:textId="77777777" w:rsidR="000C465B" w:rsidRPr="000C465B" w:rsidRDefault="000C465B" w:rsidP="000C465B">
      <w:pPr>
        <w:spacing w:after="0"/>
        <w:rPr>
          <w:rFonts w:eastAsia="Times New Roman"/>
          <w:szCs w:val="20"/>
        </w:rPr>
      </w:pPr>
      <w:r w:rsidRPr="000C465B">
        <w:rPr>
          <w:rFonts w:eastAsia="Times New Roman"/>
          <w:szCs w:val="20"/>
        </w:rPr>
        <w:t> </w:t>
      </w:r>
    </w:p>
    <w:p w14:paraId="50A8CC8E" w14:textId="77777777" w:rsidR="000C465B" w:rsidRPr="000C465B" w:rsidRDefault="000C465B" w:rsidP="000C465B">
      <w:pPr>
        <w:spacing w:after="0"/>
        <w:rPr>
          <w:rFonts w:eastAsia="Times New Roman"/>
          <w:szCs w:val="20"/>
        </w:rPr>
      </w:pPr>
      <w:r w:rsidRPr="000C465B">
        <w:rPr>
          <w:rFonts w:eastAsia="Times New Roman"/>
          <w:szCs w:val="20"/>
        </w:rPr>
        <w:t>Importantly, voluntary statements are subject to a wide range of legal and regulatory requirements. Some of these requirements are general in nature, and some are specific to net contents.  An example of a general requirement is the FDA's prohibition of false or misleading statements of any kind on food labels. Specific prohibitions are set out in many state laws and regulations, such as laws that prohibit misrepresentations relating to quantity. For example, Florida law provides that "no person shall sell or offer or exposure for sale less than the quantity he or she represents."  Wisconsin law prohibits representations “</w:t>
      </w:r>
      <w:r w:rsidRPr="000C465B">
        <w:rPr>
          <w:szCs w:val="20"/>
        </w:rPr>
        <w:t>in any manner a false quantity or price in connection with the purchase or sale, or any advertising thereof, of any commodity, thing or service.”</w:t>
      </w:r>
    </w:p>
    <w:p w14:paraId="76BC3FD2" w14:textId="77777777" w:rsidR="000C465B" w:rsidRPr="000C465B" w:rsidRDefault="000C465B" w:rsidP="000C465B">
      <w:pPr>
        <w:spacing w:after="0"/>
        <w:rPr>
          <w:rFonts w:eastAsia="Times New Roman"/>
          <w:szCs w:val="20"/>
        </w:rPr>
      </w:pPr>
      <w:r w:rsidRPr="000C465B">
        <w:rPr>
          <w:rFonts w:eastAsia="Times New Roman"/>
          <w:szCs w:val="20"/>
        </w:rPr>
        <w:t> </w:t>
      </w:r>
    </w:p>
    <w:p w14:paraId="2EE94C22" w14:textId="77777777" w:rsidR="000C465B" w:rsidRPr="000C465B" w:rsidRDefault="000C465B" w:rsidP="000C465B">
      <w:pPr>
        <w:spacing w:after="0"/>
        <w:rPr>
          <w:rFonts w:eastAsia="Times New Roman"/>
          <w:szCs w:val="20"/>
        </w:rPr>
      </w:pPr>
      <w:r w:rsidRPr="000C465B">
        <w:rPr>
          <w:rFonts w:eastAsia="Times New Roman"/>
          <w:szCs w:val="20"/>
        </w:rPr>
        <w:t>These and other requirements for voluntary statements are legal obligations and companies must be prepared to demonstrate compliance as necessary. Enforcement practices that are selected will depend on the situation and may include a range of tactics:</w:t>
      </w:r>
    </w:p>
    <w:p w14:paraId="471A7D1B" w14:textId="77777777" w:rsidR="000C465B" w:rsidRPr="000C465B" w:rsidRDefault="000C465B" w:rsidP="000C465B">
      <w:pPr>
        <w:spacing w:after="0"/>
        <w:jc w:val="left"/>
        <w:rPr>
          <w:rFonts w:eastAsia="Times New Roman"/>
          <w:szCs w:val="20"/>
        </w:rPr>
      </w:pPr>
      <w:r w:rsidRPr="000C465B">
        <w:rPr>
          <w:rFonts w:eastAsia="Times New Roman"/>
          <w:szCs w:val="20"/>
        </w:rPr>
        <w:t> </w:t>
      </w:r>
    </w:p>
    <w:p w14:paraId="5E3E5CF5" w14:textId="77777777" w:rsidR="000C465B" w:rsidRPr="000C465B" w:rsidRDefault="000C465B" w:rsidP="000C465B">
      <w:pPr>
        <w:numPr>
          <w:ilvl w:val="0"/>
          <w:numId w:val="107"/>
        </w:numPr>
        <w:tabs>
          <w:tab w:val="num" w:pos="1260"/>
        </w:tabs>
        <w:spacing w:after="0" w:line="276" w:lineRule="auto"/>
        <w:jc w:val="left"/>
        <w:textAlignment w:val="center"/>
        <w:rPr>
          <w:rFonts w:eastAsia="Times New Roman"/>
          <w:szCs w:val="20"/>
        </w:rPr>
      </w:pPr>
      <w:r w:rsidRPr="000C465B">
        <w:rPr>
          <w:rFonts w:eastAsia="Times New Roman"/>
          <w:szCs w:val="20"/>
        </w:rPr>
        <w:t>Informal inquiries (e.g., questions during inspections or via a phone call)</w:t>
      </w:r>
    </w:p>
    <w:p w14:paraId="19810F47" w14:textId="77777777" w:rsidR="000C465B" w:rsidRPr="000C465B" w:rsidRDefault="000C465B" w:rsidP="000C465B">
      <w:pPr>
        <w:numPr>
          <w:ilvl w:val="0"/>
          <w:numId w:val="108"/>
        </w:numPr>
        <w:tabs>
          <w:tab w:val="num" w:pos="1260"/>
        </w:tabs>
        <w:spacing w:after="0" w:line="276" w:lineRule="auto"/>
        <w:ind w:left="1080"/>
        <w:jc w:val="left"/>
        <w:textAlignment w:val="center"/>
        <w:rPr>
          <w:rFonts w:eastAsia="Times New Roman"/>
          <w:szCs w:val="20"/>
        </w:rPr>
      </w:pPr>
      <w:r w:rsidRPr="000C465B">
        <w:rPr>
          <w:rFonts w:eastAsia="Times New Roman"/>
          <w:szCs w:val="20"/>
        </w:rPr>
        <w:t>Written requests to demonstrate compliance (e.g., letters sent to the attention of a company's executives or legal/regulatory departments), which may be initiated by either regulators or by industry in the event of a potential competitive dispute.</w:t>
      </w:r>
    </w:p>
    <w:p w14:paraId="0733DC55" w14:textId="77777777" w:rsidR="000C465B" w:rsidRPr="000C465B" w:rsidRDefault="000C465B" w:rsidP="000C465B">
      <w:pPr>
        <w:numPr>
          <w:ilvl w:val="0"/>
          <w:numId w:val="109"/>
        </w:numPr>
        <w:tabs>
          <w:tab w:val="num" w:pos="1260"/>
        </w:tabs>
        <w:spacing w:after="0" w:line="276" w:lineRule="auto"/>
        <w:ind w:left="1080"/>
        <w:jc w:val="left"/>
        <w:textAlignment w:val="center"/>
        <w:rPr>
          <w:rFonts w:eastAsia="Times New Roman"/>
          <w:szCs w:val="20"/>
        </w:rPr>
      </w:pPr>
      <w:r w:rsidRPr="000C465B">
        <w:rPr>
          <w:rFonts w:eastAsia="Times New Roman"/>
          <w:szCs w:val="20"/>
        </w:rPr>
        <w:t>Written warnings from a regulatory agency that a particular product label is false, misleading, or otherwise violative of a specific requirement.</w:t>
      </w:r>
    </w:p>
    <w:p w14:paraId="6B984B92" w14:textId="77777777" w:rsidR="000C465B" w:rsidRPr="000C465B" w:rsidRDefault="000C465B" w:rsidP="000C465B">
      <w:pPr>
        <w:numPr>
          <w:ilvl w:val="0"/>
          <w:numId w:val="110"/>
        </w:numPr>
        <w:tabs>
          <w:tab w:val="num" w:pos="1260"/>
        </w:tabs>
        <w:spacing w:after="0" w:line="276" w:lineRule="auto"/>
        <w:jc w:val="left"/>
        <w:textAlignment w:val="center"/>
        <w:rPr>
          <w:rFonts w:eastAsia="Times New Roman"/>
          <w:szCs w:val="20"/>
        </w:rPr>
      </w:pPr>
      <w:r w:rsidRPr="000C465B">
        <w:rPr>
          <w:rFonts w:eastAsia="Times New Roman"/>
          <w:szCs w:val="20"/>
        </w:rPr>
        <w:t>Negotiations to resolve labeling concerns, such as a regulatory agency seeking a consent decree or a company asking the National Advertising Division (NAD) to resolve a competitive dispute.</w:t>
      </w:r>
    </w:p>
    <w:p w14:paraId="4C97FDB3" w14:textId="77777777" w:rsidR="000C465B" w:rsidRPr="000C465B" w:rsidRDefault="000C465B" w:rsidP="000C465B">
      <w:pPr>
        <w:numPr>
          <w:ilvl w:val="0"/>
          <w:numId w:val="110"/>
        </w:numPr>
        <w:tabs>
          <w:tab w:val="num" w:pos="1260"/>
        </w:tabs>
        <w:spacing w:after="0" w:line="276" w:lineRule="auto"/>
        <w:jc w:val="left"/>
        <w:textAlignment w:val="center"/>
        <w:rPr>
          <w:rFonts w:eastAsia="Times New Roman"/>
          <w:szCs w:val="20"/>
        </w:rPr>
      </w:pPr>
      <w:r w:rsidRPr="000C465B">
        <w:rPr>
          <w:rFonts w:eastAsia="Times New Roman"/>
          <w:szCs w:val="20"/>
        </w:rPr>
        <w:t>Formal legal challenges, such as product seizures or stop-sale orders, where the relevant requirements for such actions are met.</w:t>
      </w:r>
    </w:p>
    <w:p w14:paraId="7DEC97F6" w14:textId="77777777" w:rsidR="000C465B" w:rsidRPr="000C465B" w:rsidRDefault="000C465B" w:rsidP="000C465B">
      <w:pPr>
        <w:spacing w:after="0"/>
        <w:jc w:val="left"/>
        <w:rPr>
          <w:rFonts w:eastAsia="Times New Roman"/>
          <w:szCs w:val="20"/>
        </w:rPr>
      </w:pPr>
      <w:r w:rsidRPr="000C465B">
        <w:rPr>
          <w:rFonts w:eastAsia="Times New Roman"/>
          <w:szCs w:val="20"/>
        </w:rPr>
        <w:t> </w:t>
      </w:r>
    </w:p>
    <w:p w14:paraId="788EB3B2" w14:textId="77777777" w:rsidR="000C465B" w:rsidRPr="000C465B" w:rsidRDefault="000C465B" w:rsidP="000C465B">
      <w:pPr>
        <w:spacing w:after="0"/>
        <w:jc w:val="left"/>
        <w:rPr>
          <w:rFonts w:eastAsia="Times New Roman"/>
          <w:szCs w:val="20"/>
        </w:rPr>
      </w:pPr>
      <w:r w:rsidRPr="000C465B">
        <w:rPr>
          <w:rFonts w:eastAsia="Times New Roman"/>
          <w:szCs w:val="20"/>
        </w:rPr>
        <w:t>These guidelines are intended to aid in all such compliance efforts as appropriate. For example:</w:t>
      </w:r>
    </w:p>
    <w:p w14:paraId="1590B345" w14:textId="77777777" w:rsidR="000C465B" w:rsidRPr="000C465B" w:rsidRDefault="000C465B" w:rsidP="000C465B">
      <w:pPr>
        <w:spacing w:after="0"/>
        <w:jc w:val="left"/>
        <w:rPr>
          <w:rFonts w:eastAsia="Times New Roman"/>
          <w:szCs w:val="20"/>
        </w:rPr>
      </w:pPr>
    </w:p>
    <w:p w14:paraId="6B3A1E6D" w14:textId="77777777" w:rsidR="000C465B" w:rsidRPr="000C465B" w:rsidRDefault="000C465B" w:rsidP="000C465B">
      <w:pPr>
        <w:numPr>
          <w:ilvl w:val="0"/>
          <w:numId w:val="111"/>
        </w:numPr>
        <w:spacing w:after="0" w:line="276" w:lineRule="auto"/>
        <w:contextualSpacing/>
        <w:jc w:val="left"/>
        <w:rPr>
          <w:rFonts w:eastAsia="Times New Roman"/>
          <w:szCs w:val="20"/>
        </w:rPr>
      </w:pPr>
      <w:r w:rsidRPr="000C465B">
        <w:rPr>
          <w:rFonts w:eastAsia="Times New Roman"/>
          <w:szCs w:val="20"/>
        </w:rPr>
        <w:t xml:space="preserve">A regulatory agency may provide the guidelines as a resource to help educate a company about legal requirements and best practices for clear and non-misleading statements.  </w:t>
      </w:r>
    </w:p>
    <w:p w14:paraId="2FAE3CED" w14:textId="77777777" w:rsidR="000C465B" w:rsidRPr="000C465B" w:rsidRDefault="000C465B" w:rsidP="000C465B">
      <w:pPr>
        <w:numPr>
          <w:ilvl w:val="0"/>
          <w:numId w:val="111"/>
        </w:numPr>
        <w:spacing w:after="0" w:line="276" w:lineRule="auto"/>
        <w:contextualSpacing/>
        <w:jc w:val="left"/>
        <w:rPr>
          <w:rFonts w:eastAsia="Times New Roman"/>
          <w:szCs w:val="20"/>
        </w:rPr>
      </w:pPr>
      <w:r w:rsidRPr="000C465B">
        <w:rPr>
          <w:rFonts w:eastAsia="Times New Roman"/>
          <w:szCs w:val="20"/>
        </w:rPr>
        <w:t>A company may provide the guidelines to a competitor that is making what is believed to be an unsupported or misleading claim, to help emphasize the seriousness of quantity-related statements.</w:t>
      </w:r>
    </w:p>
    <w:p w14:paraId="4A64175B" w14:textId="77777777" w:rsidR="000C465B" w:rsidRPr="000C465B" w:rsidRDefault="000C465B" w:rsidP="000C465B">
      <w:pPr>
        <w:numPr>
          <w:ilvl w:val="0"/>
          <w:numId w:val="111"/>
        </w:numPr>
        <w:spacing w:after="0" w:line="276" w:lineRule="auto"/>
        <w:contextualSpacing/>
        <w:jc w:val="left"/>
        <w:rPr>
          <w:rFonts w:eastAsia="Times New Roman"/>
          <w:szCs w:val="20"/>
        </w:rPr>
      </w:pPr>
      <w:r w:rsidRPr="000C465B">
        <w:rPr>
          <w:rFonts w:eastAsia="Times New Roman"/>
          <w:szCs w:val="20"/>
        </w:rPr>
        <w:t xml:space="preserve">The guidelines may help define the issues that need to be addressed in a legal negotiation or proceeding. </w:t>
      </w:r>
    </w:p>
    <w:p w14:paraId="7CE0CDEE" w14:textId="77777777" w:rsidR="000C465B" w:rsidRPr="000C465B" w:rsidRDefault="000C465B" w:rsidP="000C465B">
      <w:pPr>
        <w:spacing w:after="0"/>
        <w:ind w:left="720"/>
        <w:contextualSpacing/>
        <w:jc w:val="left"/>
        <w:rPr>
          <w:rFonts w:eastAsia="Times New Roman"/>
          <w:szCs w:val="20"/>
        </w:rPr>
      </w:pPr>
    </w:p>
    <w:p w14:paraId="5749156D" w14:textId="77777777" w:rsidR="000C465B" w:rsidRPr="000C465B" w:rsidRDefault="000C465B" w:rsidP="000C465B">
      <w:pPr>
        <w:spacing w:after="200" w:line="276" w:lineRule="auto"/>
        <w:jc w:val="left"/>
        <w:rPr>
          <w:b/>
          <w:szCs w:val="20"/>
        </w:rPr>
      </w:pPr>
      <w:r w:rsidRPr="000C465B">
        <w:rPr>
          <w:rFonts w:eastAsia="Times New Roman"/>
          <w:szCs w:val="20"/>
        </w:rPr>
        <w:t>Due to the inherent nature and diversity of voluntary statements, the guidelines' specific use will be case-specific.</w:t>
      </w:r>
    </w:p>
    <w:p w14:paraId="29C7DB14" w14:textId="77777777" w:rsidR="000C465B" w:rsidRPr="000C465B" w:rsidRDefault="000C465B" w:rsidP="000C465B">
      <w:pPr>
        <w:spacing w:after="200" w:line="276" w:lineRule="auto"/>
        <w:jc w:val="center"/>
        <w:rPr>
          <w:rFonts w:ascii="Calibri" w:hAnsi="Calibri"/>
          <w:b/>
          <w:bCs/>
          <w:sz w:val="44"/>
          <w:szCs w:val="44"/>
        </w:rPr>
      </w:pPr>
    </w:p>
    <w:p w14:paraId="732C57FE" w14:textId="75580419" w:rsidR="00810BDD" w:rsidRDefault="00810BDD">
      <w:pPr>
        <w:spacing w:after="0"/>
        <w:jc w:val="left"/>
        <w:rPr>
          <w:rFonts w:ascii="Calibri" w:hAnsi="Calibri"/>
          <w:b/>
          <w:bCs/>
          <w:sz w:val="44"/>
          <w:szCs w:val="44"/>
        </w:rPr>
      </w:pPr>
      <w:r>
        <w:rPr>
          <w:rFonts w:ascii="Calibri" w:hAnsi="Calibri"/>
          <w:b/>
          <w:bCs/>
          <w:sz w:val="44"/>
          <w:szCs w:val="44"/>
        </w:rPr>
        <w:br w:type="page"/>
      </w:r>
    </w:p>
    <w:p w14:paraId="0738A14A" w14:textId="77777777" w:rsidR="000C465B" w:rsidRPr="000C465B" w:rsidRDefault="000C465B" w:rsidP="000C465B">
      <w:pPr>
        <w:spacing w:after="0" w:line="276" w:lineRule="auto"/>
        <w:jc w:val="center"/>
        <w:rPr>
          <w:b/>
          <w:bCs/>
          <w:sz w:val="36"/>
          <w:szCs w:val="36"/>
        </w:rPr>
      </w:pPr>
      <w:r w:rsidRPr="000C465B">
        <w:rPr>
          <w:b/>
          <w:bCs/>
          <w:sz w:val="36"/>
          <w:szCs w:val="36"/>
        </w:rPr>
        <w:lastRenderedPageBreak/>
        <w:t>Appendix 1</w:t>
      </w:r>
    </w:p>
    <w:p w14:paraId="22904AA8" w14:textId="77777777" w:rsidR="000C465B" w:rsidRPr="000C465B" w:rsidRDefault="000C465B" w:rsidP="000C465B">
      <w:pPr>
        <w:spacing w:after="200" w:line="276" w:lineRule="auto"/>
        <w:jc w:val="center"/>
        <w:rPr>
          <w:b/>
          <w:bCs/>
          <w:sz w:val="36"/>
          <w:szCs w:val="36"/>
        </w:rPr>
      </w:pPr>
      <w:r w:rsidRPr="000C465B">
        <w:rPr>
          <w:b/>
          <w:bCs/>
          <w:sz w:val="36"/>
          <w:szCs w:val="36"/>
        </w:rPr>
        <w:t>Supplemental Statements</w:t>
      </w:r>
    </w:p>
    <w:p w14:paraId="148CE068" w14:textId="77777777" w:rsidR="000C465B" w:rsidRPr="000C465B" w:rsidRDefault="000C465B" w:rsidP="000C465B">
      <w:pPr>
        <w:spacing w:after="200" w:line="276" w:lineRule="auto"/>
        <w:rPr>
          <w:szCs w:val="20"/>
        </w:rPr>
      </w:pPr>
      <w:r w:rsidRPr="000C465B">
        <w:rPr>
          <w:szCs w:val="20"/>
        </w:rPr>
        <w:t xml:space="preserve">There has been discussion regarding when, where or how added quantity-related information can appear on a package label.  The required Declaration of Net Quantity (DoNQ) statement is specific to its content and location in the Fair Packaging and Labeling Act (FPLA) and in specific product regulations.  Conversely, FPLA and federal agency regulations speak minimally and vaguely to the subject of adding other accurate information to the product label.  </w:t>
      </w:r>
    </w:p>
    <w:p w14:paraId="7B89B34B" w14:textId="77777777" w:rsidR="000C465B" w:rsidRPr="000C465B" w:rsidRDefault="000C465B" w:rsidP="000C465B">
      <w:pPr>
        <w:spacing w:after="200" w:line="276" w:lineRule="auto"/>
        <w:rPr>
          <w:szCs w:val="20"/>
        </w:rPr>
      </w:pPr>
      <w:r w:rsidRPr="000C465B">
        <w:rPr>
          <w:szCs w:val="20"/>
        </w:rPr>
        <w:t xml:space="preserve">This Appendix summarizes the legal/regulatory history regarding use of “supplemental statements” which are mentioned in FPLA, and in agency regulations (such as those promulgated by the Federal Trade Commission (FTC) and the Food and Drug Administration (FDA)).  </w:t>
      </w:r>
    </w:p>
    <w:p w14:paraId="6CB04951" w14:textId="77777777" w:rsidR="000C465B" w:rsidRPr="000C465B" w:rsidRDefault="000C465B" w:rsidP="000C465B">
      <w:pPr>
        <w:spacing w:after="200" w:line="276" w:lineRule="auto"/>
        <w:jc w:val="left"/>
        <w:rPr>
          <w:b/>
          <w:bCs/>
          <w:sz w:val="24"/>
          <w:szCs w:val="24"/>
        </w:rPr>
      </w:pPr>
      <w:r w:rsidRPr="000C465B">
        <w:rPr>
          <w:b/>
          <w:bCs/>
          <w:sz w:val="24"/>
          <w:szCs w:val="24"/>
        </w:rPr>
        <w:t>Fair Packaging and Labeling Act (FPLA)</w:t>
      </w:r>
    </w:p>
    <w:p w14:paraId="41F9990B" w14:textId="77777777" w:rsidR="000C465B" w:rsidRPr="000C465B" w:rsidRDefault="000C465B" w:rsidP="000C465B">
      <w:pPr>
        <w:spacing w:after="200" w:line="276" w:lineRule="auto"/>
        <w:jc w:val="left"/>
        <w:rPr>
          <w:szCs w:val="20"/>
        </w:rPr>
      </w:pPr>
      <w:r w:rsidRPr="000C465B">
        <w:rPr>
          <w:szCs w:val="20"/>
        </w:rPr>
        <w:t>The supplemental statement requirement comes from FPLA Section 4(b):</w:t>
      </w:r>
    </w:p>
    <w:p w14:paraId="1F711523" w14:textId="77777777" w:rsidR="000C465B" w:rsidRPr="000C465B" w:rsidRDefault="000C465B" w:rsidP="000C465B">
      <w:pPr>
        <w:spacing w:after="200" w:line="276" w:lineRule="auto"/>
        <w:ind w:left="720"/>
        <w:jc w:val="left"/>
        <w:rPr>
          <w:b/>
          <w:bCs/>
          <w:szCs w:val="20"/>
        </w:rPr>
      </w:pPr>
      <w:r w:rsidRPr="000C465B">
        <w:rPr>
          <w:b/>
          <w:bCs/>
          <w:szCs w:val="20"/>
        </w:rPr>
        <w:t xml:space="preserve"> “Requirements of labeling; placement, form, and contents of statement of quantity; supplemental statement of quantity</w:t>
      </w:r>
    </w:p>
    <w:p w14:paraId="5044A6E5" w14:textId="77777777" w:rsidR="000C465B" w:rsidRPr="000C465B" w:rsidRDefault="000C465B" w:rsidP="000C465B">
      <w:pPr>
        <w:spacing w:after="200" w:line="276" w:lineRule="auto"/>
        <w:ind w:left="720"/>
        <w:jc w:val="left"/>
        <w:rPr>
          <w:b/>
          <w:bCs/>
          <w:szCs w:val="20"/>
        </w:rPr>
      </w:pPr>
      <w:r w:rsidRPr="000C465B">
        <w:rPr>
          <w:b/>
          <w:bCs/>
          <w:szCs w:val="20"/>
        </w:rPr>
        <w:t xml:space="preserve"> (b) Supplemental statements</w:t>
      </w:r>
    </w:p>
    <w:p w14:paraId="74C38E75" w14:textId="77777777" w:rsidR="000C465B" w:rsidRPr="000C465B" w:rsidRDefault="000C465B" w:rsidP="000C465B">
      <w:pPr>
        <w:spacing w:after="200" w:line="276" w:lineRule="auto"/>
        <w:ind w:left="720"/>
        <w:jc w:val="left"/>
        <w:rPr>
          <w:szCs w:val="20"/>
        </w:rPr>
      </w:pPr>
      <w:r w:rsidRPr="000C465B">
        <w:rPr>
          <w:szCs w:val="20"/>
        </w:rPr>
        <w:t>No person … shall distribute … any packaged consumer commodity if any qualifying words or phrases appear in conjunction with the separate statement of the net quantity of contents required by subsection (a), but nothing … shall prohibit supplemental statements, at other places on the package, describing in nondeceptive terms the net quantity of contents: </w:t>
      </w:r>
      <w:r w:rsidRPr="000C465B">
        <w:rPr>
          <w:i/>
          <w:iCs/>
          <w:szCs w:val="20"/>
        </w:rPr>
        <w:t>Provided</w:t>
      </w:r>
      <w:r w:rsidRPr="000C465B">
        <w:rPr>
          <w:szCs w:val="20"/>
        </w:rPr>
        <w:t>, That such supplemental statements of net quantity of contents shall not include any term qualifying a unit of weight or mass, measure, or count that tends to exaggerate the amount of the commodity contained in the package.” (15 U.S.C. 1453)</w:t>
      </w:r>
    </w:p>
    <w:p w14:paraId="0D3D1498" w14:textId="77777777" w:rsidR="000C465B" w:rsidRPr="000C465B" w:rsidRDefault="000C465B" w:rsidP="000C465B">
      <w:pPr>
        <w:spacing w:after="200" w:line="276" w:lineRule="auto"/>
        <w:jc w:val="left"/>
        <w:rPr>
          <w:szCs w:val="20"/>
        </w:rPr>
      </w:pPr>
      <w:r w:rsidRPr="000C465B">
        <w:rPr>
          <w:szCs w:val="20"/>
        </w:rPr>
        <w:t>There are three parts to this information from FPLA:</w:t>
      </w:r>
    </w:p>
    <w:p w14:paraId="7B4BC8E2" w14:textId="77777777" w:rsidR="000C465B" w:rsidRPr="000C465B" w:rsidRDefault="000C465B" w:rsidP="000C465B">
      <w:pPr>
        <w:numPr>
          <w:ilvl w:val="1"/>
          <w:numId w:val="110"/>
        </w:numPr>
        <w:spacing w:after="0" w:line="276" w:lineRule="auto"/>
        <w:contextualSpacing/>
        <w:jc w:val="left"/>
        <w:rPr>
          <w:rFonts w:eastAsia="Times New Roman"/>
          <w:szCs w:val="20"/>
        </w:rPr>
      </w:pPr>
      <w:r w:rsidRPr="000C465B">
        <w:rPr>
          <w:rFonts w:eastAsia="Times New Roman"/>
          <w:szCs w:val="20"/>
        </w:rPr>
        <w:t>No mandatory language is specified for the supplemental statement.</w:t>
      </w:r>
    </w:p>
    <w:p w14:paraId="256672C0" w14:textId="77777777" w:rsidR="000C465B" w:rsidRPr="000C465B" w:rsidRDefault="000C465B" w:rsidP="000C465B">
      <w:pPr>
        <w:numPr>
          <w:ilvl w:val="1"/>
          <w:numId w:val="110"/>
        </w:numPr>
        <w:spacing w:after="0" w:line="276" w:lineRule="auto"/>
        <w:contextualSpacing/>
        <w:jc w:val="left"/>
        <w:rPr>
          <w:rFonts w:eastAsia="Times New Roman"/>
          <w:szCs w:val="20"/>
        </w:rPr>
      </w:pPr>
      <w:r w:rsidRPr="000C465B">
        <w:rPr>
          <w:rFonts w:eastAsia="Times New Roman"/>
          <w:szCs w:val="20"/>
        </w:rPr>
        <w:t>Supplemental statements are allowed “at other places”.</w:t>
      </w:r>
    </w:p>
    <w:p w14:paraId="664CF1E9" w14:textId="77777777" w:rsidR="000C465B" w:rsidRPr="000C465B" w:rsidRDefault="000C465B" w:rsidP="000C465B">
      <w:pPr>
        <w:numPr>
          <w:ilvl w:val="1"/>
          <w:numId w:val="110"/>
        </w:numPr>
        <w:spacing w:after="0" w:line="276" w:lineRule="auto"/>
        <w:contextualSpacing/>
        <w:jc w:val="left"/>
        <w:rPr>
          <w:rFonts w:eastAsia="Times New Roman"/>
          <w:szCs w:val="20"/>
        </w:rPr>
      </w:pPr>
      <w:r w:rsidRPr="000C465B">
        <w:rPr>
          <w:rFonts w:eastAsia="Times New Roman"/>
          <w:szCs w:val="20"/>
        </w:rPr>
        <w:t>Terms that exaggerate an amount (the net quantity) are not allowed.</w:t>
      </w:r>
    </w:p>
    <w:p w14:paraId="30E96065" w14:textId="77777777" w:rsidR="000C465B" w:rsidRPr="000C465B" w:rsidRDefault="000C465B" w:rsidP="000C465B">
      <w:pPr>
        <w:spacing w:after="0"/>
        <w:ind w:left="2160"/>
        <w:contextualSpacing/>
        <w:jc w:val="left"/>
        <w:rPr>
          <w:rFonts w:eastAsia="Times New Roman"/>
          <w:sz w:val="24"/>
          <w:szCs w:val="24"/>
        </w:rPr>
      </w:pPr>
    </w:p>
    <w:p w14:paraId="0423D9FD" w14:textId="77777777" w:rsidR="000C465B" w:rsidRPr="000C465B" w:rsidRDefault="000C465B" w:rsidP="000C465B">
      <w:pPr>
        <w:spacing w:after="200" w:line="276" w:lineRule="auto"/>
        <w:jc w:val="left"/>
        <w:rPr>
          <w:b/>
          <w:bCs/>
          <w:sz w:val="24"/>
          <w:szCs w:val="24"/>
        </w:rPr>
      </w:pPr>
      <w:r w:rsidRPr="000C465B">
        <w:rPr>
          <w:b/>
          <w:bCs/>
          <w:sz w:val="24"/>
          <w:szCs w:val="24"/>
        </w:rPr>
        <w:t>What is a Supplemental Statement?</w:t>
      </w:r>
    </w:p>
    <w:p w14:paraId="6E6E6379" w14:textId="77777777" w:rsidR="000C465B" w:rsidRPr="000C465B" w:rsidRDefault="000C465B" w:rsidP="000C465B">
      <w:pPr>
        <w:spacing w:after="200" w:line="276" w:lineRule="auto"/>
        <w:rPr>
          <w:szCs w:val="20"/>
        </w:rPr>
      </w:pPr>
      <w:r w:rsidRPr="000C465B">
        <w:rPr>
          <w:szCs w:val="20"/>
        </w:rPr>
        <w:t xml:space="preserve">There is no official definition in the FPLA or regulations promulgated by the Federal Trade Commission (FTC) and the Food and Drug Administration (FDA). U.S. congressional legislative history has provided this example: “6 oz. of fast acting X detergent”, and in the following, Congress has said this is a “supplemental statement” that can be “apart from the required net quantity statement”: </w:t>
      </w:r>
    </w:p>
    <w:p w14:paraId="1BEB0B60" w14:textId="77777777" w:rsidR="000C465B" w:rsidRPr="000C465B" w:rsidRDefault="000C465B" w:rsidP="000C465B">
      <w:pPr>
        <w:spacing w:after="200" w:line="276" w:lineRule="auto"/>
        <w:ind w:left="720"/>
        <w:jc w:val="left"/>
        <w:rPr>
          <w:szCs w:val="20"/>
        </w:rPr>
      </w:pPr>
      <w:r w:rsidRPr="000C465B">
        <w:rPr>
          <w:szCs w:val="20"/>
        </w:rPr>
        <w:t xml:space="preserve">“Subsection 4(b) prohibits the qualification of the separate quantity statement by any modifying words or phrases. However, a supplemental statement of the net quantity of contents set apart from the separate net quantity statemen, required by the bill, may be modified by nondeceptive words or phrases, so long as such words or phrases do not tend to exaggerate the amount of the commodity contained in the package. For example, where a package contains a separate net quantity statement in conformity with promulgated regulations, such as ‘6 oz. net weight,’ the package could also contain in a supplemental statement, apart from the required net quantity statement, the phrase ‘6 oz. of fast acting X detergent’ but could not contain the statement ‘6 jumbo oz. of X detergent’ at any place on the package.” (Senate Report 1186 at 5-6) </w:t>
      </w:r>
    </w:p>
    <w:p w14:paraId="23202370" w14:textId="77777777" w:rsidR="000C465B" w:rsidRPr="000C465B" w:rsidRDefault="000C465B" w:rsidP="000C465B">
      <w:pPr>
        <w:spacing w:after="200" w:line="276" w:lineRule="auto"/>
        <w:jc w:val="left"/>
        <w:rPr>
          <w:b/>
          <w:bCs/>
          <w:sz w:val="24"/>
          <w:szCs w:val="24"/>
        </w:rPr>
      </w:pPr>
      <w:r w:rsidRPr="000C465B">
        <w:rPr>
          <w:b/>
          <w:bCs/>
          <w:sz w:val="24"/>
          <w:szCs w:val="24"/>
        </w:rPr>
        <w:lastRenderedPageBreak/>
        <w:t xml:space="preserve">Food and Drug Administration (FDA) </w:t>
      </w:r>
    </w:p>
    <w:p w14:paraId="22FC570E" w14:textId="77777777" w:rsidR="000C465B" w:rsidRPr="000C465B" w:rsidRDefault="000C465B" w:rsidP="000C465B">
      <w:pPr>
        <w:spacing w:after="200" w:line="276" w:lineRule="auto"/>
        <w:rPr>
          <w:szCs w:val="20"/>
        </w:rPr>
      </w:pPr>
      <w:r w:rsidRPr="000C465B">
        <w:rPr>
          <w:szCs w:val="20"/>
        </w:rPr>
        <w:t>The FDA administers the FPLA with respect to foods, drugs, cosmetics and medical devices. Pursuant to their authority under FPLA, FDA has issued food labeling regulations under Title 21, Chapter 1, Subchapter B in the Code of Federal Regulations. 21 CFR §101.7(o) states:</w:t>
      </w:r>
    </w:p>
    <w:p w14:paraId="45A485FC" w14:textId="77777777" w:rsidR="000C465B" w:rsidRPr="000C465B" w:rsidRDefault="000C465B" w:rsidP="000C465B">
      <w:pPr>
        <w:spacing w:after="200" w:line="276" w:lineRule="auto"/>
        <w:ind w:left="720"/>
        <w:jc w:val="left"/>
        <w:rPr>
          <w:szCs w:val="20"/>
        </w:rPr>
      </w:pPr>
      <w:r w:rsidRPr="000C465B">
        <w:rPr>
          <w:szCs w:val="20"/>
        </w:rPr>
        <w:t xml:space="preserve">“Nothing in this section shall prohibit supplemental statements at locations other than the principal display panel(s) describing in nondeceptive terms the net quantity of contents; </w:t>
      </w:r>
      <w:r w:rsidRPr="000C465B">
        <w:rPr>
          <w:i/>
          <w:iCs/>
          <w:szCs w:val="20"/>
        </w:rPr>
        <w:t>Provided,</w:t>
      </w:r>
      <w:r w:rsidRPr="000C465B">
        <w:rPr>
          <w:szCs w:val="20"/>
        </w:rPr>
        <w:t xml:space="preserve"> that such supplemental statements of net quantity of contents shall not include any term qualifying a unit of weight, measure, or count that tends to exaggerate the amount of the food contained in the package; for example, ‘jumbo quart’ and ‘full gallon’.”</w:t>
      </w:r>
    </w:p>
    <w:p w14:paraId="53B4DC7A" w14:textId="77777777" w:rsidR="000C465B" w:rsidRPr="000C465B" w:rsidRDefault="000C465B" w:rsidP="000C465B">
      <w:pPr>
        <w:spacing w:after="200" w:line="276" w:lineRule="auto"/>
        <w:rPr>
          <w:szCs w:val="20"/>
        </w:rPr>
      </w:pPr>
      <w:r w:rsidRPr="000C465B">
        <w:rPr>
          <w:szCs w:val="20"/>
        </w:rPr>
        <w:t>What this means is that the Declaration of Net Quantity may not contain statements designed to imply that one product is different in quantity from other products that declare the same net contents. What this also means is that Congress wanted the required declaration to be separate from supplemental statements designed to promote product sales. 21 CFR §101.7(o) ensures that such separation exists by permitting supplementary net quantity statements on label panels other than the Principal Display Panel (PDP). However, there is no indication in Senate Report No. 1186, or elsewhere in the legislative history of the FPLA that congressional concern about a "supplementary statement" was intended to encompass other forms of non-misleading information about the quantity of contents other than the one required. To the contrary, the broad congressional policy in Section 2 of the FPLA states:</w:t>
      </w:r>
    </w:p>
    <w:p w14:paraId="5C7B1C8B" w14:textId="77777777" w:rsidR="000C465B" w:rsidRPr="000C465B" w:rsidRDefault="000C465B" w:rsidP="000C465B">
      <w:pPr>
        <w:spacing w:after="200" w:line="276" w:lineRule="auto"/>
        <w:ind w:left="720"/>
        <w:jc w:val="left"/>
        <w:rPr>
          <w:szCs w:val="20"/>
        </w:rPr>
      </w:pPr>
      <w:r w:rsidRPr="000C465B">
        <w:rPr>
          <w:szCs w:val="20"/>
        </w:rPr>
        <w:t>"Packages and labels should enable consumers to obtain accurate information as to the quantity of the contents and should facilitate value comparisons". (15 U.S.C. 1451)</w:t>
      </w:r>
    </w:p>
    <w:p w14:paraId="7A02F3BC" w14:textId="77777777" w:rsidR="000C465B" w:rsidRPr="000C465B" w:rsidRDefault="000C465B" w:rsidP="000C465B">
      <w:pPr>
        <w:spacing w:after="200" w:line="276" w:lineRule="auto"/>
        <w:rPr>
          <w:szCs w:val="20"/>
        </w:rPr>
      </w:pPr>
      <w:r w:rsidRPr="000C465B">
        <w:rPr>
          <w:i/>
          <w:iCs/>
          <w:szCs w:val="20"/>
        </w:rPr>
        <w:t>Note:</w:t>
      </w:r>
      <w:r w:rsidRPr="000C465B">
        <w:rPr>
          <w:szCs w:val="20"/>
        </w:rPr>
        <w:t xml:space="preserve"> Declaration of a statement of net quantity of contents in terms of both drained weight and net weight would not be inconsistent with this policy because such declarations advise consumers of the amount of food and the accompanying packing medium, thereby assisting purchasing decisions</w:t>
      </w:r>
      <w:commentRangeStart w:id="895"/>
      <w:r w:rsidRPr="000C465B">
        <w:rPr>
          <w:szCs w:val="20"/>
        </w:rPr>
        <w:t>. [62 Fed. Reg. 9833-34 (Mar. 4, 1997)]</w:t>
      </w:r>
      <w:commentRangeEnd w:id="895"/>
      <w:r w:rsidRPr="000C465B">
        <w:rPr>
          <w:rStyle w:val="CommentReference"/>
          <w:sz w:val="20"/>
          <w:szCs w:val="20"/>
        </w:rPr>
        <w:commentReference w:id="895"/>
      </w:r>
    </w:p>
    <w:p w14:paraId="5E4D5B12" w14:textId="77777777" w:rsidR="000C465B" w:rsidRPr="000C465B" w:rsidRDefault="000C465B" w:rsidP="000C465B">
      <w:pPr>
        <w:spacing w:after="200" w:line="276" w:lineRule="auto"/>
        <w:jc w:val="left"/>
        <w:rPr>
          <w:b/>
          <w:bCs/>
          <w:sz w:val="24"/>
          <w:szCs w:val="24"/>
        </w:rPr>
      </w:pPr>
      <w:r w:rsidRPr="000C465B">
        <w:rPr>
          <w:b/>
          <w:bCs/>
          <w:sz w:val="24"/>
          <w:szCs w:val="24"/>
        </w:rPr>
        <w:t>Federal Trade Commission (FTC)</w:t>
      </w:r>
    </w:p>
    <w:p w14:paraId="58ABB168" w14:textId="77777777" w:rsidR="000C465B" w:rsidRPr="000C465B" w:rsidRDefault="000C465B" w:rsidP="000C465B">
      <w:pPr>
        <w:spacing w:after="200" w:line="276" w:lineRule="auto"/>
        <w:rPr>
          <w:szCs w:val="20"/>
        </w:rPr>
      </w:pPr>
      <w:r w:rsidRPr="000C465B">
        <w:rPr>
          <w:szCs w:val="20"/>
        </w:rPr>
        <w:t>The FTC administers the FPLA with respect to other “consumer commodities” that are expended in the household. Pursuant to their authority under FPLA, FTC has issued labeling regulations under Title 16, Chapter 1, Subchapter E in the Code of Federal Regulations. 16 CFR §500.24 states:</w:t>
      </w:r>
    </w:p>
    <w:p w14:paraId="4DC1C3E3" w14:textId="77777777" w:rsidR="000C465B" w:rsidRPr="000C465B" w:rsidRDefault="000C465B" w:rsidP="000C465B">
      <w:pPr>
        <w:spacing w:after="200" w:line="276" w:lineRule="auto"/>
        <w:ind w:left="720"/>
        <w:jc w:val="left"/>
        <w:rPr>
          <w:szCs w:val="20"/>
        </w:rPr>
      </w:pPr>
      <w:r w:rsidRPr="000C465B">
        <w:rPr>
          <w:b/>
          <w:bCs/>
          <w:szCs w:val="20"/>
        </w:rPr>
        <w:t>“Supplemental statements.</w:t>
      </w:r>
    </w:p>
    <w:p w14:paraId="1D84C4E4" w14:textId="77777777" w:rsidR="000C465B" w:rsidRPr="000C465B" w:rsidRDefault="000C465B" w:rsidP="000C465B">
      <w:pPr>
        <w:spacing w:after="200" w:line="276" w:lineRule="auto"/>
        <w:ind w:left="720"/>
        <w:jc w:val="left"/>
        <w:rPr>
          <w:szCs w:val="20"/>
        </w:rPr>
      </w:pPr>
      <w:r w:rsidRPr="000C465B">
        <w:rPr>
          <w:szCs w:val="20"/>
        </w:rPr>
        <w:t>Nothing contained in the regulations in this part shall prohibit supplemental statements, at locations other than the principal display panel, describing in non-deceptive terms the net quantity of contents … Required combination declarations of net quantity of contents (for example, a combination of net weight or mass plus numerical count, numerical count plus dimensions of the commodity, etc.) are not regarded as supplemental net quantity statements and shall be located on the principal display panel. Dilution directions or other similar directions for use are not regarded as supplemental net quantity statements and may be located on the principal display panel. Size characterizations in compliance with standards promulgated under section 5(c)(1) of the Act may appear on the principal display panel.”</w:t>
      </w:r>
    </w:p>
    <w:p w14:paraId="0982281D" w14:textId="77777777" w:rsidR="000C465B" w:rsidRPr="000C465B" w:rsidRDefault="000C465B" w:rsidP="000C465B">
      <w:pPr>
        <w:spacing w:after="200" w:line="276" w:lineRule="auto"/>
        <w:jc w:val="left"/>
        <w:rPr>
          <w:b/>
          <w:bCs/>
          <w:sz w:val="24"/>
          <w:szCs w:val="24"/>
        </w:rPr>
      </w:pPr>
      <w:r w:rsidRPr="000C465B">
        <w:rPr>
          <w:b/>
          <w:bCs/>
          <w:sz w:val="24"/>
          <w:szCs w:val="24"/>
        </w:rPr>
        <w:t>Uniform Packaging and Labeling Regulation (UPLR)</w:t>
      </w:r>
    </w:p>
    <w:p w14:paraId="6149865F" w14:textId="77777777" w:rsidR="000C465B" w:rsidRPr="000C465B" w:rsidRDefault="000C465B" w:rsidP="000C465B">
      <w:pPr>
        <w:spacing w:after="200" w:line="276" w:lineRule="auto"/>
        <w:rPr>
          <w:szCs w:val="20"/>
        </w:rPr>
      </w:pPr>
      <w:r w:rsidRPr="000C465B">
        <w:rPr>
          <w:szCs w:val="20"/>
        </w:rPr>
        <w:t>The Uniform Packaging and Labeling Regulation (UPLR) was adopted by the National Council on Weights and Measures (NCWM) to provide accurate and adequate information on packages as to the identity and quantity of contents so that purchasers can make price and quantity comparisons to parallel regulations adopted by federal agencies under FPLA. Section 6.12 in NIST Handbook 130 states:</w:t>
      </w:r>
    </w:p>
    <w:p w14:paraId="5CB4E04C" w14:textId="77777777" w:rsidR="000C465B" w:rsidRPr="000C465B" w:rsidRDefault="000C465B" w:rsidP="000C465B">
      <w:pPr>
        <w:spacing w:after="200" w:line="276" w:lineRule="auto"/>
        <w:ind w:left="720"/>
        <w:jc w:val="left"/>
        <w:rPr>
          <w:szCs w:val="20"/>
        </w:rPr>
      </w:pPr>
      <w:r w:rsidRPr="000C465B">
        <w:rPr>
          <w:szCs w:val="20"/>
        </w:rPr>
        <w:lastRenderedPageBreak/>
        <w:t>“</w:t>
      </w:r>
      <w:r w:rsidRPr="000C465B">
        <w:rPr>
          <w:b/>
          <w:bCs/>
          <w:szCs w:val="20"/>
        </w:rPr>
        <w:t>Supplementary Quantity Declarations -</w:t>
      </w:r>
    </w:p>
    <w:p w14:paraId="220DB221" w14:textId="77777777" w:rsidR="000C465B" w:rsidRPr="000C465B" w:rsidRDefault="000C465B" w:rsidP="000C465B">
      <w:pPr>
        <w:spacing w:after="200" w:line="276" w:lineRule="auto"/>
        <w:ind w:left="720"/>
        <w:jc w:val="left"/>
        <w:rPr>
          <w:szCs w:val="20"/>
        </w:rPr>
      </w:pPr>
      <w:r w:rsidRPr="000C465B">
        <w:rPr>
          <w:szCs w:val="20"/>
        </w:rPr>
        <w:t>The required quantity declaration may be supplemented by one or more declarations of weight, measure, or count, such declaration appearing other than on a principal display panel.”</w:t>
      </w:r>
    </w:p>
    <w:p w14:paraId="027772C2" w14:textId="77777777" w:rsidR="000C465B" w:rsidRPr="000C465B" w:rsidRDefault="000C465B" w:rsidP="000C465B">
      <w:pPr>
        <w:spacing w:after="200" w:line="276" w:lineRule="auto"/>
        <w:jc w:val="left"/>
        <w:rPr>
          <w:b/>
          <w:bCs/>
          <w:sz w:val="24"/>
          <w:szCs w:val="24"/>
        </w:rPr>
      </w:pPr>
      <w:r w:rsidRPr="000C465B">
        <w:rPr>
          <w:b/>
          <w:bCs/>
          <w:sz w:val="24"/>
          <w:szCs w:val="24"/>
        </w:rPr>
        <w:t>FDA Interpretations</w:t>
      </w:r>
    </w:p>
    <w:p w14:paraId="3B7A3CFE" w14:textId="77777777" w:rsidR="000C465B" w:rsidRPr="000C465B" w:rsidRDefault="000C465B" w:rsidP="000C465B">
      <w:pPr>
        <w:spacing w:after="200" w:line="276" w:lineRule="auto"/>
        <w:rPr>
          <w:b/>
          <w:bCs/>
          <w:szCs w:val="20"/>
        </w:rPr>
      </w:pPr>
      <w:r w:rsidRPr="000C465B">
        <w:rPr>
          <w:szCs w:val="20"/>
        </w:rPr>
        <w:t xml:space="preserve">In the absence of a definition for supplemental statements, several instances emerged over time which required FDA to declare what is and what is not supplemental.  The first instance is an FDA example when the regulation was issued, the remaining are cases where FDA expressed an opinion based on a marketplace circumstance.  </w:t>
      </w:r>
    </w:p>
    <w:p w14:paraId="5B829ED0" w14:textId="77777777" w:rsidR="000C465B" w:rsidRPr="000C465B" w:rsidRDefault="000C465B" w:rsidP="000C465B">
      <w:pPr>
        <w:numPr>
          <w:ilvl w:val="0"/>
          <w:numId w:val="128"/>
        </w:numPr>
        <w:spacing w:after="200" w:line="276" w:lineRule="auto"/>
        <w:jc w:val="left"/>
        <w:rPr>
          <w:szCs w:val="20"/>
        </w:rPr>
      </w:pPr>
      <w:r w:rsidRPr="000C465B">
        <w:rPr>
          <w:szCs w:val="20"/>
        </w:rPr>
        <w:t xml:space="preserve">On a commodity requiring a declaration of fluid measure, a weight declaration IS supplemental when it </w:t>
      </w:r>
      <w:commentRangeStart w:id="896"/>
      <w:r w:rsidRPr="000C465B">
        <w:rPr>
          <w:szCs w:val="20"/>
        </w:rPr>
        <w:t>is</w:t>
      </w:r>
      <w:commentRangeEnd w:id="896"/>
      <w:r w:rsidRPr="000C465B">
        <w:rPr>
          <w:rStyle w:val="CommentReference"/>
          <w:sz w:val="20"/>
          <w:szCs w:val="20"/>
        </w:rPr>
        <w:commentReference w:id="896"/>
      </w:r>
      <w:r w:rsidRPr="000C465B">
        <w:rPr>
          <w:szCs w:val="20"/>
        </w:rPr>
        <w:t xml:space="preserve"> included as part of the Declaration of Net Quantity Statement. </w:t>
      </w:r>
    </w:p>
    <w:p w14:paraId="3D13676E" w14:textId="77777777" w:rsidR="000C465B" w:rsidRPr="000C465B" w:rsidRDefault="000C465B" w:rsidP="000C465B">
      <w:pPr>
        <w:numPr>
          <w:ilvl w:val="0"/>
          <w:numId w:val="128"/>
        </w:numPr>
        <w:spacing w:after="200" w:line="276" w:lineRule="auto"/>
        <w:jc w:val="left"/>
        <w:rPr>
          <w:szCs w:val="20"/>
        </w:rPr>
      </w:pPr>
      <w:r w:rsidRPr="000C465B">
        <w:rPr>
          <w:szCs w:val="20"/>
        </w:rPr>
        <w:t>On a commodity for which weight or volume is sufficient (e.g., sliced cheese, candy bars at Halloween, where weight is enough), count may be voluntarily added and IS NOT supplemental.</w:t>
      </w:r>
    </w:p>
    <w:p w14:paraId="2C73C6F2" w14:textId="77777777" w:rsidR="000C465B" w:rsidRPr="000C465B" w:rsidRDefault="000C465B" w:rsidP="000C465B">
      <w:pPr>
        <w:numPr>
          <w:ilvl w:val="0"/>
          <w:numId w:val="128"/>
        </w:numPr>
        <w:spacing w:after="200" w:line="276" w:lineRule="auto"/>
        <w:jc w:val="left"/>
        <w:rPr>
          <w:szCs w:val="20"/>
        </w:rPr>
      </w:pPr>
      <w:r w:rsidRPr="000C465B">
        <w:rPr>
          <w:szCs w:val="20"/>
        </w:rPr>
        <w:t>A voluntary declaration of drained weight IS NOT supplemental when combined with a mandatory declaration of the total package weight, including packing liquids.</w:t>
      </w:r>
    </w:p>
    <w:p w14:paraId="70A3FF8A" w14:textId="77777777" w:rsidR="000C465B" w:rsidRPr="000C465B" w:rsidRDefault="000C465B" w:rsidP="000C465B">
      <w:pPr>
        <w:numPr>
          <w:ilvl w:val="0"/>
          <w:numId w:val="128"/>
        </w:numPr>
        <w:spacing w:after="200" w:line="276" w:lineRule="auto"/>
        <w:jc w:val="left"/>
        <w:rPr>
          <w:szCs w:val="20"/>
        </w:rPr>
      </w:pPr>
      <w:r w:rsidRPr="000C465B">
        <w:rPr>
          <w:szCs w:val="20"/>
        </w:rPr>
        <w:t>A reconstitution declaration such as “makes 1 quart” IS NOT supplemental.</w:t>
      </w:r>
    </w:p>
    <w:p w14:paraId="5E8F31DD" w14:textId="77777777" w:rsidR="000C465B" w:rsidRPr="000C465B" w:rsidRDefault="000C465B" w:rsidP="000C465B">
      <w:pPr>
        <w:numPr>
          <w:ilvl w:val="0"/>
          <w:numId w:val="128"/>
        </w:numPr>
        <w:spacing w:after="200" w:line="276" w:lineRule="auto"/>
        <w:jc w:val="left"/>
        <w:rPr>
          <w:szCs w:val="20"/>
        </w:rPr>
      </w:pPr>
      <w:r w:rsidRPr="000C465B">
        <w:rPr>
          <w:szCs w:val="20"/>
        </w:rPr>
        <w:t>Metric labeling WAS NOT supplemental when it was voluntarily provided.  Metric labeling is now required for most products.</w:t>
      </w:r>
    </w:p>
    <w:p w14:paraId="3678D84F" w14:textId="77777777" w:rsidR="000C465B" w:rsidRPr="000C465B" w:rsidRDefault="000C465B" w:rsidP="000C465B">
      <w:pPr>
        <w:spacing w:after="200" w:line="276" w:lineRule="auto"/>
        <w:jc w:val="left"/>
        <w:rPr>
          <w:b/>
          <w:bCs/>
          <w:sz w:val="24"/>
          <w:szCs w:val="24"/>
        </w:rPr>
      </w:pPr>
      <w:r w:rsidRPr="000C465B">
        <w:rPr>
          <w:b/>
          <w:bCs/>
          <w:sz w:val="24"/>
          <w:szCs w:val="24"/>
        </w:rPr>
        <w:t>Metric Labeling</w:t>
      </w:r>
    </w:p>
    <w:p w14:paraId="550F0D30" w14:textId="77777777" w:rsidR="000C465B" w:rsidRPr="000C465B" w:rsidRDefault="000C465B" w:rsidP="000C465B">
      <w:pPr>
        <w:spacing w:after="200" w:line="276" w:lineRule="auto"/>
        <w:jc w:val="left"/>
        <w:rPr>
          <w:szCs w:val="20"/>
        </w:rPr>
      </w:pPr>
      <w:r w:rsidRPr="000C465B">
        <w:rPr>
          <w:szCs w:val="20"/>
        </w:rPr>
        <w:t>Metric labeling is not considered supplemental:</w:t>
      </w:r>
    </w:p>
    <w:p w14:paraId="3D79D702" w14:textId="77777777" w:rsidR="000C465B" w:rsidRPr="000C465B" w:rsidRDefault="000C465B" w:rsidP="000C465B">
      <w:pPr>
        <w:spacing w:after="200" w:line="276" w:lineRule="auto"/>
        <w:ind w:left="720"/>
        <w:jc w:val="left"/>
        <w:rPr>
          <w:szCs w:val="20"/>
        </w:rPr>
      </w:pPr>
      <w:r w:rsidRPr="000C465B">
        <w:rPr>
          <w:szCs w:val="20"/>
        </w:rPr>
        <w:t>“(p) A separate statement of the net quantity of contents in terms of the metric system is not regarded as a supplemental statement and an accurate statement of the net quantity of contents in terms of the metric system of weight or measure may also appear on the principal display panel or on other panels.” [32 Federal Register 10729, 10733 (July 21, 1967)]</w:t>
      </w:r>
    </w:p>
    <w:p w14:paraId="063A4923" w14:textId="77777777" w:rsidR="000C465B" w:rsidRPr="000C465B" w:rsidRDefault="000C465B" w:rsidP="000C465B">
      <w:pPr>
        <w:spacing w:after="200" w:line="276" w:lineRule="auto"/>
        <w:jc w:val="left"/>
        <w:rPr>
          <w:b/>
          <w:bCs/>
          <w:sz w:val="24"/>
          <w:szCs w:val="24"/>
        </w:rPr>
      </w:pPr>
      <w:r w:rsidRPr="000C465B">
        <w:rPr>
          <w:b/>
          <w:bCs/>
          <w:sz w:val="24"/>
          <w:szCs w:val="24"/>
        </w:rPr>
        <w:t>FTC Interpretations</w:t>
      </w:r>
    </w:p>
    <w:p w14:paraId="05147C4A" w14:textId="77777777" w:rsidR="000C465B" w:rsidRPr="000C465B" w:rsidRDefault="000C465B" w:rsidP="000C465B">
      <w:pPr>
        <w:spacing w:after="200" w:line="276" w:lineRule="auto"/>
        <w:jc w:val="left"/>
        <w:rPr>
          <w:b/>
          <w:bCs/>
          <w:szCs w:val="20"/>
        </w:rPr>
      </w:pPr>
      <w:r w:rsidRPr="000C465B">
        <w:rPr>
          <w:szCs w:val="20"/>
        </w:rPr>
        <w:t xml:space="preserve">FTC has similarly provided interpretations of their </w:t>
      </w:r>
      <w:commentRangeStart w:id="897"/>
      <w:commentRangeStart w:id="898"/>
      <w:r w:rsidRPr="000C465B">
        <w:rPr>
          <w:szCs w:val="20"/>
        </w:rPr>
        <w:t>regulation</w:t>
      </w:r>
      <w:commentRangeEnd w:id="897"/>
      <w:r w:rsidRPr="000C465B">
        <w:rPr>
          <w:rStyle w:val="CommentReference"/>
          <w:sz w:val="20"/>
          <w:szCs w:val="20"/>
        </w:rPr>
        <w:commentReference w:id="897"/>
      </w:r>
      <w:commentRangeEnd w:id="898"/>
      <w:r w:rsidR="008B1D38" w:rsidRPr="000C465B">
        <w:rPr>
          <w:rStyle w:val="CommentReference"/>
          <w:sz w:val="20"/>
          <w:szCs w:val="20"/>
        </w:rPr>
        <w:commentReference w:id="898"/>
      </w:r>
      <w:r w:rsidRPr="000C465B">
        <w:rPr>
          <w:szCs w:val="20"/>
        </w:rPr>
        <w:t xml:space="preserve"> since it has been</w:t>
      </w:r>
      <w:commentRangeStart w:id="899"/>
      <w:commentRangeEnd w:id="899"/>
      <w:r w:rsidRPr="000C465B">
        <w:rPr>
          <w:rStyle w:val="CommentReference"/>
          <w:sz w:val="20"/>
          <w:szCs w:val="20"/>
        </w:rPr>
        <w:commentReference w:id="899"/>
      </w:r>
      <w:r w:rsidRPr="000C465B">
        <w:rPr>
          <w:szCs w:val="20"/>
        </w:rPr>
        <w:t xml:space="preserve"> issued.</w:t>
      </w:r>
    </w:p>
    <w:p w14:paraId="1C286FEA" w14:textId="77777777" w:rsidR="000C465B" w:rsidRPr="000C465B" w:rsidRDefault="000C465B" w:rsidP="000C465B">
      <w:pPr>
        <w:numPr>
          <w:ilvl w:val="0"/>
          <w:numId w:val="129"/>
        </w:numPr>
        <w:spacing w:after="200" w:line="276" w:lineRule="auto"/>
        <w:jc w:val="left"/>
        <w:rPr>
          <w:szCs w:val="20"/>
        </w:rPr>
      </w:pPr>
      <w:r w:rsidRPr="000C465B">
        <w:rPr>
          <w:szCs w:val="20"/>
        </w:rPr>
        <w:t>Required combination Declarations of Net Quantity of contents (e.g., net weight plus count) ARE NOT supplemental (seems to be limited to mandatory and differs from FDA).</w:t>
      </w:r>
    </w:p>
    <w:p w14:paraId="565A256B" w14:textId="77777777" w:rsidR="000C465B" w:rsidRPr="000C465B" w:rsidRDefault="000C465B" w:rsidP="000C465B">
      <w:pPr>
        <w:numPr>
          <w:ilvl w:val="0"/>
          <w:numId w:val="129"/>
        </w:numPr>
        <w:spacing w:after="200" w:line="276" w:lineRule="auto"/>
        <w:jc w:val="left"/>
        <w:rPr>
          <w:szCs w:val="20"/>
        </w:rPr>
      </w:pPr>
      <w:r w:rsidRPr="000C465B">
        <w:rPr>
          <w:szCs w:val="20"/>
        </w:rPr>
        <w:t>Dilution directions or other similar directions for use ARE NOT supplemental.</w:t>
      </w:r>
    </w:p>
    <w:p w14:paraId="5B5A69AA" w14:textId="77777777" w:rsidR="000C465B" w:rsidRPr="000C465B" w:rsidRDefault="000C465B" w:rsidP="000C465B">
      <w:pPr>
        <w:numPr>
          <w:ilvl w:val="0"/>
          <w:numId w:val="129"/>
        </w:numPr>
        <w:spacing w:after="200" w:line="276" w:lineRule="auto"/>
        <w:jc w:val="left"/>
        <w:rPr>
          <w:szCs w:val="20"/>
        </w:rPr>
      </w:pPr>
      <w:r w:rsidRPr="000C465B">
        <w:rPr>
          <w:szCs w:val="20"/>
        </w:rPr>
        <w:t>Size characterizations in compliance with standards promulgated under section 5(c)(1) of the Act ARE NOT supplemental.</w:t>
      </w:r>
    </w:p>
    <w:p w14:paraId="369478E6" w14:textId="77777777" w:rsidR="000C465B" w:rsidRPr="000C465B" w:rsidRDefault="000C465B" w:rsidP="000C465B">
      <w:pPr>
        <w:numPr>
          <w:ilvl w:val="0"/>
          <w:numId w:val="129"/>
        </w:numPr>
        <w:spacing w:after="200" w:line="276" w:lineRule="auto"/>
        <w:jc w:val="left"/>
        <w:rPr>
          <w:szCs w:val="20"/>
        </w:rPr>
      </w:pPr>
      <w:r w:rsidRPr="000C465B">
        <w:rPr>
          <w:szCs w:val="20"/>
        </w:rPr>
        <w:t>Performance claims per letter from Robin Rosen Spector, Attorney, FTC Division of Enforcement, Bureau of Consumer Protection, to Michael Tomenga, Nov. 4, 2010:</w:t>
      </w:r>
    </w:p>
    <w:p w14:paraId="78EED6BC" w14:textId="77777777" w:rsidR="000C465B" w:rsidRPr="000C465B" w:rsidRDefault="000C465B" w:rsidP="000C465B">
      <w:pPr>
        <w:spacing w:after="200" w:line="276" w:lineRule="auto"/>
        <w:ind w:left="720"/>
        <w:jc w:val="left"/>
        <w:rPr>
          <w:b/>
          <w:bCs/>
          <w:szCs w:val="20"/>
        </w:rPr>
      </w:pPr>
      <w:r w:rsidRPr="000C465B">
        <w:rPr>
          <w:szCs w:val="20"/>
        </w:rPr>
        <w:t xml:space="preserve">“Commission staff believes that the ‘lasts the same as’ statement on the Kingsford charcoal packaging does not qualify the package’s unit of weight.  Consumers would likely reasonably interpret that statement as a performance claim about the product.  The claim appears as a distinct item on the display panel and is </w:t>
      </w:r>
      <w:r w:rsidRPr="000C465B">
        <w:rPr>
          <w:szCs w:val="20"/>
        </w:rPr>
        <w:lastRenderedPageBreak/>
        <w:t xml:space="preserve">separated from the net quantity declaration in accordance with the requirements of the FPLA regulations.  Therefore, we would not recommend that the Commission bring a law enforcement action for violations of the FPLA based on the facts presented in your letter.  Nevertheless, under section 5 of the Federal Trade Commission Act, the company must possess and rely upon reasonable substantiation for the claim and the claim should not be deceptive. See FDC Policy Statements on Deception and Substantiation: </w:t>
      </w:r>
      <w:hyperlink r:id="rId62" w:history="1">
        <w:r w:rsidRPr="000C465B">
          <w:rPr>
            <w:szCs w:val="20"/>
            <w:u w:val="single"/>
          </w:rPr>
          <w:t>http://www.ftc.gov/bcp/policystmt/ad-decept.htm; http//www.ftc.gov/bcp/guides/ad3subst.htm</w:t>
        </w:r>
      </w:hyperlink>
      <w:r w:rsidRPr="000C465B">
        <w:rPr>
          <w:szCs w:val="20"/>
        </w:rPr>
        <w:t>. “</w:t>
      </w:r>
    </w:p>
    <w:p w14:paraId="7DB0D990" w14:textId="77777777" w:rsidR="000C465B" w:rsidRPr="000C465B" w:rsidRDefault="000C465B" w:rsidP="000C465B">
      <w:pPr>
        <w:numPr>
          <w:ilvl w:val="0"/>
          <w:numId w:val="129"/>
        </w:numPr>
        <w:spacing w:after="200" w:line="276" w:lineRule="auto"/>
        <w:jc w:val="left"/>
        <w:rPr>
          <w:szCs w:val="20"/>
        </w:rPr>
      </w:pPr>
      <w:r w:rsidRPr="000C465B">
        <w:rPr>
          <w:szCs w:val="20"/>
        </w:rPr>
        <w:t>Performance claims per letter from James A. Kohm, Associate Director, FTC Division of Enforcement, Bureau of Consumer Protection, to David Sefcik, Nov. 30, 2016:</w:t>
      </w:r>
    </w:p>
    <w:p w14:paraId="04975F7A" w14:textId="77777777" w:rsidR="000C465B" w:rsidRPr="000C465B" w:rsidRDefault="000C465B" w:rsidP="000C465B">
      <w:pPr>
        <w:spacing w:after="200" w:line="276" w:lineRule="auto"/>
        <w:ind w:left="720"/>
        <w:jc w:val="left"/>
        <w:rPr>
          <w:szCs w:val="20"/>
        </w:rPr>
      </w:pPr>
      <w:r w:rsidRPr="000C465B">
        <w:rPr>
          <w:szCs w:val="20"/>
        </w:rPr>
        <w:t>“All of the quantity-related expressions in the Subcommittee’s draft guidance are descriptive or supplemental quantity information. Therefore, this information can only appear elsewhere on the packaging (anywhere except the principal display panel). See 16 CFR Sections 500.6(b) (‘The declaration of net quantity shall appear…on the principal display panel…and shall not include any term qualifying a unit of weight or mass, measure, or count…’) and 500.24 (‘Nothing contained in the regulations in this part shall prohibit supplemental statements, at locations other than the principal display panel, describing in non-deceptive terms the net quantity of contents…’). Nonetheless, we are unlikely to recommend that the FTC pursue enforcement action for non-deceptive labels. Doing so could deprive consumers of valuable information in some situations.”</w:t>
      </w:r>
    </w:p>
    <w:p w14:paraId="3E369008" w14:textId="77777777" w:rsidR="000C465B" w:rsidRPr="000C465B" w:rsidRDefault="000C465B" w:rsidP="000C465B">
      <w:pPr>
        <w:spacing w:after="200" w:line="276" w:lineRule="auto"/>
        <w:jc w:val="left"/>
        <w:rPr>
          <w:b/>
          <w:bCs/>
          <w:sz w:val="24"/>
          <w:szCs w:val="24"/>
        </w:rPr>
      </w:pPr>
      <w:r w:rsidRPr="000C465B">
        <w:rPr>
          <w:b/>
          <w:bCs/>
          <w:sz w:val="24"/>
          <w:szCs w:val="24"/>
        </w:rPr>
        <w:t>Summary</w:t>
      </w:r>
    </w:p>
    <w:p w14:paraId="4E404C09" w14:textId="77777777" w:rsidR="000C465B" w:rsidRPr="000C465B" w:rsidRDefault="000C465B" w:rsidP="000C465B">
      <w:pPr>
        <w:spacing w:after="200" w:line="276" w:lineRule="auto"/>
        <w:rPr>
          <w:szCs w:val="20"/>
        </w:rPr>
      </w:pPr>
      <w:r w:rsidRPr="000C465B">
        <w:rPr>
          <w:szCs w:val="20"/>
        </w:rPr>
        <w:t>In summary, the term "supplemental statement" which appears in FPLA, FTC and FDA regulations is not defined.  Based on the history of opinions and clarifications provided by the federal agencies since adoption of FPLA, it becomes apparent that the definition is not intended to be expansive and somewhat narrow. The FDA on numerous occasions has opined that certain quantity related expressions are NOT supplemental statements and FTC on at least one occasion has similarly opined this viewpoint as well.  </w:t>
      </w:r>
    </w:p>
    <w:p w14:paraId="13B1D9E7" w14:textId="77777777" w:rsidR="000C465B" w:rsidRPr="000C465B" w:rsidRDefault="000C465B" w:rsidP="000C465B">
      <w:pPr>
        <w:spacing w:after="200" w:line="276" w:lineRule="auto"/>
        <w:rPr>
          <w:szCs w:val="20"/>
        </w:rPr>
      </w:pPr>
      <w:r w:rsidRPr="000C465B">
        <w:rPr>
          <w:szCs w:val="20"/>
        </w:rPr>
        <w:t>While it is not clear what exactly is and is not a supplemental statement, the many circumstances where the agencies have concluded that an expression is NOT a supplemental statement give some insight into allowable and non-allowable expressions.  In the most recent FTC opinion suggesting (which was written without a review of the history of previous FDA and FTC recommendations) that the term supplemental statement could be broadly interpreted, FTC goes on to state that added quantity expressions provide useful information to consumers, and they recommend against enforcement actions for packages which display this information.  The other opinions provided by FTC and FDA also appear to similarly recognize that the information being provided is useful to consumers.</w:t>
      </w:r>
    </w:p>
    <w:p w14:paraId="29012439" w14:textId="77777777" w:rsidR="000C465B" w:rsidRPr="000C465B" w:rsidRDefault="000C465B" w:rsidP="000C465B">
      <w:pPr>
        <w:spacing w:after="200" w:line="276" w:lineRule="auto"/>
        <w:rPr>
          <w:szCs w:val="20"/>
        </w:rPr>
      </w:pPr>
      <w:r w:rsidRPr="000C465B">
        <w:rPr>
          <w:szCs w:val="20"/>
        </w:rPr>
        <w:t>As a result, this NCWM Best Practice Document has been developed to help ensure that any and all quantity expressions which might appear on a package are clear, non-misleading and useful.  </w:t>
      </w:r>
    </w:p>
    <w:p w14:paraId="01875295" w14:textId="77777777" w:rsidR="00810BDD" w:rsidRDefault="00810BDD">
      <w:pPr>
        <w:spacing w:after="0"/>
        <w:jc w:val="left"/>
        <w:rPr>
          <w:sz w:val="22"/>
        </w:rPr>
      </w:pPr>
      <w:r>
        <w:rPr>
          <w:sz w:val="22"/>
        </w:rPr>
        <w:br w:type="page"/>
      </w:r>
    </w:p>
    <w:p w14:paraId="7341E5E6" w14:textId="4C0BF373" w:rsidR="000C465B" w:rsidRPr="000C465B" w:rsidRDefault="000C465B" w:rsidP="000C465B">
      <w:pPr>
        <w:spacing w:after="0" w:line="276" w:lineRule="auto"/>
        <w:jc w:val="center"/>
        <w:rPr>
          <w:b/>
          <w:bCs/>
          <w:sz w:val="36"/>
          <w:szCs w:val="36"/>
        </w:rPr>
      </w:pPr>
      <w:r w:rsidRPr="000C465B">
        <w:rPr>
          <w:sz w:val="36"/>
          <w:szCs w:val="36"/>
        </w:rPr>
        <w:lastRenderedPageBreak/>
        <w:t xml:space="preserve">     </w:t>
      </w:r>
      <w:bookmarkStart w:id="900" w:name="Appendix2"/>
      <w:bookmarkEnd w:id="900"/>
      <w:r w:rsidRPr="000C465B">
        <w:rPr>
          <w:b/>
          <w:bCs/>
          <w:sz w:val="36"/>
          <w:szCs w:val="36"/>
        </w:rPr>
        <w:t>Appendix 2</w:t>
      </w:r>
    </w:p>
    <w:p w14:paraId="421D937A" w14:textId="77777777" w:rsidR="000C465B" w:rsidRPr="000C465B" w:rsidRDefault="000C465B" w:rsidP="000C465B">
      <w:pPr>
        <w:spacing w:after="200" w:line="276" w:lineRule="auto"/>
        <w:jc w:val="center"/>
        <w:rPr>
          <w:b/>
          <w:bCs/>
          <w:sz w:val="36"/>
          <w:szCs w:val="36"/>
        </w:rPr>
      </w:pPr>
      <w:r w:rsidRPr="000C465B">
        <w:rPr>
          <w:b/>
          <w:bCs/>
          <w:sz w:val="36"/>
          <w:szCs w:val="36"/>
        </w:rPr>
        <w:t>Illustrations and Discussion of Voluntarily Added Expressions</w:t>
      </w:r>
    </w:p>
    <w:p w14:paraId="03AF90F5" w14:textId="77777777" w:rsidR="000C465B" w:rsidRPr="000C465B" w:rsidRDefault="000C465B" w:rsidP="000C465B">
      <w:pPr>
        <w:spacing w:after="200" w:line="276" w:lineRule="auto"/>
        <w:rPr>
          <w:bCs/>
          <w:szCs w:val="20"/>
        </w:rPr>
      </w:pPr>
      <w:r w:rsidRPr="000C465B">
        <w:rPr>
          <w:bCs/>
          <w:szCs w:val="20"/>
        </w:rPr>
        <w:t xml:space="preserve">The purpose of this Appendix is to illustrate package Principal Display Panel (PDP) examples for the purposes of illustrating some of the principles discussed by this document. These examples are intended to be representative and specifically do not cover every possible permutation of possible label scenario since the number of possible scenarios is extremely large.  </w:t>
      </w:r>
    </w:p>
    <w:p w14:paraId="0158AE1F" w14:textId="77777777" w:rsidR="000C465B" w:rsidRPr="000C465B" w:rsidRDefault="000C465B" w:rsidP="000C465B">
      <w:pPr>
        <w:spacing w:after="200" w:line="276" w:lineRule="auto"/>
        <w:rPr>
          <w:bCs/>
          <w:szCs w:val="20"/>
        </w:rPr>
      </w:pPr>
      <w:r w:rsidRPr="000C465B">
        <w:rPr>
          <w:bCs/>
          <w:szCs w:val="20"/>
        </w:rPr>
        <w:t xml:space="preserve">This appendix is comprised of diagrams focusing on a limited number of label elements. Diagrams were selected as more appropriate than photos of marketed products to avoid possible product identification and the perception of an implicit product endorsement or critique.  </w:t>
      </w:r>
    </w:p>
    <w:p w14:paraId="421C87B2" w14:textId="77777777" w:rsidR="000C465B" w:rsidRPr="000C465B" w:rsidRDefault="000C465B" w:rsidP="000C465B">
      <w:pPr>
        <w:spacing w:after="200" w:line="276" w:lineRule="auto"/>
        <w:rPr>
          <w:b/>
          <w:bCs/>
          <w:szCs w:val="20"/>
        </w:rPr>
      </w:pPr>
      <w:r w:rsidRPr="000C465B">
        <w:rPr>
          <w:bCs/>
          <w:szCs w:val="20"/>
        </w:rPr>
        <w:t xml:space="preserve">This appendix was developed because it is essential that </w:t>
      </w:r>
      <w:r w:rsidRPr="000C465B">
        <w:rPr>
          <w:szCs w:val="20"/>
        </w:rPr>
        <w:t xml:space="preserve">manufacturers consider the cumulative effects of expression location, size, font, color, and contrast on the package in relation to other required and voluntary PDP elements and statements. Expression location, presentation, size and contrast should help the consumer to make informed value comparisons at the point of purchase and not minimize the visibility or content of other information required to appear on the PDP.  </w:t>
      </w:r>
    </w:p>
    <w:p w14:paraId="5B8E867D" w14:textId="77777777" w:rsidR="000C465B" w:rsidRPr="000C465B" w:rsidRDefault="000C465B" w:rsidP="000C465B">
      <w:pPr>
        <w:spacing w:after="200" w:line="276" w:lineRule="auto"/>
        <w:rPr>
          <w:szCs w:val="20"/>
        </w:rPr>
      </w:pPr>
      <w:r w:rsidRPr="000C465B">
        <w:rPr>
          <w:szCs w:val="20"/>
        </w:rPr>
        <w:t xml:space="preserve">A manufacturer is responsible for ensuring an Additional Expression of Quantity (AEQ’s) location, font, graphics or wording provides clear and non-misleading information that does not contradict or marginalize the information provided in the required Declaration of Net Quantity (DoNQ)     </w:t>
      </w:r>
    </w:p>
    <w:p w14:paraId="05CA5204" w14:textId="77777777" w:rsidR="000C465B" w:rsidRPr="000C465B" w:rsidRDefault="000C465B" w:rsidP="000C465B">
      <w:pPr>
        <w:spacing w:after="200" w:line="276" w:lineRule="auto"/>
        <w:rPr>
          <w:szCs w:val="20"/>
        </w:rPr>
      </w:pPr>
      <w:r w:rsidRPr="000C465B">
        <w:rPr>
          <w:szCs w:val="20"/>
        </w:rPr>
        <w:t xml:space="preserve">Additional Expressions of Quantity can appear on the PDP as illustrated in the following examples, which illustrate differences in color, font size, expression wording, and graphic design such as graphic features or icons.  An AEQ may employ a single color and font type or may combine 2 or more colors and fonts.  AEQs may express information in the same unit as in the DoNQ or other common recognizable units of legal metrology or count appropriate for the type of product and package size.  </w:t>
      </w:r>
    </w:p>
    <w:p w14:paraId="3DB90672" w14:textId="77777777" w:rsidR="000C465B" w:rsidRPr="000C465B" w:rsidRDefault="000C465B" w:rsidP="000C465B">
      <w:pPr>
        <w:spacing w:after="200" w:line="276" w:lineRule="auto"/>
        <w:jc w:val="left"/>
        <w:rPr>
          <w:noProof/>
          <w:sz w:val="22"/>
        </w:rPr>
      </w:pPr>
      <w:r w:rsidRPr="000C465B">
        <w:rPr>
          <w:noProof/>
          <w:sz w:val="22"/>
        </w:rPr>
        <w:t xml:space="preserve"> </w:t>
      </w:r>
    </w:p>
    <w:p w14:paraId="7E391695" w14:textId="77777777" w:rsidR="000C465B" w:rsidRPr="000C465B" w:rsidRDefault="000C465B" w:rsidP="000C465B">
      <w:pPr>
        <w:spacing w:after="200" w:line="276" w:lineRule="auto"/>
        <w:jc w:val="left"/>
        <w:rPr>
          <w:noProof/>
          <w:sz w:val="22"/>
        </w:rPr>
      </w:pPr>
    </w:p>
    <w:p w14:paraId="6F2443CB" w14:textId="77777777" w:rsidR="000C465B" w:rsidRPr="000C465B" w:rsidRDefault="000C465B" w:rsidP="000C465B">
      <w:pPr>
        <w:spacing w:after="200" w:line="276" w:lineRule="auto"/>
        <w:jc w:val="left"/>
        <w:rPr>
          <w:noProof/>
          <w:sz w:val="22"/>
        </w:rPr>
      </w:pPr>
    </w:p>
    <w:p w14:paraId="5D49B1B7" w14:textId="77777777" w:rsidR="000C465B" w:rsidRPr="000C465B" w:rsidRDefault="000C465B" w:rsidP="000C465B">
      <w:pPr>
        <w:spacing w:after="200" w:line="276" w:lineRule="auto"/>
        <w:jc w:val="left"/>
        <w:rPr>
          <w:noProof/>
          <w:sz w:val="22"/>
        </w:rPr>
      </w:pPr>
    </w:p>
    <w:p w14:paraId="6F3393C4" w14:textId="77777777" w:rsidR="000C465B" w:rsidRPr="000C465B" w:rsidRDefault="000C465B" w:rsidP="000C465B">
      <w:pPr>
        <w:spacing w:after="200" w:line="276" w:lineRule="auto"/>
        <w:jc w:val="left"/>
        <w:rPr>
          <w:noProof/>
          <w:sz w:val="22"/>
        </w:rPr>
      </w:pPr>
    </w:p>
    <w:p w14:paraId="28B8C1B0" w14:textId="77777777" w:rsidR="000C465B" w:rsidRPr="000C465B" w:rsidRDefault="000C465B" w:rsidP="000C465B">
      <w:pPr>
        <w:spacing w:after="200" w:line="276" w:lineRule="auto"/>
        <w:jc w:val="left"/>
        <w:rPr>
          <w:rFonts w:ascii="Calibri" w:hAnsi="Calibri"/>
          <w:noProof/>
          <w:sz w:val="22"/>
        </w:rPr>
      </w:pPr>
    </w:p>
    <w:p w14:paraId="52EB3D9A" w14:textId="77777777" w:rsidR="000C465B" w:rsidRPr="000C465B" w:rsidRDefault="000C465B" w:rsidP="000C465B">
      <w:pPr>
        <w:spacing w:after="200" w:line="276" w:lineRule="auto"/>
        <w:jc w:val="left"/>
        <w:rPr>
          <w:rFonts w:ascii="Calibri" w:hAnsi="Calibri"/>
          <w:noProof/>
          <w:sz w:val="22"/>
        </w:rPr>
      </w:pPr>
    </w:p>
    <w:p w14:paraId="25A70D6C" w14:textId="77777777" w:rsidR="000C465B" w:rsidRPr="000C465B" w:rsidRDefault="000C465B" w:rsidP="000C465B">
      <w:pPr>
        <w:spacing w:after="200" w:line="276" w:lineRule="auto"/>
        <w:jc w:val="left"/>
        <w:rPr>
          <w:rFonts w:ascii="Calibri" w:hAnsi="Calibri"/>
          <w:noProof/>
          <w:sz w:val="22"/>
        </w:rPr>
      </w:pPr>
    </w:p>
    <w:p w14:paraId="14BA9EDC" w14:textId="77777777" w:rsidR="000C465B" w:rsidRPr="000C465B" w:rsidRDefault="000C465B" w:rsidP="000C465B">
      <w:pPr>
        <w:spacing w:after="200" w:line="276" w:lineRule="auto"/>
        <w:jc w:val="left"/>
        <w:rPr>
          <w:rFonts w:ascii="Calibri" w:hAnsi="Calibri"/>
          <w:noProof/>
          <w:sz w:val="22"/>
        </w:rPr>
      </w:pPr>
    </w:p>
    <w:p w14:paraId="566D215B" w14:textId="77777777" w:rsidR="000C465B" w:rsidRPr="000C465B" w:rsidRDefault="000C465B" w:rsidP="000C465B">
      <w:pPr>
        <w:spacing w:after="200" w:line="276" w:lineRule="auto"/>
        <w:jc w:val="left"/>
        <w:rPr>
          <w:rFonts w:ascii="Calibri" w:hAnsi="Calibri"/>
          <w:noProof/>
          <w:sz w:val="22"/>
        </w:rPr>
      </w:pPr>
    </w:p>
    <w:p w14:paraId="1976FDC9" w14:textId="77777777" w:rsidR="000C465B" w:rsidRPr="000C465B" w:rsidRDefault="000C465B" w:rsidP="000C465B">
      <w:pPr>
        <w:spacing w:after="0" w:line="276" w:lineRule="auto"/>
        <w:rPr>
          <w:szCs w:val="20"/>
        </w:rPr>
      </w:pPr>
      <w:commentRangeStart w:id="901"/>
      <w:r w:rsidRPr="000C465B">
        <w:rPr>
          <w:b/>
          <w:szCs w:val="20"/>
        </w:rPr>
        <w:lastRenderedPageBreak/>
        <w:t>1</w:t>
      </w:r>
      <w:commentRangeEnd w:id="901"/>
      <w:r w:rsidRPr="000C465B">
        <w:rPr>
          <w:rStyle w:val="CommentReference"/>
          <w:b/>
          <w:sz w:val="20"/>
          <w:szCs w:val="20"/>
        </w:rPr>
        <w:commentReference w:id="901"/>
      </w:r>
      <w:r w:rsidRPr="000C465B">
        <w:rPr>
          <w:b/>
          <w:szCs w:val="20"/>
        </w:rPr>
        <w:t xml:space="preserve">.  </w:t>
      </w:r>
      <w:r w:rsidRPr="000C465B">
        <w:rPr>
          <w:b/>
          <w:szCs w:val="20"/>
          <w:u w:val="single"/>
        </w:rPr>
        <w:t>Additional Expression of Quantity (AEQ)</w:t>
      </w:r>
      <w:r w:rsidRPr="000C465B">
        <w:rPr>
          <w:b/>
          <w:bCs/>
          <w:szCs w:val="20"/>
        </w:rPr>
        <w:t xml:space="preserve"> </w:t>
      </w:r>
      <w:r w:rsidRPr="000C465B">
        <w:rPr>
          <w:szCs w:val="20"/>
        </w:rPr>
        <w:t>– Additional Expressions of Quantity (AEQ) may appear in the upper 70 % or lower 30% of the Principal Display Panel (PDP).  The AEQ can be located opposite the Declaration of Net Quantity (DoNQ), or adjacent to the DoNQ, provided the Declaration of Net Quantity minimum separation requirements are satisfied.</w:t>
      </w:r>
    </w:p>
    <w:p w14:paraId="04F2BEA5" w14:textId="77777777" w:rsidR="000C465B" w:rsidRPr="000C465B" w:rsidRDefault="000C465B" w:rsidP="000C465B">
      <w:pPr>
        <w:spacing w:after="0" w:line="276" w:lineRule="auto"/>
        <w:jc w:val="left"/>
        <w:rPr>
          <w:sz w:val="22"/>
          <w:u w:val="single"/>
        </w:rPr>
      </w:pPr>
    </w:p>
    <w:tbl>
      <w:tblPr>
        <w:tblStyle w:val="TableGrid22"/>
        <w:tblW w:w="0" w:type="auto"/>
        <w:tblLayout w:type="fixed"/>
        <w:tblLook w:val="04A0" w:firstRow="1" w:lastRow="0" w:firstColumn="1" w:lastColumn="0" w:noHBand="0" w:noVBand="1"/>
      </w:tblPr>
      <w:tblGrid>
        <w:gridCol w:w="3290"/>
        <w:gridCol w:w="1552"/>
        <w:gridCol w:w="1538"/>
        <w:gridCol w:w="13"/>
        <w:gridCol w:w="3043"/>
        <w:gridCol w:w="14"/>
      </w:tblGrid>
      <w:tr w:rsidR="000C465B" w:rsidRPr="000C465B" w14:paraId="01B5AFC1" w14:textId="77777777" w:rsidTr="00185462">
        <w:tc>
          <w:tcPr>
            <w:tcW w:w="3290" w:type="dxa"/>
            <w:tcBorders>
              <w:top w:val="nil"/>
              <w:left w:val="nil"/>
              <w:bottom w:val="nil"/>
              <w:right w:val="nil"/>
            </w:tcBorders>
          </w:tcPr>
          <w:p w14:paraId="6F888360" w14:textId="77777777" w:rsidR="000C465B" w:rsidRPr="000C465B" w:rsidRDefault="000C465B" w:rsidP="000C465B">
            <w:pPr>
              <w:spacing w:after="0"/>
              <w:jc w:val="left"/>
            </w:pPr>
            <w:r w:rsidRPr="000C465B">
              <w:rPr>
                <w:noProof/>
              </w:rPr>
              <w:drawing>
                <wp:inline distT="0" distB="0" distL="0" distR="0" wp14:anchorId="7EC9EBC1" wp14:editId="23664A45">
                  <wp:extent cx="2075688" cy="5047488"/>
                  <wp:effectExtent l="0" t="0" r="1270" b="1270"/>
                  <wp:docPr id="429303024" name="Picture 4293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Q-Shampoo-v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75688" cy="5047488"/>
                          </a:xfrm>
                          <a:prstGeom prst="rect">
                            <a:avLst/>
                          </a:prstGeom>
                        </pic:spPr>
                      </pic:pic>
                    </a:graphicData>
                  </a:graphic>
                </wp:inline>
              </w:drawing>
            </w:r>
          </w:p>
        </w:tc>
        <w:tc>
          <w:tcPr>
            <w:tcW w:w="3103" w:type="dxa"/>
            <w:gridSpan w:val="3"/>
            <w:tcBorders>
              <w:top w:val="nil"/>
              <w:left w:val="nil"/>
              <w:bottom w:val="nil"/>
              <w:right w:val="nil"/>
            </w:tcBorders>
          </w:tcPr>
          <w:p w14:paraId="6324E5FF" w14:textId="77777777" w:rsidR="000C465B" w:rsidRPr="000C465B" w:rsidRDefault="000C465B" w:rsidP="000C465B">
            <w:pPr>
              <w:spacing w:after="0"/>
              <w:jc w:val="left"/>
            </w:pPr>
            <w:r w:rsidRPr="000C465B">
              <w:rPr>
                <w:noProof/>
              </w:rPr>
              <w:drawing>
                <wp:inline distT="0" distB="0" distL="0" distR="0" wp14:anchorId="263BF5FC" wp14:editId="655891DF">
                  <wp:extent cx="1920240" cy="5047488"/>
                  <wp:effectExtent l="0" t="0" r="3810" b="1270"/>
                  <wp:docPr id="747156382" name="Picture 7471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EQ-Shampoo-v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0240" cy="5047488"/>
                          </a:xfrm>
                          <a:prstGeom prst="rect">
                            <a:avLst/>
                          </a:prstGeom>
                        </pic:spPr>
                      </pic:pic>
                    </a:graphicData>
                  </a:graphic>
                </wp:inline>
              </w:drawing>
            </w:r>
          </w:p>
        </w:tc>
        <w:tc>
          <w:tcPr>
            <w:tcW w:w="3057" w:type="dxa"/>
            <w:gridSpan w:val="2"/>
            <w:tcBorders>
              <w:top w:val="nil"/>
              <w:left w:val="nil"/>
              <w:bottom w:val="nil"/>
              <w:right w:val="nil"/>
            </w:tcBorders>
          </w:tcPr>
          <w:p w14:paraId="199845AD" w14:textId="77777777" w:rsidR="000C465B" w:rsidRPr="000C465B" w:rsidRDefault="000C465B" w:rsidP="000C465B">
            <w:pPr>
              <w:spacing w:after="0"/>
              <w:jc w:val="left"/>
            </w:pPr>
            <w:r w:rsidRPr="000C465B">
              <w:rPr>
                <w:noProof/>
              </w:rPr>
              <w:drawing>
                <wp:inline distT="0" distB="0" distL="0" distR="0" wp14:anchorId="11E1033D" wp14:editId="0045EBDE">
                  <wp:extent cx="1874520" cy="5047488"/>
                  <wp:effectExtent l="0" t="0" r="0" b="1270"/>
                  <wp:docPr id="891282320" name="Picture 8912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Q-Shampoo-v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4520" cy="5047488"/>
                          </a:xfrm>
                          <a:prstGeom prst="rect">
                            <a:avLst/>
                          </a:prstGeom>
                        </pic:spPr>
                      </pic:pic>
                    </a:graphicData>
                  </a:graphic>
                </wp:inline>
              </w:drawing>
            </w:r>
          </w:p>
        </w:tc>
      </w:tr>
      <w:tr w:rsidR="000C465B" w:rsidRPr="000C465B" w14:paraId="54CBB425" w14:textId="77777777" w:rsidTr="00185462">
        <w:trPr>
          <w:trHeight w:val="638"/>
        </w:trPr>
        <w:tc>
          <w:tcPr>
            <w:tcW w:w="3290" w:type="dxa"/>
            <w:tcBorders>
              <w:top w:val="nil"/>
              <w:left w:val="nil"/>
              <w:bottom w:val="nil"/>
              <w:right w:val="nil"/>
            </w:tcBorders>
          </w:tcPr>
          <w:p w14:paraId="3224318B" w14:textId="77777777" w:rsidR="000C465B" w:rsidRPr="000C465B" w:rsidRDefault="000C465B" w:rsidP="000C465B">
            <w:pPr>
              <w:spacing w:after="0"/>
              <w:jc w:val="center"/>
              <w:rPr>
                <w:b/>
                <w:color w:val="00B050"/>
                <w:sz w:val="36"/>
                <w:szCs w:val="36"/>
              </w:rPr>
            </w:pPr>
            <w:r w:rsidRPr="000C465B">
              <w:rPr>
                <w:b/>
                <w:color w:val="00B050"/>
                <w:sz w:val="36"/>
                <w:szCs w:val="36"/>
              </w:rPr>
              <w:t>PREFERRED</w:t>
            </w:r>
          </w:p>
          <w:p w14:paraId="318D5E57" w14:textId="77777777" w:rsidR="000C465B" w:rsidRPr="000C465B" w:rsidRDefault="000C465B" w:rsidP="00185462">
            <w:pPr>
              <w:spacing w:after="0"/>
              <w:rPr>
                <w:b/>
                <w:color w:val="00B050"/>
                <w:sz w:val="20"/>
                <w:szCs w:val="20"/>
              </w:rPr>
            </w:pPr>
            <w:r w:rsidRPr="000C465B">
              <w:rPr>
                <w:spacing w:val="10"/>
                <w:sz w:val="20"/>
                <w:szCs w:val="20"/>
              </w:rPr>
              <w:t>This example illustrates the</w:t>
            </w:r>
            <w:r w:rsidRPr="000C465B">
              <w:rPr>
                <w:sz w:val="20"/>
                <w:szCs w:val="20"/>
              </w:rPr>
              <w:t xml:space="preserve"> inclusion of an AEQ (½ Liter) near the top of the PDP which is equivalent to an element of the DoNQ. The color and contrast of the ½ Liter expression have been selected to increase the visibility of the AEQ. Both the DoNQ and AEQ are clear and non-misleading.</w:t>
            </w:r>
          </w:p>
        </w:tc>
        <w:tc>
          <w:tcPr>
            <w:tcW w:w="3103" w:type="dxa"/>
            <w:gridSpan w:val="3"/>
            <w:tcBorders>
              <w:top w:val="nil"/>
              <w:left w:val="nil"/>
              <w:bottom w:val="nil"/>
              <w:right w:val="nil"/>
            </w:tcBorders>
          </w:tcPr>
          <w:p w14:paraId="17690CF8" w14:textId="77777777" w:rsidR="000C465B" w:rsidRPr="000C465B" w:rsidRDefault="000C465B" w:rsidP="000C465B">
            <w:pPr>
              <w:spacing w:after="0"/>
              <w:jc w:val="center"/>
              <w:rPr>
                <w:b/>
                <w:color w:val="A42CA4"/>
                <w:sz w:val="36"/>
                <w:szCs w:val="36"/>
              </w:rPr>
            </w:pPr>
            <w:r w:rsidRPr="000C465B">
              <w:rPr>
                <w:b/>
                <w:color w:val="A42CA4"/>
                <w:sz w:val="36"/>
                <w:szCs w:val="36"/>
              </w:rPr>
              <w:t>QUESTIONABLE</w:t>
            </w:r>
          </w:p>
          <w:p w14:paraId="34234602" w14:textId="77777777" w:rsidR="000C465B" w:rsidRPr="000C465B" w:rsidRDefault="000C465B" w:rsidP="000C465B">
            <w:pPr>
              <w:spacing w:after="0"/>
              <w:rPr>
                <w:b/>
                <w:sz w:val="20"/>
                <w:szCs w:val="20"/>
              </w:rPr>
            </w:pPr>
            <w:r w:rsidRPr="000C465B">
              <w:rPr>
                <w:spacing w:val="10"/>
                <w:sz w:val="20"/>
                <w:szCs w:val="20"/>
              </w:rPr>
              <w:t>This example illustrates the</w:t>
            </w:r>
            <w:r w:rsidRPr="000C465B">
              <w:rPr>
                <w:sz w:val="20"/>
                <w:szCs w:val="20"/>
              </w:rPr>
              <w:t xml:space="preserve"> inclusion of an AEQ (½ Liter) near the top of the PDP which is equivalent to an element of the DoNQ, however, the color and </w:t>
            </w:r>
            <w:r w:rsidRPr="000C465B">
              <w:rPr>
                <w:spacing w:val="15"/>
                <w:sz w:val="20"/>
                <w:szCs w:val="20"/>
              </w:rPr>
              <w:t>contrast of the ½ Liter</w:t>
            </w:r>
            <w:r w:rsidRPr="000C465B">
              <w:rPr>
                <w:sz w:val="20"/>
                <w:szCs w:val="20"/>
              </w:rPr>
              <w:t xml:space="preserve"> expression could mitigate the visibility of the AEQ on this package.   </w:t>
            </w:r>
          </w:p>
          <w:p w14:paraId="4841923E" w14:textId="77777777" w:rsidR="000C465B" w:rsidRPr="000C465B" w:rsidRDefault="000C465B" w:rsidP="000C465B">
            <w:pPr>
              <w:spacing w:after="0"/>
              <w:jc w:val="left"/>
            </w:pPr>
          </w:p>
        </w:tc>
        <w:tc>
          <w:tcPr>
            <w:tcW w:w="3057" w:type="dxa"/>
            <w:gridSpan w:val="2"/>
            <w:tcBorders>
              <w:top w:val="nil"/>
              <w:left w:val="nil"/>
              <w:bottom w:val="nil"/>
              <w:right w:val="nil"/>
            </w:tcBorders>
          </w:tcPr>
          <w:p w14:paraId="1694345C" w14:textId="77777777" w:rsidR="000C465B" w:rsidRPr="000C465B" w:rsidRDefault="000C465B" w:rsidP="000C465B">
            <w:pPr>
              <w:spacing w:after="0"/>
              <w:jc w:val="center"/>
              <w:rPr>
                <w:b/>
                <w:color w:val="FF0000"/>
                <w:sz w:val="36"/>
                <w:szCs w:val="36"/>
              </w:rPr>
            </w:pPr>
            <w:r w:rsidRPr="000C465B">
              <w:rPr>
                <w:b/>
                <w:color w:val="FF0000"/>
                <w:sz w:val="36"/>
                <w:szCs w:val="36"/>
              </w:rPr>
              <w:t>PROBLEMATIC</w:t>
            </w:r>
          </w:p>
          <w:p w14:paraId="4EA96D1C" w14:textId="77777777" w:rsidR="000C465B" w:rsidRPr="000C465B" w:rsidRDefault="000C465B" w:rsidP="00185462">
            <w:pPr>
              <w:spacing w:after="0"/>
            </w:pPr>
            <w:r w:rsidRPr="000C465B">
              <w:rPr>
                <w:spacing w:val="10"/>
                <w:sz w:val="20"/>
                <w:szCs w:val="20"/>
              </w:rPr>
              <w:t>This example illustrates the</w:t>
            </w:r>
            <w:r w:rsidRPr="000C465B">
              <w:rPr>
                <w:sz w:val="20"/>
                <w:szCs w:val="20"/>
              </w:rPr>
              <w:t xml:space="preserve"> repetition of the DoNQ state-ment at a second location on </w:t>
            </w:r>
            <w:r w:rsidRPr="000C465B">
              <w:rPr>
                <w:spacing w:val="10"/>
                <w:sz w:val="20"/>
                <w:szCs w:val="20"/>
              </w:rPr>
              <w:t>the PDP. The DoNQ has a</w:t>
            </w:r>
            <w:r w:rsidRPr="000C465B">
              <w:rPr>
                <w:sz w:val="20"/>
                <w:szCs w:val="20"/>
              </w:rPr>
              <w:t xml:space="preserve"> prescribed location on the PDP and should be provided only at that location.  FTC regulations do not support inclusion of the DoNQ at a second location on the PDP.  Reinforcing that there is one and only one DoNQ at a specific location on the PDP is </w:t>
            </w:r>
            <w:r w:rsidRPr="000C465B">
              <w:rPr>
                <w:spacing w:val="-4"/>
                <w:sz w:val="20"/>
                <w:szCs w:val="20"/>
              </w:rPr>
              <w:t>good policy for both consumers</w:t>
            </w:r>
            <w:r w:rsidRPr="000C465B">
              <w:rPr>
                <w:sz w:val="20"/>
                <w:szCs w:val="20"/>
              </w:rPr>
              <w:t xml:space="preserve"> and manufacturers.</w:t>
            </w:r>
          </w:p>
        </w:tc>
      </w:tr>
      <w:tr w:rsidR="000C465B" w:rsidRPr="000C465B" w14:paraId="6EC42BD5" w14:textId="77777777" w:rsidTr="00185462">
        <w:tc>
          <w:tcPr>
            <w:tcW w:w="3290" w:type="dxa"/>
            <w:tcBorders>
              <w:top w:val="nil"/>
              <w:left w:val="nil"/>
              <w:bottom w:val="nil"/>
              <w:right w:val="nil"/>
            </w:tcBorders>
          </w:tcPr>
          <w:p w14:paraId="25CADBA4" w14:textId="77777777" w:rsidR="000C465B" w:rsidRPr="000C465B" w:rsidRDefault="000C465B" w:rsidP="000C465B">
            <w:pPr>
              <w:spacing w:after="0"/>
            </w:pPr>
          </w:p>
        </w:tc>
        <w:tc>
          <w:tcPr>
            <w:tcW w:w="3103" w:type="dxa"/>
            <w:gridSpan w:val="3"/>
            <w:tcBorders>
              <w:top w:val="nil"/>
              <w:left w:val="nil"/>
              <w:bottom w:val="nil"/>
              <w:right w:val="nil"/>
            </w:tcBorders>
          </w:tcPr>
          <w:p w14:paraId="7258E124" w14:textId="77777777" w:rsidR="000C465B" w:rsidRPr="000C465B" w:rsidRDefault="000C465B" w:rsidP="000C465B">
            <w:pPr>
              <w:spacing w:after="0"/>
            </w:pPr>
          </w:p>
        </w:tc>
        <w:tc>
          <w:tcPr>
            <w:tcW w:w="3057" w:type="dxa"/>
            <w:gridSpan w:val="2"/>
            <w:tcBorders>
              <w:top w:val="nil"/>
              <w:left w:val="nil"/>
              <w:bottom w:val="nil"/>
              <w:right w:val="nil"/>
            </w:tcBorders>
          </w:tcPr>
          <w:p w14:paraId="56C2159E" w14:textId="77777777" w:rsidR="000C465B" w:rsidRPr="000C465B" w:rsidRDefault="000C465B" w:rsidP="000C465B">
            <w:pPr>
              <w:spacing w:after="0"/>
            </w:pPr>
          </w:p>
        </w:tc>
      </w:tr>
      <w:tr w:rsidR="000C465B" w:rsidRPr="000C465B" w14:paraId="7381C8DD" w14:textId="77777777" w:rsidTr="00185462">
        <w:tc>
          <w:tcPr>
            <w:tcW w:w="3290" w:type="dxa"/>
            <w:tcBorders>
              <w:top w:val="nil"/>
              <w:left w:val="nil"/>
              <w:bottom w:val="nil"/>
              <w:right w:val="nil"/>
            </w:tcBorders>
          </w:tcPr>
          <w:p w14:paraId="76D2779F" w14:textId="77777777" w:rsidR="000C465B" w:rsidRPr="000C465B" w:rsidRDefault="000C465B" w:rsidP="000C465B">
            <w:pPr>
              <w:spacing w:after="0"/>
              <w:jc w:val="left"/>
            </w:pPr>
            <w:r w:rsidRPr="000C465B">
              <w:rPr>
                <w:noProof/>
              </w:rPr>
              <w:lastRenderedPageBreak/>
              <w:drawing>
                <wp:inline distT="0" distB="0" distL="0" distR="0" wp14:anchorId="157659AD" wp14:editId="785AF3E6">
                  <wp:extent cx="1874520" cy="5047488"/>
                  <wp:effectExtent l="0" t="0" r="0" b="1270"/>
                  <wp:docPr id="649125205" name="Picture 64912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Q-Shampoo-v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4520" cy="5047488"/>
                          </a:xfrm>
                          <a:prstGeom prst="rect">
                            <a:avLst/>
                          </a:prstGeom>
                        </pic:spPr>
                      </pic:pic>
                    </a:graphicData>
                  </a:graphic>
                </wp:inline>
              </w:drawing>
            </w:r>
          </w:p>
        </w:tc>
        <w:tc>
          <w:tcPr>
            <w:tcW w:w="3090" w:type="dxa"/>
            <w:gridSpan w:val="2"/>
            <w:tcBorders>
              <w:top w:val="nil"/>
              <w:left w:val="nil"/>
              <w:bottom w:val="nil"/>
              <w:right w:val="nil"/>
            </w:tcBorders>
          </w:tcPr>
          <w:p w14:paraId="034408AD" w14:textId="77777777" w:rsidR="000C465B" w:rsidRPr="000C465B" w:rsidRDefault="000C465B" w:rsidP="000C465B">
            <w:pPr>
              <w:spacing w:after="0"/>
              <w:jc w:val="left"/>
            </w:pPr>
            <w:r w:rsidRPr="000C465B">
              <w:rPr>
                <w:noProof/>
                <w:color w:val="FF0000"/>
              </w:rPr>
              <w:drawing>
                <wp:inline distT="0" distB="0" distL="0" distR="0" wp14:anchorId="544BB3A6" wp14:editId="7737C556">
                  <wp:extent cx="1874520" cy="5047488"/>
                  <wp:effectExtent l="0" t="0" r="0" b="1270"/>
                  <wp:docPr id="1504544901" name="Picture 15045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EQ-Shampoo-v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74520" cy="5047488"/>
                          </a:xfrm>
                          <a:prstGeom prst="rect">
                            <a:avLst/>
                          </a:prstGeom>
                        </pic:spPr>
                      </pic:pic>
                    </a:graphicData>
                  </a:graphic>
                </wp:inline>
              </w:drawing>
            </w:r>
          </w:p>
        </w:tc>
        <w:tc>
          <w:tcPr>
            <w:tcW w:w="3070" w:type="dxa"/>
            <w:gridSpan w:val="3"/>
            <w:tcBorders>
              <w:top w:val="nil"/>
              <w:left w:val="nil"/>
              <w:bottom w:val="nil"/>
              <w:right w:val="nil"/>
            </w:tcBorders>
          </w:tcPr>
          <w:p w14:paraId="640D7657" w14:textId="77777777" w:rsidR="000C465B" w:rsidRPr="000C465B" w:rsidRDefault="000C465B" w:rsidP="000C465B">
            <w:pPr>
              <w:spacing w:after="0"/>
              <w:jc w:val="left"/>
            </w:pPr>
            <w:r w:rsidRPr="000C465B">
              <w:rPr>
                <w:noProof/>
              </w:rPr>
              <w:drawing>
                <wp:inline distT="0" distB="0" distL="0" distR="0" wp14:anchorId="319A72DF" wp14:editId="0D35ADF4">
                  <wp:extent cx="1874520" cy="5047488"/>
                  <wp:effectExtent l="0" t="0" r="0" b="1270"/>
                  <wp:docPr id="240598657" name="Picture 24059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EQ-Shampoo-v1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4520" cy="5047488"/>
                          </a:xfrm>
                          <a:prstGeom prst="rect">
                            <a:avLst/>
                          </a:prstGeom>
                        </pic:spPr>
                      </pic:pic>
                    </a:graphicData>
                  </a:graphic>
                </wp:inline>
              </w:drawing>
            </w:r>
          </w:p>
        </w:tc>
      </w:tr>
      <w:tr w:rsidR="000C465B" w:rsidRPr="000C465B" w14:paraId="3E0F928C" w14:textId="77777777" w:rsidTr="00185462">
        <w:tc>
          <w:tcPr>
            <w:tcW w:w="3290" w:type="dxa"/>
            <w:tcBorders>
              <w:top w:val="nil"/>
              <w:left w:val="nil"/>
              <w:bottom w:val="nil"/>
              <w:right w:val="nil"/>
            </w:tcBorders>
          </w:tcPr>
          <w:p w14:paraId="5503AE49" w14:textId="77777777" w:rsidR="000C465B" w:rsidRPr="000C465B" w:rsidRDefault="000C465B" w:rsidP="000C465B">
            <w:pPr>
              <w:spacing w:after="0"/>
              <w:jc w:val="center"/>
              <w:rPr>
                <w:sz w:val="36"/>
                <w:szCs w:val="36"/>
              </w:rPr>
            </w:pPr>
            <w:r w:rsidRPr="000C465B">
              <w:rPr>
                <w:b/>
                <w:color w:val="00B050"/>
                <w:sz w:val="36"/>
                <w:szCs w:val="36"/>
              </w:rPr>
              <w:t>PREFERRED</w:t>
            </w:r>
          </w:p>
        </w:tc>
        <w:tc>
          <w:tcPr>
            <w:tcW w:w="3090" w:type="dxa"/>
            <w:gridSpan w:val="2"/>
            <w:tcBorders>
              <w:top w:val="nil"/>
              <w:left w:val="nil"/>
              <w:bottom w:val="nil"/>
              <w:right w:val="nil"/>
            </w:tcBorders>
          </w:tcPr>
          <w:p w14:paraId="094204DC" w14:textId="77777777" w:rsidR="000C465B" w:rsidRPr="000C465B" w:rsidRDefault="000C465B" w:rsidP="000C465B">
            <w:pPr>
              <w:spacing w:after="0"/>
              <w:jc w:val="center"/>
              <w:rPr>
                <w:sz w:val="36"/>
                <w:szCs w:val="36"/>
              </w:rPr>
            </w:pPr>
            <w:r w:rsidRPr="000C465B">
              <w:rPr>
                <w:b/>
                <w:color w:val="FF0000"/>
                <w:sz w:val="36"/>
                <w:szCs w:val="36"/>
              </w:rPr>
              <w:t>PROBLEMATIC</w:t>
            </w:r>
          </w:p>
        </w:tc>
        <w:tc>
          <w:tcPr>
            <w:tcW w:w="3070" w:type="dxa"/>
            <w:gridSpan w:val="3"/>
            <w:tcBorders>
              <w:top w:val="nil"/>
              <w:left w:val="nil"/>
              <w:bottom w:val="nil"/>
              <w:right w:val="nil"/>
            </w:tcBorders>
          </w:tcPr>
          <w:p w14:paraId="44C11356" w14:textId="77777777" w:rsidR="000C465B" w:rsidRPr="000C465B" w:rsidRDefault="000C465B" w:rsidP="000C465B">
            <w:pPr>
              <w:spacing w:after="0"/>
              <w:jc w:val="center"/>
              <w:rPr>
                <w:sz w:val="36"/>
                <w:szCs w:val="36"/>
              </w:rPr>
            </w:pPr>
            <w:r w:rsidRPr="000C465B">
              <w:rPr>
                <w:b/>
                <w:color w:val="FF0000"/>
                <w:sz w:val="36"/>
                <w:szCs w:val="36"/>
              </w:rPr>
              <w:t>PROBLEMATIC</w:t>
            </w:r>
          </w:p>
        </w:tc>
      </w:tr>
      <w:tr w:rsidR="000C465B" w:rsidRPr="000C465B" w14:paraId="6DEE8A18" w14:textId="77777777" w:rsidTr="00185462">
        <w:tc>
          <w:tcPr>
            <w:tcW w:w="3290" w:type="dxa"/>
            <w:tcBorders>
              <w:top w:val="nil"/>
              <w:left w:val="nil"/>
              <w:bottom w:val="nil"/>
              <w:right w:val="nil"/>
            </w:tcBorders>
          </w:tcPr>
          <w:p w14:paraId="7675E98F" w14:textId="77777777" w:rsidR="000C465B" w:rsidRPr="000C465B" w:rsidRDefault="000C465B" w:rsidP="000C465B">
            <w:pPr>
              <w:spacing w:after="0"/>
              <w:rPr>
                <w:noProof/>
                <w:sz w:val="20"/>
                <w:szCs w:val="20"/>
              </w:rPr>
            </w:pPr>
            <w:r w:rsidRPr="000C465B">
              <w:rPr>
                <w:spacing w:val="10"/>
                <w:sz w:val="20"/>
                <w:szCs w:val="20"/>
              </w:rPr>
              <w:t>This example illustrates the</w:t>
            </w:r>
            <w:r w:rsidRPr="000C465B">
              <w:rPr>
                <w:sz w:val="20"/>
                <w:szCs w:val="20"/>
              </w:rPr>
              <w:t xml:space="preserve"> inclusion of an AEQ that states ½ Liter near the top of the PDP </w:t>
            </w:r>
            <w:r w:rsidRPr="000C465B">
              <w:rPr>
                <w:spacing w:val="-4"/>
                <w:sz w:val="20"/>
                <w:szCs w:val="20"/>
              </w:rPr>
              <w:t>which is an equivalent expression</w:t>
            </w:r>
            <w:r w:rsidRPr="000C465B">
              <w:rPr>
                <w:sz w:val="20"/>
                <w:szCs w:val="20"/>
              </w:rPr>
              <w:t xml:space="preserve"> to 500 mL in the Declaration of Net Quantity (DoNQ).</w:t>
            </w:r>
          </w:p>
          <w:p w14:paraId="248E17F3" w14:textId="77777777" w:rsidR="000C465B" w:rsidRPr="000C465B" w:rsidRDefault="000C465B" w:rsidP="000C465B">
            <w:pPr>
              <w:spacing w:after="0"/>
              <w:jc w:val="left"/>
            </w:pPr>
          </w:p>
        </w:tc>
        <w:tc>
          <w:tcPr>
            <w:tcW w:w="3090" w:type="dxa"/>
            <w:gridSpan w:val="2"/>
            <w:tcBorders>
              <w:top w:val="nil"/>
              <w:left w:val="nil"/>
              <w:bottom w:val="nil"/>
              <w:right w:val="nil"/>
            </w:tcBorders>
          </w:tcPr>
          <w:p w14:paraId="7A3988A2" w14:textId="77777777" w:rsidR="000C465B" w:rsidRPr="000C465B" w:rsidRDefault="000C465B" w:rsidP="000C465B">
            <w:pPr>
              <w:spacing w:after="0"/>
            </w:pPr>
            <w:r w:rsidRPr="000C465B">
              <w:rPr>
                <w:spacing w:val="10"/>
                <w:sz w:val="20"/>
                <w:szCs w:val="20"/>
              </w:rPr>
              <w:t>This example illustrates the</w:t>
            </w:r>
            <w:r w:rsidRPr="000C465B">
              <w:rPr>
                <w:sz w:val="20"/>
                <w:szCs w:val="20"/>
              </w:rPr>
              <w:t xml:space="preserve"> inclusion of the phrase “At Least ½ Liter” near the top of the PDP while the DoNQ states 500 mL.   Since the DoNQ states the package contains 500 mL, the AEQ must be an equivalent statement.  “At Least ½ Liter” is not an equivalent statement to 500 mL and implies the package may or may not contain more than 500 mL without any added clarification.  As a result, this is viewed as problemati</w:t>
            </w:r>
            <w:r w:rsidRPr="000C465B">
              <w:t xml:space="preserve">c.  </w:t>
            </w:r>
          </w:p>
          <w:p w14:paraId="0C3BBA5F" w14:textId="77777777" w:rsidR="000C465B" w:rsidRPr="000C465B" w:rsidRDefault="000C465B" w:rsidP="000C465B">
            <w:pPr>
              <w:spacing w:after="0"/>
              <w:jc w:val="left"/>
            </w:pPr>
          </w:p>
        </w:tc>
        <w:tc>
          <w:tcPr>
            <w:tcW w:w="3070" w:type="dxa"/>
            <w:gridSpan w:val="3"/>
            <w:tcBorders>
              <w:top w:val="nil"/>
              <w:left w:val="nil"/>
              <w:bottom w:val="nil"/>
              <w:right w:val="nil"/>
            </w:tcBorders>
          </w:tcPr>
          <w:p w14:paraId="6A698A61" w14:textId="77777777" w:rsidR="000C465B" w:rsidRPr="000C465B" w:rsidRDefault="000C465B" w:rsidP="000C465B">
            <w:pPr>
              <w:spacing w:after="0"/>
            </w:pPr>
            <w:r w:rsidRPr="000C465B">
              <w:rPr>
                <w:spacing w:val="20"/>
                <w:sz w:val="20"/>
                <w:szCs w:val="20"/>
              </w:rPr>
              <w:t>This example illustrates</w:t>
            </w:r>
            <w:r w:rsidRPr="000C465B">
              <w:rPr>
                <w:sz w:val="20"/>
                <w:szCs w:val="20"/>
              </w:rPr>
              <w:t xml:space="preserve"> inclusion of the expression “Up to ½ Liter!”. This example is problematic since “up to” does not communicate a precise and </w:t>
            </w:r>
            <w:r w:rsidRPr="000C465B">
              <w:rPr>
                <w:spacing w:val="10"/>
                <w:sz w:val="20"/>
                <w:szCs w:val="20"/>
              </w:rPr>
              <w:t>verifiable quantity to a prospective buyer of an individual package, and may actually contain less. This</w:t>
            </w:r>
            <w:r w:rsidRPr="000C465B">
              <w:rPr>
                <w:sz w:val="20"/>
                <w:szCs w:val="20"/>
              </w:rPr>
              <w:t xml:space="preserve"> expression also is not consistent with the DoNQ.  Expressions like “up to”, “approximately” and </w:t>
            </w:r>
            <w:r w:rsidRPr="000C465B">
              <w:rPr>
                <w:spacing w:val="10"/>
                <w:sz w:val="20"/>
                <w:szCs w:val="20"/>
              </w:rPr>
              <w:t>“about” suggest a quantity range instead of a verifiable</w:t>
            </w:r>
            <w:r w:rsidRPr="000C465B">
              <w:rPr>
                <w:sz w:val="20"/>
                <w:szCs w:val="20"/>
              </w:rPr>
              <w:t xml:space="preserve"> quantity. Additionally, the ½ may be hard to see as a result of its size and contrast.  </w:t>
            </w:r>
          </w:p>
        </w:tc>
      </w:tr>
      <w:tr w:rsidR="000C465B" w:rsidRPr="000C465B" w14:paraId="50455285" w14:textId="77777777" w:rsidTr="00185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4842" w:type="dxa"/>
            <w:gridSpan w:val="2"/>
          </w:tcPr>
          <w:p w14:paraId="7334B945" w14:textId="77777777" w:rsidR="000C465B" w:rsidRPr="000C465B" w:rsidRDefault="000C465B" w:rsidP="000C465B">
            <w:pPr>
              <w:keepNext/>
              <w:spacing w:after="0"/>
              <w:jc w:val="center"/>
              <w:rPr>
                <w:highlight w:val="yellow"/>
              </w:rPr>
            </w:pPr>
            <w:r w:rsidRPr="000C465B">
              <w:t xml:space="preserve"> </w:t>
            </w:r>
          </w:p>
        </w:tc>
        <w:tc>
          <w:tcPr>
            <w:tcW w:w="4594" w:type="dxa"/>
            <w:gridSpan w:val="3"/>
          </w:tcPr>
          <w:p w14:paraId="48B48453" w14:textId="77777777" w:rsidR="000C465B" w:rsidRPr="000C465B" w:rsidRDefault="000C465B" w:rsidP="000C465B">
            <w:pPr>
              <w:keepNext/>
              <w:spacing w:after="0"/>
              <w:jc w:val="center"/>
              <w:rPr>
                <w:highlight w:val="yellow"/>
              </w:rPr>
            </w:pPr>
          </w:p>
        </w:tc>
      </w:tr>
    </w:tbl>
    <w:p w14:paraId="0E7BA783" w14:textId="77777777" w:rsidR="000C465B" w:rsidRPr="000C465B" w:rsidRDefault="000C465B" w:rsidP="000C465B">
      <w:pPr>
        <w:spacing w:after="200" w:line="276" w:lineRule="auto"/>
        <w:jc w:val="left"/>
        <w:rPr>
          <w:b/>
          <w:noProof/>
          <w:sz w:val="22"/>
        </w:rPr>
      </w:pPr>
      <w:r w:rsidRPr="000C465B">
        <w:rPr>
          <w:b/>
          <w:noProof/>
          <w:sz w:val="22"/>
        </w:rPr>
        <w:t xml:space="preserve">       </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38"/>
      </w:tblGrid>
      <w:tr w:rsidR="000C465B" w:rsidRPr="000C465B" w14:paraId="02CE2F8B" w14:textId="77777777" w:rsidTr="005F0F3E">
        <w:tc>
          <w:tcPr>
            <w:tcW w:w="4722" w:type="dxa"/>
          </w:tcPr>
          <w:p w14:paraId="07FDB91F" w14:textId="77777777" w:rsidR="000C465B" w:rsidRPr="000C465B" w:rsidRDefault="000C465B" w:rsidP="000C465B">
            <w:pPr>
              <w:spacing w:after="0"/>
              <w:jc w:val="left"/>
              <w:rPr>
                <w:b/>
                <w:color w:val="00B050"/>
                <w:sz w:val="40"/>
                <w:szCs w:val="40"/>
              </w:rPr>
            </w:pPr>
            <w:r w:rsidRPr="000C465B">
              <w:rPr>
                <w:noProof/>
              </w:rPr>
              <w:lastRenderedPageBreak/>
              <w:drawing>
                <wp:inline distT="0" distB="0" distL="0" distR="0" wp14:anchorId="5F5F346B" wp14:editId="626AD159">
                  <wp:extent cx="2861828" cy="2837815"/>
                  <wp:effectExtent l="0" t="0" r="0" b="635"/>
                  <wp:docPr id="279296177" name="Picture 279296177" descr="D:\NCWM\PALS Diagrams\Set 4\1-AEQ\AEQ-S1a-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NCWM\PALS Diagrams\Set 4\1-AEQ\AEQ-S1a-v5.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793"/>
                          <a:stretch/>
                        </pic:blipFill>
                        <pic:spPr bwMode="auto">
                          <a:xfrm>
                            <a:off x="0" y="0"/>
                            <a:ext cx="2862072" cy="2838057"/>
                          </a:xfrm>
                          <a:prstGeom prst="rect">
                            <a:avLst/>
                          </a:prstGeom>
                          <a:noFill/>
                          <a:ln>
                            <a:noFill/>
                          </a:ln>
                          <a:extLst>
                            <a:ext uri="{53640926-AAD7-44D8-BBD7-CCE9431645EC}">
                              <a14:shadowObscured xmlns:a14="http://schemas.microsoft.com/office/drawing/2010/main"/>
                            </a:ext>
                          </a:extLst>
                        </pic:spPr>
                      </pic:pic>
                    </a:graphicData>
                  </a:graphic>
                </wp:inline>
              </w:drawing>
            </w:r>
          </w:p>
          <w:p w14:paraId="2BB3A02C" w14:textId="77777777" w:rsidR="000C465B" w:rsidRPr="000C465B" w:rsidRDefault="000C465B" w:rsidP="000C465B">
            <w:pPr>
              <w:spacing w:after="0"/>
            </w:pPr>
            <w:r w:rsidRPr="000C465B">
              <w:t xml:space="preserve">.    </w:t>
            </w:r>
          </w:p>
          <w:p w14:paraId="25147D85" w14:textId="77777777" w:rsidR="000C465B" w:rsidRPr="000C465B" w:rsidRDefault="000C465B" w:rsidP="000C465B">
            <w:pPr>
              <w:spacing w:after="0"/>
            </w:pPr>
          </w:p>
          <w:p w14:paraId="1E202060" w14:textId="77777777" w:rsidR="000C465B" w:rsidRPr="000C465B" w:rsidRDefault="000C465B" w:rsidP="000C465B">
            <w:pPr>
              <w:spacing w:after="0"/>
            </w:pPr>
            <w:r w:rsidRPr="000C465B">
              <w:rPr>
                <w:noProof/>
              </w:rPr>
              <w:drawing>
                <wp:inline distT="0" distB="0" distL="0" distR="0" wp14:anchorId="36EE336D" wp14:editId="6B37AC3E">
                  <wp:extent cx="2861208" cy="2837180"/>
                  <wp:effectExtent l="0" t="0" r="0" b="1270"/>
                  <wp:docPr id="1142822197" name="Picture 1142822197" descr="D:\NCWM\PALS Diagrams\Set 4\1-AEQ\AEQ-S1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NCWM\PALS Diagrams\Set 4\1-AEQ\AEQ-S1b-v1.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795"/>
                          <a:stretch/>
                        </pic:blipFill>
                        <pic:spPr bwMode="auto">
                          <a:xfrm>
                            <a:off x="0" y="0"/>
                            <a:ext cx="2862072" cy="2838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8" w:type="dxa"/>
          </w:tcPr>
          <w:p w14:paraId="5186BA2C" w14:textId="77777777" w:rsidR="000C465B" w:rsidRPr="000C465B" w:rsidRDefault="000C465B" w:rsidP="000C465B">
            <w:pPr>
              <w:spacing w:after="0"/>
              <w:rPr>
                <w:b/>
                <w:color w:val="00B050"/>
                <w:sz w:val="40"/>
                <w:szCs w:val="40"/>
              </w:rPr>
            </w:pPr>
          </w:p>
          <w:p w14:paraId="38A105C6" w14:textId="77777777" w:rsidR="000C465B" w:rsidRPr="000C465B" w:rsidRDefault="000C465B" w:rsidP="000C465B">
            <w:pPr>
              <w:spacing w:after="0"/>
              <w:rPr>
                <w:b/>
                <w:color w:val="00B050"/>
                <w:sz w:val="36"/>
                <w:szCs w:val="36"/>
              </w:rPr>
            </w:pPr>
            <w:r w:rsidRPr="000C465B">
              <w:rPr>
                <w:b/>
                <w:color w:val="00B050"/>
                <w:sz w:val="36"/>
                <w:szCs w:val="36"/>
              </w:rPr>
              <w:t>PREFERRED</w:t>
            </w:r>
          </w:p>
          <w:p w14:paraId="146743F7" w14:textId="77777777" w:rsidR="000C465B" w:rsidRPr="000C465B" w:rsidRDefault="000C465B" w:rsidP="000C465B">
            <w:pPr>
              <w:spacing w:after="0"/>
            </w:pPr>
            <w:r w:rsidRPr="000C465B">
              <w:rPr>
                <w:spacing w:val="4"/>
                <w:sz w:val="20"/>
                <w:szCs w:val="20"/>
              </w:rPr>
              <w:t>This example illustrates the inclusion of an AEQ</w:t>
            </w:r>
            <w:r w:rsidRPr="000C465B">
              <w:rPr>
                <w:spacing w:val="10"/>
                <w:sz w:val="20"/>
                <w:szCs w:val="20"/>
              </w:rPr>
              <w:t xml:space="preserve"> </w:t>
            </w:r>
            <w:r w:rsidRPr="000C465B">
              <w:rPr>
                <w:sz w:val="20"/>
                <w:szCs w:val="20"/>
              </w:rPr>
              <w:t>(6 Doughnuts) near the top of the PDP which provides package count information in addition to the weight/mass information provided by the DoNQ.  The “6” and “Doughnuts” appear with differing font, color and contrast in a manner which makes the AEQ clear</w:t>
            </w:r>
            <w:r w:rsidRPr="000C465B">
              <w:t xml:space="preserve">.    </w:t>
            </w:r>
          </w:p>
          <w:p w14:paraId="58A715B3" w14:textId="77777777" w:rsidR="000C465B" w:rsidRPr="000C465B" w:rsidRDefault="000C465B" w:rsidP="000C465B">
            <w:pPr>
              <w:spacing w:after="100" w:afterAutospacing="1"/>
              <w:jc w:val="center"/>
              <w:rPr>
                <w:b/>
                <w:color w:val="00B050"/>
                <w:sz w:val="40"/>
                <w:szCs w:val="40"/>
              </w:rPr>
            </w:pPr>
          </w:p>
          <w:p w14:paraId="1CF84BFF" w14:textId="77777777" w:rsidR="000C465B" w:rsidRPr="000C465B" w:rsidRDefault="000C465B" w:rsidP="000C465B">
            <w:pPr>
              <w:spacing w:after="100" w:afterAutospacing="1"/>
              <w:jc w:val="center"/>
              <w:rPr>
                <w:b/>
                <w:color w:val="00B050"/>
                <w:sz w:val="40"/>
                <w:szCs w:val="40"/>
              </w:rPr>
            </w:pPr>
          </w:p>
          <w:p w14:paraId="7C88328D" w14:textId="77777777" w:rsidR="000C465B" w:rsidRPr="000C465B" w:rsidRDefault="000C465B" w:rsidP="000C465B">
            <w:pPr>
              <w:spacing w:after="100" w:afterAutospacing="1"/>
              <w:jc w:val="center"/>
              <w:rPr>
                <w:b/>
                <w:color w:val="00B050"/>
                <w:sz w:val="40"/>
                <w:szCs w:val="40"/>
              </w:rPr>
            </w:pPr>
          </w:p>
          <w:p w14:paraId="10083EEA" w14:textId="77777777" w:rsidR="000C465B" w:rsidRPr="000C465B" w:rsidRDefault="000C465B" w:rsidP="000C465B">
            <w:pPr>
              <w:spacing w:after="100" w:afterAutospacing="1"/>
              <w:jc w:val="center"/>
              <w:rPr>
                <w:b/>
                <w:color w:val="00B050"/>
                <w:sz w:val="40"/>
                <w:szCs w:val="40"/>
              </w:rPr>
            </w:pPr>
          </w:p>
          <w:p w14:paraId="27625BDE" w14:textId="77777777" w:rsidR="000C465B" w:rsidRPr="000C465B" w:rsidRDefault="000C465B" w:rsidP="000C465B">
            <w:pPr>
              <w:spacing w:after="0"/>
              <w:rPr>
                <w:b/>
                <w:color w:val="00B050"/>
                <w:sz w:val="36"/>
                <w:szCs w:val="36"/>
              </w:rPr>
            </w:pPr>
            <w:r w:rsidRPr="000C465B">
              <w:rPr>
                <w:b/>
                <w:color w:val="00B050"/>
                <w:sz w:val="36"/>
                <w:szCs w:val="36"/>
              </w:rPr>
              <w:t>PREFERRED</w:t>
            </w:r>
          </w:p>
          <w:p w14:paraId="036B2AB8" w14:textId="77777777" w:rsidR="000C465B" w:rsidRPr="000C465B" w:rsidRDefault="000C465B" w:rsidP="000C465B">
            <w:pPr>
              <w:spacing w:before="20" w:after="0"/>
              <w:rPr>
                <w:sz w:val="20"/>
                <w:szCs w:val="20"/>
              </w:rPr>
            </w:pPr>
            <w:r w:rsidRPr="000C465B">
              <w:rPr>
                <w:spacing w:val="4"/>
                <w:sz w:val="20"/>
                <w:szCs w:val="20"/>
              </w:rPr>
              <w:t>This example illustrates the inclusion of an AEQ</w:t>
            </w:r>
            <w:r w:rsidRPr="000C465B">
              <w:rPr>
                <w:spacing w:val="10"/>
                <w:sz w:val="20"/>
                <w:szCs w:val="20"/>
              </w:rPr>
              <w:t xml:space="preserve"> </w:t>
            </w:r>
            <w:r w:rsidRPr="000C465B">
              <w:rPr>
                <w:sz w:val="20"/>
                <w:szCs w:val="20"/>
              </w:rPr>
              <w:t xml:space="preserve">(6 DOUGHNUTS) in the lower 30% of the PDP on the opposite side of the label and separate from the DoNQ which provides weight/mass information The “6” and “DOUGHNUTS” appear with the same font, color and contrast in a manner which makes the AEQ clear.    </w:t>
            </w:r>
          </w:p>
          <w:p w14:paraId="41528ADE" w14:textId="77777777" w:rsidR="000C465B" w:rsidRPr="000C465B" w:rsidRDefault="000C465B" w:rsidP="000C465B">
            <w:pPr>
              <w:spacing w:after="200" w:line="276" w:lineRule="auto"/>
              <w:jc w:val="center"/>
            </w:pPr>
          </w:p>
          <w:p w14:paraId="16A63F11" w14:textId="77777777" w:rsidR="000C465B" w:rsidRPr="000C465B" w:rsidRDefault="000C465B" w:rsidP="000C465B">
            <w:pPr>
              <w:spacing w:after="0"/>
              <w:jc w:val="center"/>
            </w:pPr>
            <w:r w:rsidRPr="000C465B">
              <w:t xml:space="preserve"> </w:t>
            </w:r>
          </w:p>
        </w:tc>
      </w:tr>
      <w:tr w:rsidR="000C465B" w:rsidRPr="000C465B" w14:paraId="0A315ABF" w14:textId="77777777" w:rsidTr="005F0F3E">
        <w:tc>
          <w:tcPr>
            <w:tcW w:w="4722" w:type="dxa"/>
          </w:tcPr>
          <w:p w14:paraId="3B029C19" w14:textId="77777777" w:rsidR="000C465B" w:rsidRPr="000C465B" w:rsidRDefault="000C465B" w:rsidP="000C465B">
            <w:pPr>
              <w:spacing w:after="100" w:afterAutospacing="1"/>
              <w:jc w:val="center"/>
              <w:rPr>
                <w:noProof/>
              </w:rPr>
            </w:pPr>
          </w:p>
        </w:tc>
        <w:tc>
          <w:tcPr>
            <w:tcW w:w="4638" w:type="dxa"/>
          </w:tcPr>
          <w:p w14:paraId="6E2B3230" w14:textId="77777777" w:rsidR="000C465B" w:rsidRPr="000C465B" w:rsidDel="00D12391" w:rsidRDefault="000C465B" w:rsidP="000C465B">
            <w:pPr>
              <w:spacing w:before="240" w:after="100" w:afterAutospacing="1"/>
              <w:jc w:val="center"/>
              <w:rPr>
                <w:noProof/>
              </w:rPr>
            </w:pPr>
          </w:p>
        </w:tc>
      </w:tr>
      <w:tr w:rsidR="000C465B" w:rsidRPr="000C465B" w14:paraId="179ACD43" w14:textId="77777777" w:rsidTr="005F0F3E">
        <w:tc>
          <w:tcPr>
            <w:tcW w:w="4722" w:type="dxa"/>
          </w:tcPr>
          <w:p w14:paraId="2272F5E1" w14:textId="77777777" w:rsidR="000C465B" w:rsidRPr="000C465B" w:rsidRDefault="000C465B" w:rsidP="000C465B">
            <w:pPr>
              <w:spacing w:after="0"/>
              <w:jc w:val="left"/>
              <w:rPr>
                <w:noProof/>
              </w:rPr>
            </w:pPr>
          </w:p>
        </w:tc>
        <w:tc>
          <w:tcPr>
            <w:tcW w:w="4638" w:type="dxa"/>
          </w:tcPr>
          <w:p w14:paraId="2F4F7DD3" w14:textId="77777777" w:rsidR="000C465B" w:rsidRPr="000C465B" w:rsidRDefault="000C465B" w:rsidP="000C465B">
            <w:pPr>
              <w:spacing w:after="0"/>
              <w:jc w:val="center"/>
              <w:rPr>
                <w:noProof/>
              </w:rPr>
            </w:pPr>
          </w:p>
        </w:tc>
      </w:tr>
      <w:tr w:rsidR="000C465B" w:rsidRPr="000C465B" w14:paraId="5B20ADEA" w14:textId="77777777" w:rsidTr="005F0F3E">
        <w:tc>
          <w:tcPr>
            <w:tcW w:w="4722" w:type="dxa"/>
          </w:tcPr>
          <w:p w14:paraId="28C1535D" w14:textId="77777777" w:rsidR="000C465B" w:rsidRPr="000C465B" w:rsidRDefault="000C465B" w:rsidP="000C465B">
            <w:pPr>
              <w:spacing w:after="60"/>
              <w:jc w:val="center"/>
            </w:pPr>
            <w:r w:rsidRPr="000C465B">
              <w:rPr>
                <w:noProof/>
              </w:rPr>
              <w:lastRenderedPageBreak/>
              <w:drawing>
                <wp:inline distT="0" distB="0" distL="0" distR="0" wp14:anchorId="51D7C9F2" wp14:editId="5E6B39D4">
                  <wp:extent cx="2861828" cy="2837815"/>
                  <wp:effectExtent l="0" t="0" r="0" b="635"/>
                  <wp:docPr id="252544094" name="Picture 25254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Q-Doughnut-v2a.png"/>
                          <pic:cNvPicPr/>
                        </pic:nvPicPr>
                        <pic:blipFill rotWithShape="1">
                          <a:blip r:embed="rId71" cstate="print">
                            <a:extLst>
                              <a:ext uri="{28A0092B-C50C-407E-A947-70E740481C1C}">
                                <a14:useLocalDpi xmlns:a14="http://schemas.microsoft.com/office/drawing/2010/main" val="0"/>
                              </a:ext>
                            </a:extLst>
                          </a:blip>
                          <a:srcRect t="4793"/>
                          <a:stretch/>
                        </pic:blipFill>
                        <pic:spPr bwMode="auto">
                          <a:xfrm>
                            <a:off x="0" y="0"/>
                            <a:ext cx="2862072" cy="2838057"/>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tcPr>
          <w:p w14:paraId="1BA7F054" w14:textId="77777777" w:rsidR="000C465B" w:rsidRPr="000C465B" w:rsidRDefault="000C465B" w:rsidP="000C465B">
            <w:pPr>
              <w:spacing w:after="0"/>
              <w:rPr>
                <w:b/>
                <w:color w:val="00B050"/>
                <w:sz w:val="40"/>
                <w:szCs w:val="40"/>
              </w:rPr>
            </w:pPr>
          </w:p>
          <w:p w14:paraId="14BB7C51" w14:textId="77777777" w:rsidR="000C465B" w:rsidRPr="000C465B" w:rsidRDefault="000C465B" w:rsidP="000C465B">
            <w:pPr>
              <w:spacing w:after="0"/>
              <w:rPr>
                <w:sz w:val="36"/>
                <w:szCs w:val="36"/>
              </w:rPr>
            </w:pPr>
            <w:r w:rsidRPr="000C465B">
              <w:rPr>
                <w:b/>
                <w:color w:val="00B050"/>
                <w:sz w:val="36"/>
                <w:szCs w:val="36"/>
              </w:rPr>
              <w:t>PREFERRED</w:t>
            </w:r>
            <w:r w:rsidRPr="000C465B">
              <w:rPr>
                <w:sz w:val="36"/>
                <w:szCs w:val="36"/>
              </w:rPr>
              <w:t xml:space="preserve"> </w:t>
            </w:r>
          </w:p>
          <w:p w14:paraId="779CF2EF" w14:textId="77777777" w:rsidR="000C465B" w:rsidRPr="000C465B" w:rsidRDefault="000C465B" w:rsidP="000C465B">
            <w:pPr>
              <w:spacing w:after="0"/>
              <w:rPr>
                <w:sz w:val="20"/>
                <w:szCs w:val="20"/>
              </w:rPr>
            </w:pPr>
            <w:r w:rsidRPr="000C465B">
              <w:rPr>
                <w:spacing w:val="4"/>
                <w:sz w:val="20"/>
                <w:szCs w:val="20"/>
              </w:rPr>
              <w:t>This example illustrates the inclusion of an AEQ</w:t>
            </w:r>
            <w:r w:rsidRPr="000C465B">
              <w:rPr>
                <w:sz w:val="20"/>
                <w:szCs w:val="20"/>
              </w:rPr>
              <w:t xml:space="preserve">  (6 Doughnuts) in the lower 30% of the PDP on the same side by separate from the DoNQ. The “6” and “Doughnuts” have different font sizes and their color differs from the DoNQ, which makes the AEQ </w:t>
            </w:r>
            <w:r w:rsidRPr="000C465B">
              <w:rPr>
                <w:strike/>
                <w:sz w:val="20"/>
                <w:szCs w:val="20"/>
              </w:rPr>
              <w:t xml:space="preserve">clear </w:t>
            </w:r>
            <w:r w:rsidRPr="000C465B">
              <w:rPr>
                <w:sz w:val="20"/>
                <w:szCs w:val="20"/>
              </w:rPr>
              <w:t xml:space="preserve">separate and distinct from the DoNQ.    </w:t>
            </w:r>
          </w:p>
        </w:tc>
      </w:tr>
      <w:tr w:rsidR="000C465B" w:rsidRPr="000C465B" w14:paraId="2BDC81DC" w14:textId="77777777" w:rsidTr="005F0F3E">
        <w:tc>
          <w:tcPr>
            <w:tcW w:w="4722" w:type="dxa"/>
          </w:tcPr>
          <w:p w14:paraId="0FBCC3DA" w14:textId="77777777" w:rsidR="000C465B" w:rsidRPr="000C465B" w:rsidRDefault="000C465B" w:rsidP="000C465B">
            <w:pPr>
              <w:spacing w:after="60"/>
              <w:rPr>
                <w:noProof/>
              </w:rPr>
            </w:pPr>
            <w:r w:rsidRPr="000C465B">
              <w:rPr>
                <w:noProof/>
              </w:rPr>
              <w:drawing>
                <wp:inline distT="0" distB="0" distL="0" distR="0" wp14:anchorId="52966FF4" wp14:editId="7051B9BB">
                  <wp:extent cx="2861310" cy="2818244"/>
                  <wp:effectExtent l="0" t="0" r="0" b="1270"/>
                  <wp:docPr id="109" name="Picture 109" descr="D:\NCWM\PALS Diagrams\Set 4\1-AEQ\AEQ-S1b-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NCWM\PALS Diagrams\Set 4\1-AEQ\AEQ-S1b-v4.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433"/>
                          <a:stretch/>
                        </pic:blipFill>
                        <pic:spPr bwMode="auto">
                          <a:xfrm>
                            <a:off x="0" y="0"/>
                            <a:ext cx="2862072" cy="2818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8" w:type="dxa"/>
          </w:tcPr>
          <w:p w14:paraId="57B22D81" w14:textId="77777777" w:rsidR="000C465B" w:rsidRPr="000C465B" w:rsidRDefault="000C465B" w:rsidP="000C465B">
            <w:pPr>
              <w:spacing w:after="0"/>
              <w:rPr>
                <w:b/>
                <w:color w:val="FF0000"/>
                <w:sz w:val="40"/>
                <w:szCs w:val="40"/>
              </w:rPr>
            </w:pPr>
          </w:p>
          <w:p w14:paraId="69888740" w14:textId="77777777" w:rsidR="000C465B" w:rsidRPr="000C465B" w:rsidRDefault="000C465B" w:rsidP="000C465B">
            <w:pPr>
              <w:spacing w:after="0"/>
              <w:rPr>
                <w:b/>
                <w:color w:val="FF0000"/>
                <w:sz w:val="36"/>
                <w:szCs w:val="36"/>
              </w:rPr>
            </w:pPr>
            <w:r w:rsidRPr="000C465B">
              <w:rPr>
                <w:b/>
                <w:color w:val="FF0000"/>
                <w:sz w:val="36"/>
                <w:szCs w:val="36"/>
              </w:rPr>
              <w:t>PROBLEMATIC</w:t>
            </w:r>
          </w:p>
          <w:p w14:paraId="35B996D7" w14:textId="77777777" w:rsidR="000C465B" w:rsidRPr="000C465B" w:rsidRDefault="000C465B" w:rsidP="000C465B">
            <w:pPr>
              <w:spacing w:after="0"/>
              <w:rPr>
                <w:noProof/>
                <w:sz w:val="20"/>
                <w:szCs w:val="20"/>
              </w:rPr>
            </w:pPr>
            <w:r w:rsidRPr="000C465B">
              <w:rPr>
                <w:spacing w:val="4"/>
                <w:sz w:val="20"/>
                <w:szCs w:val="20"/>
              </w:rPr>
              <w:t>This example illustrates the inclusion of an AEQ</w:t>
            </w:r>
            <w:r w:rsidRPr="000C465B">
              <w:rPr>
                <w:spacing w:val="10"/>
                <w:sz w:val="20"/>
                <w:szCs w:val="20"/>
              </w:rPr>
              <w:t xml:space="preserve"> </w:t>
            </w:r>
            <w:r w:rsidRPr="000C465B">
              <w:rPr>
                <w:sz w:val="20"/>
                <w:szCs w:val="20"/>
              </w:rPr>
              <w:t xml:space="preserve">(6 Doughnuts) in the lower 30% of the PDP immediately adjacent to the DoNQ. In this case, the “6 Doughnuts” is not separate from the DoNQ despite having a different color and font.       </w:t>
            </w:r>
          </w:p>
        </w:tc>
      </w:tr>
      <w:tr w:rsidR="000C465B" w:rsidRPr="000C465B" w14:paraId="0FA5CDA3" w14:textId="77777777" w:rsidTr="005F0F3E">
        <w:tc>
          <w:tcPr>
            <w:tcW w:w="4722" w:type="dxa"/>
          </w:tcPr>
          <w:p w14:paraId="456EA0E6" w14:textId="77777777" w:rsidR="000C465B" w:rsidRPr="000C465B" w:rsidRDefault="000C465B" w:rsidP="000C465B">
            <w:pPr>
              <w:spacing w:after="0"/>
              <w:jc w:val="center"/>
            </w:pPr>
            <w:r w:rsidRPr="000C465B">
              <w:rPr>
                <w:noProof/>
              </w:rPr>
              <w:lastRenderedPageBreak/>
              <w:drawing>
                <wp:inline distT="0" distB="0" distL="0" distR="0" wp14:anchorId="0A4F2FD3" wp14:editId="1AEA72EB">
                  <wp:extent cx="2861828" cy="2837815"/>
                  <wp:effectExtent l="0" t="0" r="0" b="635"/>
                  <wp:docPr id="1073523664" name="Picture 107352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EQ-Doughnut-v2h7.png"/>
                          <pic:cNvPicPr/>
                        </pic:nvPicPr>
                        <pic:blipFill rotWithShape="1">
                          <a:blip r:embed="rId73" cstate="print">
                            <a:extLst>
                              <a:ext uri="{28A0092B-C50C-407E-A947-70E740481C1C}">
                                <a14:useLocalDpi xmlns:a14="http://schemas.microsoft.com/office/drawing/2010/main" val="0"/>
                              </a:ext>
                            </a:extLst>
                          </a:blip>
                          <a:srcRect t="4793"/>
                          <a:stretch/>
                        </pic:blipFill>
                        <pic:spPr bwMode="auto">
                          <a:xfrm>
                            <a:off x="0" y="0"/>
                            <a:ext cx="2862072" cy="2838057"/>
                          </a:xfrm>
                          <a:prstGeom prst="rect">
                            <a:avLst/>
                          </a:prstGeom>
                          <a:ln>
                            <a:noFill/>
                          </a:ln>
                          <a:extLst>
                            <a:ext uri="{53640926-AAD7-44D8-BBD7-CCE9431645EC}">
                              <a14:shadowObscured xmlns:a14="http://schemas.microsoft.com/office/drawing/2010/main"/>
                            </a:ext>
                          </a:extLst>
                        </pic:spPr>
                      </pic:pic>
                    </a:graphicData>
                  </a:graphic>
                </wp:inline>
              </w:drawing>
            </w:r>
          </w:p>
        </w:tc>
        <w:tc>
          <w:tcPr>
            <w:tcW w:w="4638" w:type="dxa"/>
          </w:tcPr>
          <w:p w14:paraId="401F7870" w14:textId="77777777" w:rsidR="000C465B" w:rsidRPr="000C465B" w:rsidRDefault="000C465B" w:rsidP="000C465B">
            <w:pPr>
              <w:spacing w:after="0"/>
              <w:rPr>
                <w:b/>
                <w:color w:val="FF0000"/>
                <w:sz w:val="40"/>
                <w:szCs w:val="40"/>
              </w:rPr>
            </w:pPr>
          </w:p>
          <w:p w14:paraId="125C3536" w14:textId="77777777" w:rsidR="000C465B" w:rsidRPr="000C465B" w:rsidRDefault="000C465B" w:rsidP="000C465B">
            <w:pPr>
              <w:spacing w:after="0"/>
              <w:rPr>
                <w:b/>
                <w:color w:val="FF0000"/>
                <w:sz w:val="36"/>
                <w:szCs w:val="36"/>
              </w:rPr>
            </w:pPr>
            <w:r w:rsidRPr="000C465B">
              <w:rPr>
                <w:b/>
                <w:color w:val="FF0000"/>
                <w:sz w:val="36"/>
                <w:szCs w:val="36"/>
              </w:rPr>
              <w:t>PROBLEMATIC</w:t>
            </w:r>
          </w:p>
          <w:p w14:paraId="767207E5" w14:textId="77777777" w:rsidR="000C465B" w:rsidRPr="000C465B" w:rsidRDefault="000C465B" w:rsidP="000C465B">
            <w:pPr>
              <w:spacing w:after="0"/>
              <w:rPr>
                <w:sz w:val="20"/>
                <w:szCs w:val="20"/>
              </w:rPr>
            </w:pPr>
            <w:r w:rsidRPr="000C465B">
              <w:rPr>
                <w:spacing w:val="4"/>
                <w:sz w:val="20"/>
                <w:szCs w:val="20"/>
              </w:rPr>
              <w:t>This example illustrates the inclusion of an AEQ</w:t>
            </w:r>
            <w:r w:rsidRPr="000C465B">
              <w:rPr>
                <w:spacing w:val="10"/>
                <w:sz w:val="20"/>
                <w:szCs w:val="20"/>
              </w:rPr>
              <w:t xml:space="preserve"> </w:t>
            </w:r>
            <w:r w:rsidRPr="000C465B">
              <w:rPr>
                <w:sz w:val="20"/>
                <w:szCs w:val="20"/>
              </w:rPr>
              <w:t xml:space="preserve">(6 Large Doughnuts) in the lower 30% of the PDP which provides package count information in addition to the weight/mass information provided by the DoNQ. The “6” and “Large Doughnuts” appear in differing font sizes and color from the DoNQ, but the AEQ location is almost too close to the DoNQ and the DoNQ separation requirement.  The term “Large” in the AEQ is an undefined quantity term which makes the AEQ less objective Terms such as “Large” and “Jumbo” are prohibited from the DoNQ because they can exaggerate quantity, and an AEQ on the PDP should similarly not use exaggerating terms. </w:t>
            </w:r>
          </w:p>
        </w:tc>
      </w:tr>
    </w:tbl>
    <w:p w14:paraId="66CE99FD" w14:textId="4453766E" w:rsidR="000C465B" w:rsidRPr="000C465B" w:rsidRDefault="001F7B3F" w:rsidP="000C465B">
      <w:pPr>
        <w:spacing w:after="120" w:line="276" w:lineRule="auto"/>
        <w:rPr>
          <w:szCs w:val="20"/>
        </w:rPr>
      </w:pPr>
      <w:r>
        <w:rPr>
          <w:b/>
          <w:sz w:val="22"/>
        </w:rPr>
        <w:br/>
      </w:r>
      <w:r w:rsidR="000C465B" w:rsidRPr="000C465B">
        <w:rPr>
          <w:b/>
          <w:szCs w:val="20"/>
        </w:rPr>
        <w:t xml:space="preserve">2.  </w:t>
      </w:r>
      <w:r w:rsidR="000C465B" w:rsidRPr="000C465B">
        <w:rPr>
          <w:b/>
          <w:szCs w:val="20"/>
          <w:u w:val="single"/>
        </w:rPr>
        <w:t>Reconstituted Expression of Quantity (REQ)</w:t>
      </w:r>
      <w:r w:rsidR="000C465B" w:rsidRPr="000C465B">
        <w:rPr>
          <w:b/>
          <w:bCs/>
          <w:szCs w:val="20"/>
        </w:rPr>
        <w:t xml:space="preserve"> </w:t>
      </w:r>
      <w:r w:rsidR="000C465B" w:rsidRPr="000C465B">
        <w:rPr>
          <w:szCs w:val="20"/>
        </w:rPr>
        <w:t xml:space="preserve">– Reconstituted Expressions of Quantity may appear in the upper 70 % or lower 30% of the Principal Display Panel (PDP) as illustrated in the examples below.  The REQ may be located opposite the Declaration of Net Quantity (DoNQ), or adjacent to the DoNQ, provided the Declaration of Net Quantity minimum separation requirements are satisfied. </w:t>
      </w:r>
      <w:bookmarkStart w:id="902" w:name="_Hlk199773651"/>
      <w:r w:rsidR="000C465B" w:rsidRPr="000C465B">
        <w:rPr>
          <w:szCs w:val="20"/>
        </w:rPr>
        <w:t xml:space="preserve">Where two or more REQs are present (not shown), they may appear in both the upper 70% and/or lower 30% of the PDP. It is not required for the REQ statements to be identical provided they are both accurate and non-misleading.   </w:t>
      </w:r>
      <w:bookmarkEnd w:id="902"/>
    </w:p>
    <w:p w14:paraId="1EF66C75" w14:textId="77777777" w:rsidR="000C465B" w:rsidRPr="000C465B" w:rsidRDefault="000C465B" w:rsidP="000C465B">
      <w:pPr>
        <w:spacing w:after="120" w:line="276" w:lineRule="auto"/>
        <w:rPr>
          <w:sz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0C465B" w:rsidRPr="000C465B" w14:paraId="2604B14F" w14:textId="77777777" w:rsidTr="005F0F3E">
        <w:tc>
          <w:tcPr>
            <w:tcW w:w="3870" w:type="dxa"/>
          </w:tcPr>
          <w:p w14:paraId="6EAB8D68" w14:textId="77777777" w:rsidR="000C465B" w:rsidRPr="000C465B" w:rsidRDefault="000C465B" w:rsidP="000C465B">
            <w:pPr>
              <w:spacing w:after="0"/>
              <w:jc w:val="left"/>
            </w:pPr>
            <w:r w:rsidRPr="000C465B">
              <w:rPr>
                <w:noProof/>
              </w:rPr>
              <w:drawing>
                <wp:inline distT="0" distB="0" distL="0" distR="0" wp14:anchorId="2F475CDE" wp14:editId="5FC26CAA">
                  <wp:extent cx="2285365" cy="2866895"/>
                  <wp:effectExtent l="0" t="0" r="635" b="0"/>
                  <wp:docPr id="58808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86347" name="Picture 588086347"/>
                          <pic:cNvPicPr/>
                        </pic:nvPicPr>
                        <pic:blipFill rotWithShape="1">
                          <a:blip r:embed="rId74">
                            <a:extLst>
                              <a:ext uri="{28A0092B-C50C-407E-A947-70E740481C1C}">
                                <a14:useLocalDpi xmlns:a14="http://schemas.microsoft.com/office/drawing/2010/main" val="0"/>
                              </a:ext>
                            </a:extLst>
                          </a:blip>
                          <a:srcRect l="2835"/>
                          <a:stretch>
                            <a:fillRect/>
                          </a:stretch>
                        </pic:blipFill>
                        <pic:spPr bwMode="auto">
                          <a:xfrm>
                            <a:off x="0" y="0"/>
                            <a:ext cx="2303036" cy="2889063"/>
                          </a:xfrm>
                          <a:prstGeom prst="rect">
                            <a:avLst/>
                          </a:prstGeom>
                          <a:ln>
                            <a:noFill/>
                          </a:ln>
                          <a:extLst>
                            <a:ext uri="{53640926-AAD7-44D8-BBD7-CCE9431645EC}">
                              <a14:shadowObscured xmlns:a14="http://schemas.microsoft.com/office/drawing/2010/main"/>
                            </a:ext>
                          </a:extLst>
                        </pic:spPr>
                      </pic:pic>
                    </a:graphicData>
                  </a:graphic>
                </wp:inline>
              </w:drawing>
            </w:r>
          </w:p>
          <w:p w14:paraId="465CC4DE" w14:textId="77777777" w:rsidR="000C465B" w:rsidRPr="000C465B" w:rsidRDefault="000C465B" w:rsidP="000C465B">
            <w:pPr>
              <w:spacing w:after="0"/>
              <w:jc w:val="left"/>
            </w:pPr>
          </w:p>
          <w:p w14:paraId="6FF95CAD" w14:textId="77777777" w:rsidR="000C465B" w:rsidRPr="000C465B" w:rsidRDefault="000C465B" w:rsidP="000C465B">
            <w:pPr>
              <w:spacing w:after="0"/>
              <w:jc w:val="left"/>
            </w:pPr>
          </w:p>
          <w:p w14:paraId="4C65457E" w14:textId="77777777" w:rsidR="000C465B" w:rsidRPr="000C465B" w:rsidRDefault="000C465B" w:rsidP="000C465B">
            <w:pPr>
              <w:spacing w:after="0"/>
              <w:jc w:val="left"/>
            </w:pPr>
          </w:p>
          <w:p w14:paraId="6427DB4C" w14:textId="77777777" w:rsidR="000C465B" w:rsidRPr="000C465B" w:rsidRDefault="000C465B" w:rsidP="000C465B">
            <w:pPr>
              <w:spacing w:after="0"/>
              <w:jc w:val="left"/>
            </w:pPr>
            <w:r w:rsidRPr="000C465B">
              <w:rPr>
                <w:noProof/>
              </w:rPr>
              <w:lastRenderedPageBreak/>
              <w:drawing>
                <wp:inline distT="0" distB="0" distL="0" distR="0" wp14:anchorId="40CFA28E" wp14:editId="536A8512">
                  <wp:extent cx="2218690" cy="2847556"/>
                  <wp:effectExtent l="0" t="0" r="0" b="0"/>
                  <wp:docPr id="177958619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41453" name="Picture 55854145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34538" cy="2867897"/>
                          </a:xfrm>
                          <a:prstGeom prst="rect">
                            <a:avLst/>
                          </a:prstGeom>
                        </pic:spPr>
                      </pic:pic>
                    </a:graphicData>
                  </a:graphic>
                </wp:inline>
              </w:drawing>
            </w:r>
          </w:p>
          <w:p w14:paraId="6814DB5B" w14:textId="77777777" w:rsidR="000C465B" w:rsidRPr="000C465B" w:rsidRDefault="000C465B" w:rsidP="000C465B">
            <w:pPr>
              <w:spacing w:after="0"/>
              <w:jc w:val="left"/>
            </w:pPr>
          </w:p>
          <w:p w14:paraId="03302FB8" w14:textId="77777777" w:rsidR="000C465B" w:rsidRPr="000C465B" w:rsidRDefault="000C465B" w:rsidP="000C465B">
            <w:pPr>
              <w:spacing w:after="0"/>
              <w:jc w:val="left"/>
            </w:pPr>
          </w:p>
          <w:p w14:paraId="6AA34A68" w14:textId="77777777" w:rsidR="000C465B" w:rsidRPr="000C465B" w:rsidRDefault="000C465B" w:rsidP="000C465B">
            <w:pPr>
              <w:spacing w:after="0"/>
              <w:jc w:val="left"/>
            </w:pPr>
          </w:p>
          <w:p w14:paraId="156A6A34" w14:textId="77777777" w:rsidR="000C465B" w:rsidRPr="000C465B" w:rsidRDefault="000C465B" w:rsidP="000C465B">
            <w:pPr>
              <w:spacing w:after="0"/>
              <w:jc w:val="left"/>
            </w:pPr>
          </w:p>
          <w:p w14:paraId="2E78FF05" w14:textId="77777777" w:rsidR="000C465B" w:rsidRPr="000C465B" w:rsidRDefault="000C465B" w:rsidP="000C465B">
            <w:pPr>
              <w:spacing w:after="0"/>
              <w:jc w:val="left"/>
            </w:pPr>
          </w:p>
          <w:p w14:paraId="72DC2A25" w14:textId="77777777" w:rsidR="000C465B" w:rsidRPr="000C465B" w:rsidRDefault="000C465B" w:rsidP="000C465B">
            <w:pPr>
              <w:spacing w:after="0"/>
              <w:jc w:val="left"/>
            </w:pPr>
            <w:r w:rsidRPr="000C465B">
              <w:t xml:space="preserve"> </w:t>
            </w:r>
            <w:r w:rsidRPr="000C465B">
              <w:rPr>
                <w:noProof/>
              </w:rPr>
              <w:drawing>
                <wp:inline distT="0" distB="0" distL="0" distR="0" wp14:anchorId="118DE758" wp14:editId="0BF0D50B">
                  <wp:extent cx="2270760" cy="2796593"/>
                  <wp:effectExtent l="0" t="0" r="0" b="3810"/>
                  <wp:docPr id="1471183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83564" name="Picture 1471183564"/>
                          <pic:cNvPicPr/>
                        </pic:nvPicPr>
                        <pic:blipFill rotWithShape="1">
                          <a:blip r:embed="rId76">
                            <a:extLst>
                              <a:ext uri="{28A0092B-C50C-407E-A947-70E740481C1C}">
                                <a14:useLocalDpi xmlns:a14="http://schemas.microsoft.com/office/drawing/2010/main" val="0"/>
                              </a:ext>
                            </a:extLst>
                          </a:blip>
                          <a:srcRect l="2517"/>
                          <a:stretch>
                            <a:fillRect/>
                          </a:stretch>
                        </pic:blipFill>
                        <pic:spPr bwMode="auto">
                          <a:xfrm>
                            <a:off x="0" y="0"/>
                            <a:ext cx="2285334" cy="2814541"/>
                          </a:xfrm>
                          <a:prstGeom prst="rect">
                            <a:avLst/>
                          </a:prstGeom>
                          <a:ln>
                            <a:noFill/>
                          </a:ln>
                          <a:extLst>
                            <a:ext uri="{53640926-AAD7-44D8-BBD7-CCE9431645EC}">
                              <a14:shadowObscured xmlns:a14="http://schemas.microsoft.com/office/drawing/2010/main"/>
                            </a:ext>
                          </a:extLst>
                        </pic:spPr>
                      </pic:pic>
                    </a:graphicData>
                  </a:graphic>
                </wp:inline>
              </w:drawing>
            </w:r>
          </w:p>
          <w:p w14:paraId="0349CAA7" w14:textId="77777777" w:rsidR="000C465B" w:rsidRPr="000C465B" w:rsidRDefault="000C465B" w:rsidP="000C465B">
            <w:pPr>
              <w:spacing w:after="0"/>
              <w:jc w:val="left"/>
            </w:pPr>
          </w:p>
          <w:p w14:paraId="40F009DD" w14:textId="77777777" w:rsidR="000C465B" w:rsidRPr="000C465B" w:rsidRDefault="000C465B" w:rsidP="000C465B">
            <w:pPr>
              <w:spacing w:after="0"/>
              <w:jc w:val="left"/>
            </w:pPr>
          </w:p>
          <w:p w14:paraId="53B728AC" w14:textId="77777777" w:rsidR="000C465B" w:rsidRPr="000C465B" w:rsidRDefault="000C465B" w:rsidP="000C465B">
            <w:pPr>
              <w:spacing w:after="0"/>
              <w:jc w:val="left"/>
            </w:pPr>
          </w:p>
          <w:p w14:paraId="34A0209B" w14:textId="77777777" w:rsidR="000C465B" w:rsidRPr="000C465B" w:rsidRDefault="000C465B" w:rsidP="000C465B">
            <w:pPr>
              <w:spacing w:after="0"/>
              <w:jc w:val="left"/>
            </w:pPr>
          </w:p>
          <w:p w14:paraId="7E0FB724" w14:textId="77777777" w:rsidR="000C465B" w:rsidRPr="000C465B" w:rsidRDefault="000C465B" w:rsidP="000C465B">
            <w:pPr>
              <w:spacing w:after="0"/>
              <w:jc w:val="left"/>
            </w:pPr>
          </w:p>
          <w:p w14:paraId="3BF1E24E" w14:textId="77777777" w:rsidR="000C465B" w:rsidRPr="000C465B" w:rsidRDefault="000C465B" w:rsidP="000C465B">
            <w:pPr>
              <w:spacing w:after="0"/>
              <w:jc w:val="left"/>
            </w:pPr>
            <w:r w:rsidRPr="000C465B">
              <w:rPr>
                <w:noProof/>
              </w:rPr>
              <w:lastRenderedPageBreak/>
              <w:drawing>
                <wp:inline distT="0" distB="0" distL="0" distR="0" wp14:anchorId="3129B1B5" wp14:editId="279334C3">
                  <wp:extent cx="2308860" cy="2963282"/>
                  <wp:effectExtent l="0" t="0" r="0" b="8890"/>
                  <wp:docPr id="11052486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8630" name="Picture 1105248630"/>
                          <pic:cNvPicPr/>
                        </pic:nvPicPr>
                        <pic:blipFill>
                          <a:blip r:embed="rId77">
                            <a:extLst>
                              <a:ext uri="{28A0092B-C50C-407E-A947-70E740481C1C}">
                                <a14:useLocalDpi xmlns:a14="http://schemas.microsoft.com/office/drawing/2010/main" val="0"/>
                              </a:ext>
                            </a:extLst>
                          </a:blip>
                          <a:stretch>
                            <a:fillRect/>
                          </a:stretch>
                        </pic:blipFill>
                        <pic:spPr>
                          <a:xfrm>
                            <a:off x="0" y="0"/>
                            <a:ext cx="2326472" cy="2985886"/>
                          </a:xfrm>
                          <a:prstGeom prst="rect">
                            <a:avLst/>
                          </a:prstGeom>
                        </pic:spPr>
                      </pic:pic>
                    </a:graphicData>
                  </a:graphic>
                </wp:inline>
              </w:drawing>
            </w:r>
          </w:p>
          <w:p w14:paraId="4983987C" w14:textId="77777777" w:rsidR="000C465B" w:rsidRPr="000C465B" w:rsidRDefault="000C465B" w:rsidP="000C465B">
            <w:pPr>
              <w:spacing w:after="0"/>
              <w:jc w:val="left"/>
            </w:pPr>
          </w:p>
        </w:tc>
        <w:tc>
          <w:tcPr>
            <w:tcW w:w="5490" w:type="dxa"/>
          </w:tcPr>
          <w:p w14:paraId="6A102643" w14:textId="1EF30135" w:rsidR="000C465B" w:rsidRPr="000C465B" w:rsidRDefault="000C465B" w:rsidP="000C465B">
            <w:pPr>
              <w:spacing w:before="240" w:after="0"/>
              <w:rPr>
                <w:b/>
                <w:color w:val="00B050"/>
                <w:sz w:val="36"/>
                <w:szCs w:val="36"/>
              </w:rPr>
            </w:pPr>
            <w:r w:rsidRPr="000C465B">
              <w:rPr>
                <w:b/>
                <w:color w:val="00B050"/>
                <w:sz w:val="36"/>
                <w:szCs w:val="36"/>
              </w:rPr>
              <w:lastRenderedPageBreak/>
              <w:t>PREFERRED</w:t>
            </w:r>
          </w:p>
          <w:p w14:paraId="0898B8DA" w14:textId="77777777" w:rsidR="000C465B" w:rsidRPr="000C465B" w:rsidRDefault="000C465B" w:rsidP="000C465B">
            <w:pPr>
              <w:spacing w:after="0"/>
              <w:rPr>
                <w:spacing w:val="10"/>
                <w:sz w:val="20"/>
                <w:szCs w:val="20"/>
              </w:rPr>
            </w:pPr>
            <w:r w:rsidRPr="000C465B">
              <w:rPr>
                <w:spacing w:val="10"/>
                <w:sz w:val="20"/>
                <w:szCs w:val="20"/>
              </w:rPr>
              <w:t xml:space="preserve">This example illustrates the inclusion of an REQ </w:t>
            </w:r>
          </w:p>
          <w:p w14:paraId="65F834DF" w14:textId="77777777" w:rsidR="000C465B" w:rsidRPr="000C465B" w:rsidRDefault="000C465B" w:rsidP="000C465B">
            <w:pPr>
              <w:spacing w:after="0"/>
              <w:rPr>
                <w:sz w:val="20"/>
                <w:szCs w:val="20"/>
              </w:rPr>
            </w:pPr>
            <w:r w:rsidRPr="000C465B">
              <w:rPr>
                <w:sz w:val="20"/>
                <w:szCs w:val="20"/>
              </w:rPr>
              <w:t xml:space="preserve">(Makes 56 Quarts) in the upper 70% of the PDP which provides information concerning how much product the package contents can make per the package instruction. The REQ includes a pitcher related to how the product is mixed and consumed. The REQ is accurate and separate from the DoNQ. </w:t>
            </w:r>
          </w:p>
          <w:p w14:paraId="7E113942" w14:textId="77777777" w:rsidR="000C465B" w:rsidRPr="000C465B" w:rsidRDefault="000C465B" w:rsidP="000C465B">
            <w:pPr>
              <w:spacing w:after="0"/>
            </w:pPr>
          </w:p>
          <w:p w14:paraId="75CE888B" w14:textId="77777777" w:rsidR="000C465B" w:rsidRPr="000C465B" w:rsidRDefault="000C465B" w:rsidP="000C465B">
            <w:pPr>
              <w:spacing w:after="0"/>
            </w:pPr>
          </w:p>
          <w:p w14:paraId="0F59282C" w14:textId="77777777" w:rsidR="000C465B" w:rsidRPr="000C465B" w:rsidRDefault="000C465B" w:rsidP="000C465B">
            <w:pPr>
              <w:spacing w:after="0"/>
            </w:pPr>
          </w:p>
          <w:p w14:paraId="6A66D435" w14:textId="77777777" w:rsidR="000C465B" w:rsidRPr="000C465B" w:rsidRDefault="000C465B" w:rsidP="000C465B">
            <w:pPr>
              <w:spacing w:after="0"/>
            </w:pPr>
          </w:p>
          <w:p w14:paraId="05E7E640" w14:textId="77777777" w:rsidR="000C465B" w:rsidRPr="000C465B" w:rsidRDefault="000C465B" w:rsidP="000C465B">
            <w:pPr>
              <w:spacing w:after="0"/>
            </w:pPr>
          </w:p>
          <w:p w14:paraId="2C78D56E" w14:textId="77777777" w:rsidR="000C465B" w:rsidRPr="000C465B" w:rsidRDefault="000C465B" w:rsidP="000C465B">
            <w:pPr>
              <w:spacing w:after="0"/>
            </w:pPr>
          </w:p>
          <w:p w14:paraId="32A0AEEF" w14:textId="77777777" w:rsidR="000C465B" w:rsidRPr="000C465B" w:rsidRDefault="000C465B" w:rsidP="000C465B">
            <w:pPr>
              <w:spacing w:after="0"/>
            </w:pPr>
          </w:p>
          <w:p w14:paraId="5963D5B9" w14:textId="77777777" w:rsidR="000C465B" w:rsidRPr="000C465B" w:rsidRDefault="000C465B" w:rsidP="000C465B">
            <w:pPr>
              <w:spacing w:after="0"/>
            </w:pPr>
          </w:p>
          <w:p w14:paraId="660AFE4F" w14:textId="77777777" w:rsidR="000C465B" w:rsidRPr="000C465B" w:rsidRDefault="000C465B" w:rsidP="000C465B">
            <w:pPr>
              <w:spacing w:after="0"/>
            </w:pPr>
          </w:p>
          <w:p w14:paraId="4ECB1050" w14:textId="77777777" w:rsidR="000C465B" w:rsidRDefault="000C465B" w:rsidP="000C465B">
            <w:pPr>
              <w:spacing w:after="0"/>
            </w:pPr>
          </w:p>
          <w:p w14:paraId="7D6454DB" w14:textId="77777777" w:rsidR="001F7B3F" w:rsidRPr="000C465B" w:rsidRDefault="001F7B3F" w:rsidP="000C465B">
            <w:pPr>
              <w:spacing w:after="0"/>
            </w:pPr>
          </w:p>
          <w:p w14:paraId="1B12FA68" w14:textId="77777777" w:rsidR="001F7B3F" w:rsidRDefault="001F7B3F" w:rsidP="000C465B">
            <w:pPr>
              <w:spacing w:before="120" w:after="0"/>
              <w:rPr>
                <w:b/>
                <w:color w:val="FF0000"/>
                <w:sz w:val="40"/>
                <w:szCs w:val="40"/>
              </w:rPr>
            </w:pPr>
            <w:bookmarkStart w:id="903" w:name="_Hlk223005895"/>
          </w:p>
          <w:p w14:paraId="7229FEF5" w14:textId="77777777" w:rsidR="001F7B3F" w:rsidRDefault="001F7B3F" w:rsidP="000C465B">
            <w:pPr>
              <w:spacing w:before="120" w:after="0"/>
              <w:rPr>
                <w:b/>
                <w:color w:val="FF0000"/>
                <w:sz w:val="40"/>
                <w:szCs w:val="40"/>
              </w:rPr>
            </w:pPr>
          </w:p>
          <w:p w14:paraId="5F3DB151" w14:textId="421D1E8E" w:rsidR="000C465B" w:rsidRPr="000C465B" w:rsidRDefault="000C465B" w:rsidP="000C465B">
            <w:pPr>
              <w:spacing w:before="120" w:after="0"/>
              <w:rPr>
                <w:b/>
                <w:color w:val="FF0000"/>
                <w:sz w:val="36"/>
                <w:szCs w:val="36"/>
              </w:rPr>
            </w:pPr>
            <w:r w:rsidRPr="000C465B">
              <w:rPr>
                <w:b/>
                <w:color w:val="FF0000"/>
                <w:sz w:val="36"/>
                <w:szCs w:val="36"/>
              </w:rPr>
              <w:lastRenderedPageBreak/>
              <w:t>PROBLEMATIC</w:t>
            </w:r>
          </w:p>
          <w:p w14:paraId="5CC84B9D" w14:textId="77777777" w:rsidR="000C465B" w:rsidRPr="000C465B" w:rsidRDefault="000C465B" w:rsidP="000C465B">
            <w:pPr>
              <w:spacing w:after="0"/>
              <w:rPr>
                <w:spacing w:val="10"/>
                <w:sz w:val="20"/>
                <w:szCs w:val="20"/>
              </w:rPr>
            </w:pPr>
            <w:r w:rsidRPr="000C465B">
              <w:rPr>
                <w:spacing w:val="10"/>
                <w:sz w:val="20"/>
                <w:szCs w:val="20"/>
              </w:rPr>
              <w:t xml:space="preserve">This example illustrates the inclusion of an REQ </w:t>
            </w:r>
          </w:p>
          <w:p w14:paraId="0B09A20D" w14:textId="77777777" w:rsidR="000C465B" w:rsidRPr="000C465B" w:rsidRDefault="000C465B" w:rsidP="000C465B">
            <w:pPr>
              <w:spacing w:after="0"/>
              <w:rPr>
                <w:sz w:val="20"/>
                <w:szCs w:val="20"/>
              </w:rPr>
            </w:pPr>
            <w:r w:rsidRPr="000C465B">
              <w:rPr>
                <w:sz w:val="20"/>
                <w:szCs w:val="20"/>
              </w:rPr>
              <w:t xml:space="preserve">(Makes about 56 Quarts) in the upper 30% of the PDP. The REQ separates itself from the rest of the label including the DoNQ, however, the term </w:t>
            </w:r>
            <w:r w:rsidRPr="000C465B">
              <w:rPr>
                <w:strike/>
                <w:sz w:val="20"/>
                <w:szCs w:val="20"/>
              </w:rPr>
              <w:t>but</w:t>
            </w:r>
            <w:r w:rsidRPr="000C465B">
              <w:rPr>
                <w:sz w:val="20"/>
                <w:szCs w:val="20"/>
              </w:rPr>
              <w:t xml:space="preserve"> </w:t>
            </w:r>
            <w:r w:rsidRPr="000C465B">
              <w:rPr>
                <w:spacing w:val="4"/>
                <w:sz w:val="20"/>
                <w:szCs w:val="20"/>
              </w:rPr>
              <w:t xml:space="preserve">“about” does not communicate a precise and </w:t>
            </w:r>
            <w:r w:rsidRPr="000C465B">
              <w:rPr>
                <w:spacing w:val="10"/>
                <w:sz w:val="20"/>
                <w:szCs w:val="20"/>
              </w:rPr>
              <w:t>verifiable quantity. Expressions like “up to”,</w:t>
            </w:r>
            <w:r w:rsidRPr="000C465B">
              <w:rPr>
                <w:spacing w:val="4"/>
                <w:sz w:val="20"/>
                <w:szCs w:val="20"/>
              </w:rPr>
              <w:t xml:space="preserve"> “approximately” and “about” suggest a quantity</w:t>
            </w:r>
            <w:r w:rsidRPr="000C465B">
              <w:rPr>
                <w:sz w:val="20"/>
                <w:szCs w:val="20"/>
              </w:rPr>
              <w:t xml:space="preserve"> range instead of a verifiable quantity, and in this example “About 56 Quarts” is problematic because it is inexact and not verifiable, and a consumer may or may not be able to make 56 quarts of reconstituted product.</w:t>
            </w:r>
            <w:bookmarkEnd w:id="903"/>
          </w:p>
          <w:p w14:paraId="0B9A824D" w14:textId="77777777" w:rsidR="000C465B" w:rsidRPr="000C465B" w:rsidRDefault="000C465B" w:rsidP="000C465B">
            <w:pPr>
              <w:spacing w:after="0"/>
            </w:pPr>
          </w:p>
          <w:p w14:paraId="41857294" w14:textId="77777777" w:rsidR="000C465B" w:rsidRPr="000C465B" w:rsidRDefault="000C465B" w:rsidP="000C465B">
            <w:pPr>
              <w:spacing w:after="0"/>
            </w:pPr>
          </w:p>
          <w:p w14:paraId="378970DB" w14:textId="77777777" w:rsidR="000C465B" w:rsidRPr="000C465B" w:rsidRDefault="000C465B" w:rsidP="000C465B">
            <w:pPr>
              <w:spacing w:after="0"/>
            </w:pPr>
          </w:p>
          <w:p w14:paraId="2EBB5A46" w14:textId="77777777" w:rsidR="000C465B" w:rsidRPr="000C465B" w:rsidRDefault="000C465B" w:rsidP="000C465B">
            <w:pPr>
              <w:spacing w:after="0"/>
            </w:pPr>
          </w:p>
          <w:p w14:paraId="64830BAA" w14:textId="77777777" w:rsidR="000C465B" w:rsidRPr="000C465B" w:rsidRDefault="000C465B" w:rsidP="000C465B">
            <w:pPr>
              <w:spacing w:after="0"/>
            </w:pPr>
          </w:p>
          <w:p w14:paraId="1263699A" w14:textId="77777777" w:rsidR="000C465B" w:rsidRPr="000C465B" w:rsidRDefault="000C465B" w:rsidP="000C465B">
            <w:pPr>
              <w:spacing w:after="0"/>
            </w:pPr>
          </w:p>
          <w:p w14:paraId="0AD7018E" w14:textId="77777777" w:rsidR="000C465B" w:rsidRPr="000C465B" w:rsidRDefault="000C465B" w:rsidP="000C465B">
            <w:pPr>
              <w:spacing w:after="0"/>
            </w:pPr>
          </w:p>
          <w:p w14:paraId="7563586F" w14:textId="77777777" w:rsidR="000C465B" w:rsidRPr="000C465B" w:rsidRDefault="000C465B" w:rsidP="000C465B">
            <w:pPr>
              <w:spacing w:after="0"/>
              <w:rPr>
                <w:strike/>
              </w:rPr>
            </w:pPr>
          </w:p>
          <w:p w14:paraId="274A9E1D" w14:textId="77777777" w:rsidR="00B314B4" w:rsidRDefault="000C465B" w:rsidP="000C465B">
            <w:pPr>
              <w:spacing w:before="120" w:after="0"/>
              <w:rPr>
                <w:b/>
                <w:color w:val="00B050"/>
                <w:sz w:val="36"/>
                <w:szCs w:val="36"/>
              </w:rPr>
            </w:pPr>
            <w:r w:rsidRPr="000C465B">
              <w:rPr>
                <w:b/>
                <w:color w:val="00B050"/>
                <w:sz w:val="40"/>
                <w:szCs w:val="40"/>
              </w:rPr>
              <w:br/>
            </w:r>
          </w:p>
          <w:p w14:paraId="7F448ED6" w14:textId="786073E2" w:rsidR="000C465B" w:rsidRPr="000C465B" w:rsidRDefault="000C465B" w:rsidP="000C465B">
            <w:pPr>
              <w:spacing w:before="120" w:after="0"/>
              <w:rPr>
                <w:b/>
                <w:color w:val="00B050"/>
                <w:sz w:val="36"/>
                <w:szCs w:val="36"/>
              </w:rPr>
            </w:pPr>
            <w:r w:rsidRPr="000C465B">
              <w:rPr>
                <w:b/>
                <w:color w:val="00B050"/>
                <w:sz w:val="36"/>
                <w:szCs w:val="36"/>
              </w:rPr>
              <w:t>PREFERRED</w:t>
            </w:r>
          </w:p>
          <w:p w14:paraId="042892F8" w14:textId="77777777" w:rsidR="000C465B" w:rsidRPr="000C465B" w:rsidRDefault="000C465B" w:rsidP="000C465B">
            <w:pPr>
              <w:spacing w:after="0"/>
              <w:rPr>
                <w:sz w:val="20"/>
                <w:szCs w:val="20"/>
              </w:rPr>
            </w:pPr>
            <w:r w:rsidRPr="000C465B">
              <w:rPr>
                <w:sz w:val="20"/>
                <w:szCs w:val="20"/>
              </w:rPr>
              <w:t xml:space="preserve">This example illustrates the inclusion of an REQ (Makes 56 Quarts) in the lower 30% of the PDP on the opposite side from the DoNQ. The REQ provides </w:t>
            </w:r>
            <w:r w:rsidRPr="000C465B">
              <w:rPr>
                <w:spacing w:val="4"/>
                <w:sz w:val="20"/>
                <w:szCs w:val="20"/>
              </w:rPr>
              <w:t xml:space="preserve">information concerning how much product the </w:t>
            </w:r>
            <w:r w:rsidRPr="000C465B">
              <w:rPr>
                <w:spacing w:val="10"/>
                <w:sz w:val="20"/>
                <w:szCs w:val="20"/>
              </w:rPr>
              <w:t>package contents can make per the package</w:t>
            </w:r>
            <w:r w:rsidRPr="000C465B">
              <w:rPr>
                <w:sz w:val="20"/>
                <w:szCs w:val="20"/>
              </w:rPr>
              <w:t xml:space="preserve"> instruction. The REQ includes a pitcher related to how the product is mixed and consumed. The REQ is accurate and separate from the DoNQ.  </w:t>
            </w:r>
          </w:p>
          <w:p w14:paraId="239AE4E0" w14:textId="77777777" w:rsidR="000C465B" w:rsidRPr="000C465B" w:rsidRDefault="000C465B" w:rsidP="000C465B">
            <w:pPr>
              <w:spacing w:after="0"/>
              <w:rPr>
                <w:color w:val="EE0000"/>
              </w:rPr>
            </w:pPr>
          </w:p>
          <w:p w14:paraId="084B225F" w14:textId="77777777" w:rsidR="000C465B" w:rsidRPr="000C465B" w:rsidRDefault="000C465B" w:rsidP="000C465B">
            <w:pPr>
              <w:spacing w:after="0"/>
              <w:rPr>
                <w:color w:val="EE0000"/>
              </w:rPr>
            </w:pPr>
          </w:p>
          <w:p w14:paraId="45724471" w14:textId="77777777" w:rsidR="000C465B" w:rsidRPr="000C465B" w:rsidRDefault="000C465B" w:rsidP="000C465B">
            <w:pPr>
              <w:spacing w:after="0"/>
              <w:rPr>
                <w:color w:val="EE0000"/>
              </w:rPr>
            </w:pPr>
          </w:p>
          <w:p w14:paraId="4BB88A27" w14:textId="77777777" w:rsidR="000C465B" w:rsidRPr="000C465B" w:rsidRDefault="000C465B" w:rsidP="000C465B">
            <w:pPr>
              <w:spacing w:after="0"/>
              <w:rPr>
                <w:color w:val="EE0000"/>
              </w:rPr>
            </w:pPr>
          </w:p>
          <w:p w14:paraId="0198D19D" w14:textId="77777777" w:rsidR="000C465B" w:rsidRPr="000C465B" w:rsidRDefault="000C465B" w:rsidP="000C465B">
            <w:pPr>
              <w:spacing w:after="0"/>
              <w:rPr>
                <w:color w:val="EE0000"/>
              </w:rPr>
            </w:pPr>
          </w:p>
          <w:p w14:paraId="5EAE2689" w14:textId="77777777" w:rsidR="000C465B" w:rsidRPr="000C465B" w:rsidRDefault="000C465B" w:rsidP="000C465B">
            <w:pPr>
              <w:spacing w:after="0"/>
              <w:rPr>
                <w:color w:val="EE0000"/>
              </w:rPr>
            </w:pPr>
          </w:p>
          <w:p w14:paraId="5A093FF1" w14:textId="77777777" w:rsidR="000C465B" w:rsidRPr="000C465B" w:rsidRDefault="000C465B" w:rsidP="000C465B">
            <w:pPr>
              <w:spacing w:after="0"/>
              <w:rPr>
                <w:b/>
                <w:color w:val="FF0000"/>
                <w:sz w:val="40"/>
                <w:szCs w:val="40"/>
              </w:rPr>
            </w:pPr>
          </w:p>
          <w:p w14:paraId="2FE6F49E" w14:textId="77777777" w:rsidR="000C465B" w:rsidRPr="000C465B" w:rsidRDefault="000C465B" w:rsidP="000C465B">
            <w:pPr>
              <w:spacing w:after="0"/>
              <w:rPr>
                <w:b/>
                <w:color w:val="FF0000"/>
                <w:sz w:val="40"/>
                <w:szCs w:val="40"/>
              </w:rPr>
            </w:pPr>
          </w:p>
          <w:p w14:paraId="4A4312BC" w14:textId="77777777" w:rsidR="000C465B" w:rsidRPr="000C465B" w:rsidRDefault="000C465B" w:rsidP="000C465B">
            <w:pPr>
              <w:spacing w:after="0"/>
              <w:rPr>
                <w:b/>
                <w:color w:val="FF0000"/>
                <w:sz w:val="40"/>
                <w:szCs w:val="40"/>
              </w:rPr>
            </w:pPr>
          </w:p>
          <w:p w14:paraId="0A6C88F8" w14:textId="77777777" w:rsidR="001F7B3F" w:rsidRDefault="000C465B" w:rsidP="000C465B">
            <w:pPr>
              <w:spacing w:after="0"/>
              <w:rPr>
                <w:b/>
                <w:color w:val="FF0000"/>
                <w:sz w:val="40"/>
                <w:szCs w:val="40"/>
              </w:rPr>
            </w:pPr>
            <w:r w:rsidRPr="000C465B">
              <w:rPr>
                <w:b/>
                <w:color w:val="FF0000"/>
                <w:sz w:val="40"/>
                <w:szCs w:val="40"/>
              </w:rPr>
              <w:br/>
            </w:r>
          </w:p>
          <w:p w14:paraId="2AFD4017" w14:textId="77777777" w:rsidR="001F7B3F" w:rsidRDefault="001F7B3F" w:rsidP="000C465B">
            <w:pPr>
              <w:spacing w:after="0"/>
              <w:rPr>
                <w:b/>
                <w:color w:val="FF0000"/>
                <w:sz w:val="40"/>
                <w:szCs w:val="40"/>
              </w:rPr>
            </w:pPr>
          </w:p>
          <w:p w14:paraId="544278A1" w14:textId="77777777" w:rsidR="001F7B3F" w:rsidRDefault="001F7B3F" w:rsidP="000C465B">
            <w:pPr>
              <w:spacing w:after="0"/>
              <w:rPr>
                <w:b/>
                <w:color w:val="FF0000"/>
                <w:sz w:val="40"/>
                <w:szCs w:val="40"/>
              </w:rPr>
            </w:pPr>
          </w:p>
          <w:p w14:paraId="0A329F20" w14:textId="151AA357" w:rsidR="000C465B" w:rsidRPr="000C465B" w:rsidRDefault="000C465B" w:rsidP="000C465B">
            <w:pPr>
              <w:spacing w:after="0"/>
              <w:rPr>
                <w:b/>
                <w:color w:val="FF0000"/>
                <w:sz w:val="36"/>
                <w:szCs w:val="36"/>
              </w:rPr>
            </w:pPr>
            <w:r w:rsidRPr="000C465B">
              <w:rPr>
                <w:b/>
                <w:color w:val="FF0000"/>
                <w:sz w:val="36"/>
                <w:szCs w:val="36"/>
              </w:rPr>
              <w:lastRenderedPageBreak/>
              <w:t>PROBLEMATIC</w:t>
            </w:r>
          </w:p>
          <w:p w14:paraId="530F4685" w14:textId="77777777" w:rsidR="000C465B" w:rsidRPr="000C465B" w:rsidRDefault="000C465B" w:rsidP="000C465B">
            <w:pPr>
              <w:spacing w:after="0"/>
              <w:rPr>
                <w:sz w:val="20"/>
                <w:szCs w:val="20"/>
              </w:rPr>
            </w:pPr>
            <w:r w:rsidRPr="000C465B">
              <w:rPr>
                <w:sz w:val="20"/>
                <w:szCs w:val="20"/>
              </w:rPr>
              <w:t>In this example “56 Quarts” appears with the “2.0 LB 907g” in the DoNQ. While the inference might be that this package makes 56 quarts, the actual package contents is not 56 quarts. Whether the 56 Quarts in this example is immediately adjacent to the DoNQ or separate from the DoNQ, stating 56 Quarts without “Makes” is an incorrect statement.</w:t>
            </w:r>
          </w:p>
          <w:p w14:paraId="0C11497E" w14:textId="77777777" w:rsidR="000C465B" w:rsidRPr="000C465B" w:rsidRDefault="000C465B" w:rsidP="000C465B">
            <w:pPr>
              <w:spacing w:after="0"/>
              <w:rPr>
                <w:color w:val="EE0000"/>
              </w:rPr>
            </w:pPr>
          </w:p>
          <w:p w14:paraId="0E3D0CD7" w14:textId="77777777" w:rsidR="000C465B" w:rsidRPr="000C465B" w:rsidRDefault="000C465B" w:rsidP="000C465B">
            <w:pPr>
              <w:spacing w:after="0"/>
              <w:rPr>
                <w:color w:val="EE0000"/>
              </w:rPr>
            </w:pPr>
          </w:p>
          <w:p w14:paraId="57225212" w14:textId="77777777" w:rsidR="000C465B" w:rsidRPr="000C465B" w:rsidRDefault="000C465B" w:rsidP="000C465B">
            <w:pPr>
              <w:spacing w:after="0"/>
              <w:rPr>
                <w:color w:val="EE0000"/>
              </w:rPr>
            </w:pPr>
          </w:p>
          <w:p w14:paraId="5AB35EB2" w14:textId="77777777" w:rsidR="000C465B" w:rsidRPr="000C465B" w:rsidRDefault="000C465B" w:rsidP="000C465B">
            <w:pPr>
              <w:spacing w:after="0"/>
              <w:rPr>
                <w:color w:val="EE0000"/>
              </w:rPr>
            </w:pPr>
          </w:p>
          <w:p w14:paraId="2E44AA8E" w14:textId="77777777" w:rsidR="000C465B" w:rsidRPr="000C465B" w:rsidRDefault="000C465B" w:rsidP="000C465B">
            <w:pPr>
              <w:spacing w:after="0"/>
              <w:rPr>
                <w:color w:val="EE0000"/>
              </w:rPr>
            </w:pPr>
          </w:p>
          <w:p w14:paraId="1B4FE5E6" w14:textId="77777777" w:rsidR="000C465B" w:rsidRPr="000C465B" w:rsidRDefault="000C465B" w:rsidP="000C465B">
            <w:pPr>
              <w:spacing w:after="0"/>
              <w:rPr>
                <w:color w:val="EE0000"/>
              </w:rPr>
            </w:pPr>
          </w:p>
          <w:p w14:paraId="63337A00" w14:textId="77777777" w:rsidR="000C465B" w:rsidRPr="000C465B" w:rsidRDefault="000C465B" w:rsidP="000C465B">
            <w:pPr>
              <w:spacing w:after="0"/>
              <w:rPr>
                <w:color w:val="EE0000"/>
              </w:rPr>
            </w:pPr>
          </w:p>
          <w:p w14:paraId="48DC3CD9" w14:textId="77777777" w:rsidR="000C465B" w:rsidRPr="000C465B" w:rsidRDefault="000C465B" w:rsidP="000C465B">
            <w:pPr>
              <w:spacing w:after="0"/>
              <w:rPr>
                <w:color w:val="EE0000"/>
              </w:rPr>
            </w:pPr>
          </w:p>
          <w:p w14:paraId="44172B6C" w14:textId="77777777" w:rsidR="000C465B" w:rsidRPr="000C465B" w:rsidRDefault="000C465B" w:rsidP="000C465B">
            <w:pPr>
              <w:spacing w:after="0"/>
              <w:rPr>
                <w:color w:val="EE0000"/>
              </w:rPr>
            </w:pPr>
          </w:p>
          <w:p w14:paraId="47E998DD" w14:textId="77777777" w:rsidR="000C465B" w:rsidRPr="000C465B" w:rsidRDefault="000C465B" w:rsidP="000C465B">
            <w:pPr>
              <w:spacing w:after="0"/>
              <w:rPr>
                <w:color w:val="EE0000"/>
              </w:rPr>
            </w:pPr>
          </w:p>
          <w:p w14:paraId="679A2CD3" w14:textId="77777777" w:rsidR="000C465B" w:rsidRPr="000C465B" w:rsidRDefault="000C465B" w:rsidP="000C465B">
            <w:pPr>
              <w:spacing w:after="0"/>
              <w:rPr>
                <w:color w:val="EE0000"/>
              </w:rPr>
            </w:pPr>
          </w:p>
          <w:p w14:paraId="2EED7497" w14:textId="77777777" w:rsidR="000C465B" w:rsidRPr="000C465B" w:rsidRDefault="000C465B" w:rsidP="000C465B">
            <w:pPr>
              <w:spacing w:after="0"/>
              <w:rPr>
                <w:color w:val="EE0000"/>
              </w:rPr>
            </w:pPr>
          </w:p>
          <w:p w14:paraId="669E82D2" w14:textId="77777777" w:rsidR="000C465B" w:rsidRPr="000C465B" w:rsidRDefault="000C465B" w:rsidP="000C465B">
            <w:pPr>
              <w:spacing w:after="0"/>
              <w:rPr>
                <w:color w:val="EE0000"/>
              </w:rPr>
            </w:pPr>
          </w:p>
          <w:p w14:paraId="6A0D9471" w14:textId="77777777" w:rsidR="000C465B" w:rsidRPr="000C465B" w:rsidRDefault="000C465B" w:rsidP="000C465B">
            <w:pPr>
              <w:spacing w:after="0"/>
            </w:pPr>
          </w:p>
        </w:tc>
      </w:tr>
    </w:tbl>
    <w:p w14:paraId="1D12D9A6" w14:textId="77777777" w:rsidR="000C465B" w:rsidRPr="000C465B" w:rsidRDefault="000C465B" w:rsidP="000C465B">
      <w:pPr>
        <w:spacing w:after="200" w:line="276" w:lineRule="auto"/>
        <w:rPr>
          <w:b/>
          <w:sz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0C465B" w:rsidRPr="000C465B" w14:paraId="161BF220" w14:textId="77777777" w:rsidTr="005F0F3E">
        <w:tc>
          <w:tcPr>
            <w:tcW w:w="4405" w:type="dxa"/>
          </w:tcPr>
          <w:p w14:paraId="773486C0" w14:textId="77777777" w:rsidR="000C465B" w:rsidRPr="000C465B" w:rsidRDefault="000C465B" w:rsidP="000C465B">
            <w:pPr>
              <w:spacing w:after="0"/>
              <w:rPr>
                <w:b/>
              </w:rPr>
            </w:pPr>
            <w:r w:rsidRPr="000C465B">
              <w:rPr>
                <w:noProof/>
              </w:rPr>
              <w:drawing>
                <wp:inline distT="0" distB="0" distL="0" distR="0" wp14:anchorId="555BE5AB" wp14:editId="4186C03D">
                  <wp:extent cx="2351152" cy="2895600"/>
                  <wp:effectExtent l="0" t="0" r="0" b="0"/>
                  <wp:docPr id="1809141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83564" name="Picture 1471183564"/>
                          <pic:cNvPicPr/>
                        </pic:nvPicPr>
                        <pic:blipFill rotWithShape="1">
                          <a:blip r:embed="rId76">
                            <a:extLst>
                              <a:ext uri="{28A0092B-C50C-407E-A947-70E740481C1C}">
                                <a14:useLocalDpi xmlns:a14="http://schemas.microsoft.com/office/drawing/2010/main" val="0"/>
                              </a:ext>
                            </a:extLst>
                          </a:blip>
                          <a:srcRect l="2517"/>
                          <a:stretch>
                            <a:fillRect/>
                          </a:stretch>
                        </pic:blipFill>
                        <pic:spPr bwMode="auto">
                          <a:xfrm>
                            <a:off x="0" y="0"/>
                            <a:ext cx="2367597" cy="2915853"/>
                          </a:xfrm>
                          <a:prstGeom prst="rect">
                            <a:avLst/>
                          </a:prstGeom>
                          <a:ln>
                            <a:noFill/>
                          </a:ln>
                          <a:extLst>
                            <a:ext uri="{53640926-AAD7-44D8-BBD7-CCE9431645EC}">
                              <a14:shadowObscured xmlns:a14="http://schemas.microsoft.com/office/drawing/2010/main"/>
                            </a:ext>
                          </a:extLst>
                        </pic:spPr>
                      </pic:pic>
                    </a:graphicData>
                  </a:graphic>
                </wp:inline>
              </w:drawing>
            </w:r>
          </w:p>
        </w:tc>
        <w:tc>
          <w:tcPr>
            <w:tcW w:w="4945" w:type="dxa"/>
          </w:tcPr>
          <w:p w14:paraId="0293EE53" w14:textId="7BCB4948" w:rsidR="000C465B" w:rsidRPr="000C465B" w:rsidRDefault="000C465B" w:rsidP="000C465B">
            <w:pPr>
              <w:spacing w:after="0"/>
              <w:rPr>
                <w:b/>
                <w:color w:val="00B050"/>
                <w:sz w:val="36"/>
                <w:szCs w:val="36"/>
              </w:rPr>
            </w:pPr>
            <w:r w:rsidRPr="000C465B">
              <w:rPr>
                <w:b/>
                <w:color w:val="00B050"/>
                <w:sz w:val="36"/>
                <w:szCs w:val="36"/>
              </w:rPr>
              <w:t>PREFERRED</w:t>
            </w:r>
          </w:p>
          <w:p w14:paraId="002A985C" w14:textId="77777777" w:rsidR="000C465B" w:rsidRPr="000C465B" w:rsidRDefault="000C465B" w:rsidP="000C465B">
            <w:pPr>
              <w:spacing w:after="0"/>
              <w:rPr>
                <w:bCs/>
                <w:sz w:val="20"/>
                <w:szCs w:val="20"/>
              </w:rPr>
            </w:pPr>
            <w:r w:rsidRPr="000C465B">
              <w:rPr>
                <w:bCs/>
                <w:sz w:val="20"/>
                <w:szCs w:val="20"/>
              </w:rPr>
              <w:t xml:space="preserve">In this example, we show the PDP and the product reconstitution instructions from the back of the package label.  </w:t>
            </w:r>
          </w:p>
          <w:p w14:paraId="7D23A95C" w14:textId="77777777" w:rsidR="000C465B" w:rsidRPr="000C465B" w:rsidRDefault="000C465B" w:rsidP="000C465B">
            <w:pPr>
              <w:spacing w:after="0"/>
              <w:jc w:val="left"/>
              <w:rPr>
                <w:bCs/>
                <w:sz w:val="20"/>
                <w:szCs w:val="20"/>
              </w:rPr>
            </w:pPr>
          </w:p>
          <w:p w14:paraId="5C251824" w14:textId="77777777" w:rsidR="000C465B" w:rsidRPr="000C465B" w:rsidRDefault="000C465B" w:rsidP="000C465B">
            <w:pPr>
              <w:spacing w:after="0"/>
              <w:rPr>
                <w:b/>
              </w:rPr>
            </w:pPr>
            <w:r w:rsidRPr="000C465B">
              <w:rPr>
                <w:bCs/>
                <w:sz w:val="20"/>
                <w:szCs w:val="20"/>
              </w:rPr>
              <w:t>This PDP with the REQ follow the principles of this Document. One added requirement for REQs are clear and verifiable reconstitution instructions which must appear someplace on the package label. These instructions provide clear and verifiable directions for reconstituting product.</w:t>
            </w:r>
            <w:r w:rsidRPr="000C465B">
              <w:rPr>
                <w:bCs/>
              </w:rPr>
              <w:t xml:space="preserve">  </w:t>
            </w:r>
          </w:p>
        </w:tc>
      </w:tr>
      <w:tr w:rsidR="000C465B" w:rsidRPr="000C465B" w14:paraId="523D9936" w14:textId="77777777" w:rsidTr="00B314B4">
        <w:trPr>
          <w:trHeight w:val="1620"/>
        </w:trPr>
        <w:tc>
          <w:tcPr>
            <w:tcW w:w="4405" w:type="dxa"/>
          </w:tcPr>
          <w:p w14:paraId="49246F52" w14:textId="77777777" w:rsidR="000C465B" w:rsidRPr="000C465B" w:rsidRDefault="000C465B" w:rsidP="000C465B">
            <w:pPr>
              <w:spacing w:after="0"/>
              <w:rPr>
                <w:b/>
                <w:sz w:val="28"/>
                <w:szCs w:val="28"/>
              </w:rPr>
            </w:pPr>
            <w:r w:rsidRPr="000C465B">
              <w:rPr>
                <w:noProof/>
              </w:rPr>
              <mc:AlternateContent>
                <mc:Choice Requires="wps">
                  <w:drawing>
                    <wp:anchor distT="0" distB="0" distL="114300" distR="114300" simplePos="0" relativeHeight="251731968" behindDoc="0" locked="0" layoutInCell="1" allowOverlap="1" wp14:anchorId="6989CC4F" wp14:editId="666FDEF8">
                      <wp:simplePos x="0" y="0"/>
                      <wp:positionH relativeFrom="column">
                        <wp:posOffset>603250</wp:posOffset>
                      </wp:positionH>
                      <wp:positionV relativeFrom="paragraph">
                        <wp:posOffset>10795</wp:posOffset>
                      </wp:positionV>
                      <wp:extent cx="4352925" cy="1085850"/>
                      <wp:effectExtent l="0" t="0" r="0" b="0"/>
                      <wp:wrapNone/>
                      <wp:docPr id="929693129" name="Text Box 75"/>
                      <wp:cNvGraphicFramePr/>
                      <a:graphic xmlns:a="http://schemas.openxmlformats.org/drawingml/2006/main">
                        <a:graphicData uri="http://schemas.microsoft.com/office/word/2010/wordprocessingShape">
                          <wps:wsp>
                            <wps:cNvSpPr txBox="1"/>
                            <wps:spPr>
                              <a:xfrm>
                                <a:off x="0" y="0"/>
                                <a:ext cx="4352925" cy="1085850"/>
                              </a:xfrm>
                              <a:prstGeom prst="rect">
                                <a:avLst/>
                              </a:prstGeom>
                              <a:noFill/>
                              <a:ln w="6350">
                                <a:noFill/>
                              </a:ln>
                            </wps:spPr>
                            <wps:txbx>
                              <w:txbxContent>
                                <w:p w14:paraId="11265EF4" w14:textId="77777777" w:rsidR="000C465B" w:rsidRPr="001F7B3F" w:rsidRDefault="000C465B" w:rsidP="000C465B">
                                  <w:pPr>
                                    <w:spacing w:before="120" w:after="0"/>
                                    <w:rPr>
                                      <w:bCs/>
                                      <w:i/>
                                      <w:iCs/>
                                      <w:szCs w:val="20"/>
                                    </w:rPr>
                                  </w:pPr>
                                  <w:r w:rsidRPr="001F7B3F">
                                    <w:rPr>
                                      <w:b/>
                                      <w:szCs w:val="20"/>
                                    </w:rPr>
                                    <w:t xml:space="preserve">Reconstituted Instructions </w:t>
                                  </w:r>
                                  <w:r w:rsidRPr="001F7B3F">
                                    <w:rPr>
                                      <w:bCs/>
                                      <w:i/>
                                      <w:iCs/>
                                      <w:szCs w:val="20"/>
                                    </w:rPr>
                                    <w:t>(from package back panel labeling)</w:t>
                                  </w:r>
                                </w:p>
                                <w:p w14:paraId="0815791B" w14:textId="77777777" w:rsidR="000C465B" w:rsidRPr="00C24F25" w:rsidRDefault="000C465B" w:rsidP="000C465B">
                                  <w:pPr>
                                    <w:spacing w:after="0"/>
                                    <w:rPr>
                                      <w:bCs/>
                                      <w:i/>
                                      <w:iCs/>
                                      <w:sz w:val="8"/>
                                      <w:szCs w:val="8"/>
                                    </w:rPr>
                                  </w:pPr>
                                </w:p>
                                <w:p w14:paraId="3AD3B8B5" w14:textId="77777777" w:rsidR="000C465B" w:rsidRPr="00C24F25" w:rsidRDefault="000C465B" w:rsidP="000C465B">
                                  <w:pPr>
                                    <w:spacing w:after="0"/>
                                    <w:jc w:val="center"/>
                                    <w:rPr>
                                      <w:b/>
                                      <w:sz w:val="28"/>
                                      <w:szCs w:val="28"/>
                                    </w:rPr>
                                  </w:pPr>
                                  <w:r w:rsidRPr="001F7B3F">
                                    <w:rPr>
                                      <w:b/>
                                      <w:noProof/>
                                      <w:szCs w:val="20"/>
                                    </w:rPr>
                                    <w:drawing>
                                      <wp:inline distT="0" distB="0" distL="0" distR="0" wp14:anchorId="61658011" wp14:editId="0DEEE412">
                                        <wp:extent cx="3771900" cy="334574"/>
                                        <wp:effectExtent l="0" t="0" r="0" b="8890"/>
                                        <wp:docPr id="6121990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0341" cy="356611"/>
                                                </a:xfrm>
                                                <a:prstGeom prst="rect">
                                                  <a:avLst/>
                                                </a:prstGeom>
                                                <a:noFill/>
                                                <a:ln>
                                                  <a:noFill/>
                                                </a:ln>
                                              </pic:spPr>
                                            </pic:pic>
                                          </a:graphicData>
                                        </a:graphic>
                                      </wp:inline>
                                    </w:drawing>
                                  </w:r>
                                </w:p>
                                <w:p w14:paraId="6761BE8F" w14:textId="77777777" w:rsidR="000C465B" w:rsidRPr="00C24F25" w:rsidRDefault="000C465B" w:rsidP="000C465B">
                                  <w:pPr>
                                    <w:rPr>
                                      <w:sz w:val="2"/>
                                      <w:szCs w:val="2"/>
                                    </w:rPr>
                                  </w:pPr>
                                </w:p>
                                <w:p w14:paraId="2BD866BE"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CC4F" id="Text Box 75" o:spid="_x0000_s1051" type="#_x0000_t202" style="position:absolute;left:0;text-align:left;margin-left:47.5pt;margin-top:.85pt;width:342.75pt;height: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" filled="f" stroked="f" strokeweight=".5pt">
                      <v:textbox>
                        <w:txbxContent>
                          <w:p w14:paraId="11265EF4" w14:textId="77777777" w:rsidR="000C465B" w:rsidRPr="001F7B3F" w:rsidRDefault="000C465B" w:rsidP="000C465B">
                            <w:pPr>
                              <w:spacing w:before="120" w:after="0"/>
                              <w:rPr>
                                <w:bCs/>
                                <w:i/>
                                <w:iCs/>
                                <w:szCs w:val="20"/>
                              </w:rPr>
                            </w:pPr>
                            <w:r w:rsidRPr="001F7B3F">
                              <w:rPr>
                                <w:b/>
                                <w:szCs w:val="20"/>
                              </w:rPr>
                              <w:t xml:space="preserve">Reconstituted Instructions </w:t>
                            </w:r>
                            <w:r w:rsidRPr="001F7B3F">
                              <w:rPr>
                                <w:bCs/>
                                <w:i/>
                                <w:iCs/>
                                <w:szCs w:val="20"/>
                              </w:rPr>
                              <w:t>(from package back panel labeling)</w:t>
                            </w:r>
                          </w:p>
                          <w:p w14:paraId="0815791B" w14:textId="77777777" w:rsidR="000C465B" w:rsidRPr="00C24F25" w:rsidRDefault="000C465B" w:rsidP="000C465B">
                            <w:pPr>
                              <w:spacing w:after="0"/>
                              <w:rPr>
                                <w:bCs/>
                                <w:i/>
                                <w:iCs/>
                                <w:sz w:val="8"/>
                                <w:szCs w:val="8"/>
                              </w:rPr>
                            </w:pPr>
                          </w:p>
                          <w:p w14:paraId="3AD3B8B5" w14:textId="77777777" w:rsidR="000C465B" w:rsidRPr="00C24F25" w:rsidRDefault="000C465B" w:rsidP="000C465B">
                            <w:pPr>
                              <w:spacing w:after="0"/>
                              <w:jc w:val="center"/>
                              <w:rPr>
                                <w:b/>
                                <w:sz w:val="28"/>
                                <w:szCs w:val="28"/>
                              </w:rPr>
                            </w:pPr>
                            <w:r w:rsidRPr="001F7B3F">
                              <w:rPr>
                                <w:b/>
                                <w:noProof/>
                                <w:szCs w:val="20"/>
                              </w:rPr>
                              <w:drawing>
                                <wp:inline distT="0" distB="0" distL="0" distR="0" wp14:anchorId="61658011" wp14:editId="0DEEE412">
                                  <wp:extent cx="3771900" cy="334574"/>
                                  <wp:effectExtent l="0" t="0" r="0" b="8890"/>
                                  <wp:docPr id="6121990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20341" cy="356611"/>
                                          </a:xfrm>
                                          <a:prstGeom prst="rect">
                                            <a:avLst/>
                                          </a:prstGeom>
                                          <a:noFill/>
                                          <a:ln>
                                            <a:noFill/>
                                          </a:ln>
                                        </pic:spPr>
                                      </pic:pic>
                                    </a:graphicData>
                                  </a:graphic>
                                </wp:inline>
                              </w:drawing>
                            </w:r>
                          </w:p>
                          <w:p w14:paraId="6761BE8F" w14:textId="77777777" w:rsidR="000C465B" w:rsidRPr="00C24F25" w:rsidRDefault="000C465B" w:rsidP="000C465B">
                            <w:pPr>
                              <w:rPr>
                                <w:sz w:val="2"/>
                                <w:szCs w:val="2"/>
                              </w:rPr>
                            </w:pPr>
                          </w:p>
                          <w:p w14:paraId="2BD866BE" w14:textId="77777777" w:rsidR="000C465B" w:rsidRDefault="000C465B" w:rsidP="000C465B"/>
                        </w:txbxContent>
                      </v:textbox>
                    </v:shape>
                  </w:pict>
                </mc:Fallback>
              </mc:AlternateContent>
            </w:r>
          </w:p>
        </w:tc>
        <w:tc>
          <w:tcPr>
            <w:tcW w:w="4945" w:type="dxa"/>
          </w:tcPr>
          <w:p w14:paraId="15CF7163" w14:textId="77777777" w:rsidR="000C465B" w:rsidRPr="000C465B" w:rsidRDefault="000C465B" w:rsidP="000C465B">
            <w:pPr>
              <w:spacing w:after="0"/>
              <w:rPr>
                <w:b/>
              </w:rPr>
            </w:pPr>
          </w:p>
        </w:tc>
      </w:tr>
      <w:tr w:rsidR="000C465B" w:rsidRPr="000C465B" w14:paraId="452E61D5" w14:textId="77777777" w:rsidTr="005F0F3E">
        <w:tc>
          <w:tcPr>
            <w:tcW w:w="4405" w:type="dxa"/>
          </w:tcPr>
          <w:p w14:paraId="202B99F1" w14:textId="77777777" w:rsidR="000C465B" w:rsidRPr="000C465B" w:rsidRDefault="000C465B" w:rsidP="000C465B">
            <w:pPr>
              <w:spacing w:after="0"/>
              <w:rPr>
                <w:b/>
              </w:rPr>
            </w:pPr>
            <w:r w:rsidRPr="000C465B">
              <w:rPr>
                <w:noProof/>
              </w:rPr>
              <w:lastRenderedPageBreak/>
              <w:drawing>
                <wp:inline distT="0" distB="0" distL="0" distR="0" wp14:anchorId="6CC9BBFD" wp14:editId="123DC855">
                  <wp:extent cx="2351152" cy="2895600"/>
                  <wp:effectExtent l="0" t="0" r="0" b="0"/>
                  <wp:docPr id="1043903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83564" name="Picture 1471183564"/>
                          <pic:cNvPicPr/>
                        </pic:nvPicPr>
                        <pic:blipFill rotWithShape="1">
                          <a:blip r:embed="rId76">
                            <a:extLst>
                              <a:ext uri="{28A0092B-C50C-407E-A947-70E740481C1C}">
                                <a14:useLocalDpi xmlns:a14="http://schemas.microsoft.com/office/drawing/2010/main" val="0"/>
                              </a:ext>
                            </a:extLst>
                          </a:blip>
                          <a:srcRect l="2517"/>
                          <a:stretch>
                            <a:fillRect/>
                          </a:stretch>
                        </pic:blipFill>
                        <pic:spPr bwMode="auto">
                          <a:xfrm>
                            <a:off x="0" y="0"/>
                            <a:ext cx="2368440" cy="2916891"/>
                          </a:xfrm>
                          <a:prstGeom prst="rect">
                            <a:avLst/>
                          </a:prstGeom>
                          <a:ln>
                            <a:noFill/>
                          </a:ln>
                          <a:extLst>
                            <a:ext uri="{53640926-AAD7-44D8-BBD7-CCE9431645EC}">
                              <a14:shadowObscured xmlns:a14="http://schemas.microsoft.com/office/drawing/2010/main"/>
                            </a:ext>
                          </a:extLst>
                        </pic:spPr>
                      </pic:pic>
                    </a:graphicData>
                  </a:graphic>
                </wp:inline>
              </w:drawing>
            </w:r>
          </w:p>
        </w:tc>
        <w:tc>
          <w:tcPr>
            <w:tcW w:w="4945" w:type="dxa"/>
          </w:tcPr>
          <w:p w14:paraId="54140B4F" w14:textId="4D24AB13" w:rsidR="000C465B" w:rsidRPr="000C465B" w:rsidRDefault="000C465B" w:rsidP="000C465B">
            <w:pPr>
              <w:spacing w:after="0"/>
              <w:rPr>
                <w:b/>
                <w:color w:val="FF0000"/>
                <w:sz w:val="36"/>
                <w:szCs w:val="36"/>
              </w:rPr>
            </w:pPr>
            <w:r w:rsidRPr="000C465B">
              <w:rPr>
                <w:b/>
                <w:color w:val="FF0000"/>
                <w:sz w:val="36"/>
                <w:szCs w:val="36"/>
              </w:rPr>
              <w:t>PROBLEMATIC</w:t>
            </w:r>
          </w:p>
          <w:p w14:paraId="2002B89B" w14:textId="77777777" w:rsidR="000C465B" w:rsidRPr="000C465B" w:rsidRDefault="000C465B" w:rsidP="000C465B">
            <w:pPr>
              <w:spacing w:after="0"/>
              <w:rPr>
                <w:bCs/>
                <w:sz w:val="20"/>
                <w:szCs w:val="20"/>
              </w:rPr>
            </w:pPr>
            <w:r w:rsidRPr="000C465B">
              <w:rPr>
                <w:bCs/>
                <w:sz w:val="20"/>
                <w:szCs w:val="20"/>
              </w:rPr>
              <w:t xml:space="preserve">In this example, we show the PDP and the product reconstitution instructions from the back of the package label.  </w:t>
            </w:r>
          </w:p>
          <w:p w14:paraId="2370E329" w14:textId="77777777" w:rsidR="000C465B" w:rsidRPr="000C465B" w:rsidRDefault="000C465B" w:rsidP="000C465B">
            <w:pPr>
              <w:spacing w:after="0"/>
              <w:jc w:val="left"/>
              <w:rPr>
                <w:bCs/>
                <w:sz w:val="20"/>
                <w:szCs w:val="20"/>
              </w:rPr>
            </w:pPr>
          </w:p>
          <w:p w14:paraId="3CC74EFF" w14:textId="77777777" w:rsidR="000C465B" w:rsidRPr="000C465B" w:rsidRDefault="000C465B" w:rsidP="000C465B">
            <w:pPr>
              <w:spacing w:after="0"/>
              <w:rPr>
                <w:b/>
              </w:rPr>
            </w:pPr>
            <w:r w:rsidRPr="000C465B">
              <w:rPr>
                <w:bCs/>
                <w:sz w:val="20"/>
                <w:szCs w:val="20"/>
              </w:rPr>
              <w:t xml:space="preserve">This PDP with the REQ follow the principles of this Document. One added requirement for REQs are clear and verifiable reconstitution instructions which must appear someplace on the package label. The instructions provided in this example are not specific, objective or verifiable.  </w:t>
            </w:r>
          </w:p>
        </w:tc>
      </w:tr>
      <w:tr w:rsidR="000C465B" w:rsidRPr="000C465B" w14:paraId="52371F69" w14:textId="77777777" w:rsidTr="005F0F3E">
        <w:trPr>
          <w:trHeight w:val="1520"/>
        </w:trPr>
        <w:tc>
          <w:tcPr>
            <w:tcW w:w="4405" w:type="dxa"/>
          </w:tcPr>
          <w:p w14:paraId="1F6BF003" w14:textId="77777777" w:rsidR="000C465B" w:rsidRPr="000C465B" w:rsidRDefault="000C465B" w:rsidP="000C465B">
            <w:pPr>
              <w:spacing w:after="0"/>
              <w:rPr>
                <w:b/>
              </w:rPr>
            </w:pPr>
            <w:r w:rsidRPr="000C465B">
              <w:rPr>
                <w:noProof/>
              </w:rPr>
              <mc:AlternateContent>
                <mc:Choice Requires="wps">
                  <w:drawing>
                    <wp:anchor distT="0" distB="0" distL="114300" distR="114300" simplePos="0" relativeHeight="251732992" behindDoc="0" locked="0" layoutInCell="1" allowOverlap="1" wp14:anchorId="673B1C40" wp14:editId="61B7A601">
                      <wp:simplePos x="0" y="0"/>
                      <wp:positionH relativeFrom="column">
                        <wp:posOffset>603250</wp:posOffset>
                      </wp:positionH>
                      <wp:positionV relativeFrom="paragraph">
                        <wp:posOffset>6350</wp:posOffset>
                      </wp:positionV>
                      <wp:extent cx="4450080" cy="971550"/>
                      <wp:effectExtent l="0" t="0" r="7620" b="0"/>
                      <wp:wrapNone/>
                      <wp:docPr id="1614294610" name="Text Box 75"/>
                      <wp:cNvGraphicFramePr/>
                      <a:graphic xmlns:a="http://schemas.openxmlformats.org/drawingml/2006/main">
                        <a:graphicData uri="http://schemas.microsoft.com/office/word/2010/wordprocessingShape">
                          <wps:wsp>
                            <wps:cNvSpPr txBox="1"/>
                            <wps:spPr>
                              <a:xfrm>
                                <a:off x="0" y="0"/>
                                <a:ext cx="4450080" cy="971550"/>
                              </a:xfrm>
                              <a:prstGeom prst="rect">
                                <a:avLst/>
                              </a:prstGeom>
                              <a:solidFill>
                                <a:sysClr val="window" lastClr="FFFFFF"/>
                              </a:solidFill>
                              <a:ln w="6350">
                                <a:noFill/>
                              </a:ln>
                            </wps:spPr>
                            <wps:txbx>
                              <w:txbxContent>
                                <w:p w14:paraId="20B03C7D" w14:textId="77777777" w:rsidR="000C465B" w:rsidRPr="001F7B3F" w:rsidRDefault="000C465B" w:rsidP="000C465B">
                                  <w:pPr>
                                    <w:spacing w:before="120" w:after="0"/>
                                    <w:jc w:val="center"/>
                                    <w:rPr>
                                      <w:bCs/>
                                      <w:i/>
                                      <w:iCs/>
                                      <w:szCs w:val="20"/>
                                    </w:rPr>
                                  </w:pPr>
                                  <w:r w:rsidRPr="001F7B3F">
                                    <w:rPr>
                                      <w:b/>
                                      <w:szCs w:val="20"/>
                                    </w:rPr>
                                    <w:t xml:space="preserve">Reconstituted Instructions </w:t>
                                  </w:r>
                                  <w:r w:rsidRPr="001F7B3F">
                                    <w:rPr>
                                      <w:bCs/>
                                      <w:i/>
                                      <w:iCs/>
                                      <w:szCs w:val="20"/>
                                    </w:rPr>
                                    <w:t>(from package back panel labeling)</w:t>
                                  </w:r>
                                </w:p>
                                <w:p w14:paraId="240D58DC" w14:textId="77777777" w:rsidR="000C465B" w:rsidRPr="00C24F25" w:rsidRDefault="000C465B" w:rsidP="000C465B">
                                  <w:pPr>
                                    <w:spacing w:after="0"/>
                                    <w:jc w:val="center"/>
                                    <w:rPr>
                                      <w:b/>
                                      <w:color w:val="EE0000"/>
                                      <w:sz w:val="8"/>
                                      <w:szCs w:val="16"/>
                                    </w:rPr>
                                  </w:pPr>
                                </w:p>
                                <w:p w14:paraId="2F16B468" w14:textId="77777777" w:rsidR="000C465B" w:rsidRDefault="000C465B" w:rsidP="000C465B">
                                  <w:pPr>
                                    <w:spacing w:after="0"/>
                                    <w:jc w:val="center"/>
                                    <w:rPr>
                                      <w:b/>
                                      <w:sz w:val="28"/>
                                      <w:szCs w:val="28"/>
                                    </w:rPr>
                                  </w:pPr>
                                  <w:r w:rsidRPr="005839A6">
                                    <w:rPr>
                                      <w:b/>
                                      <w:noProof/>
                                      <w:sz w:val="28"/>
                                      <w:szCs w:val="28"/>
                                    </w:rPr>
                                    <w:drawing>
                                      <wp:inline distT="0" distB="0" distL="0" distR="0" wp14:anchorId="3D517632" wp14:editId="79304044">
                                        <wp:extent cx="3718560" cy="342900"/>
                                        <wp:effectExtent l="0" t="0" r="0" b="0"/>
                                        <wp:docPr id="43320134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8560" cy="342900"/>
                                                </a:xfrm>
                                                <a:prstGeom prst="rect">
                                                  <a:avLst/>
                                                </a:prstGeom>
                                                <a:noFill/>
                                                <a:ln>
                                                  <a:noFill/>
                                                </a:ln>
                                              </pic:spPr>
                                            </pic:pic>
                                          </a:graphicData>
                                        </a:graphic>
                                      </wp:inline>
                                    </w:drawing>
                                  </w:r>
                                </w:p>
                                <w:p w14:paraId="1513D45F" w14:textId="77777777" w:rsidR="000C465B" w:rsidRPr="00C24F25" w:rsidRDefault="000C465B" w:rsidP="000C465B">
                                  <w:pPr>
                                    <w:spacing w:after="0"/>
                                    <w:rPr>
                                      <w:b/>
                                      <w:sz w:val="28"/>
                                      <w:szCs w:val="28"/>
                                    </w:rPr>
                                  </w:pPr>
                                </w:p>
                                <w:p w14:paraId="34C70B24" w14:textId="77777777" w:rsidR="000C465B" w:rsidRPr="00C24F25" w:rsidRDefault="000C465B" w:rsidP="000C465B">
                                  <w:pPr>
                                    <w:rPr>
                                      <w:sz w:val="2"/>
                                      <w:szCs w:val="2"/>
                                    </w:rPr>
                                  </w:pPr>
                                </w:p>
                                <w:p w14:paraId="53033A9F"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1C40" id="_x0000_s1052" type="#_x0000_t202" style="position:absolute;left:0;text-align:left;margin-left:47.5pt;margin-top:.5pt;width:350.4pt;height: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" fillcolor="window" stroked="f" strokeweight=".5pt">
                      <v:textbox>
                        <w:txbxContent>
                          <w:p w14:paraId="20B03C7D" w14:textId="77777777" w:rsidR="000C465B" w:rsidRPr="001F7B3F" w:rsidRDefault="000C465B" w:rsidP="000C465B">
                            <w:pPr>
                              <w:spacing w:before="120" w:after="0"/>
                              <w:jc w:val="center"/>
                              <w:rPr>
                                <w:bCs/>
                                <w:i/>
                                <w:iCs/>
                                <w:szCs w:val="20"/>
                              </w:rPr>
                            </w:pPr>
                            <w:r w:rsidRPr="001F7B3F">
                              <w:rPr>
                                <w:b/>
                                <w:szCs w:val="20"/>
                              </w:rPr>
                              <w:t xml:space="preserve">Reconstituted Instructions </w:t>
                            </w:r>
                            <w:r w:rsidRPr="001F7B3F">
                              <w:rPr>
                                <w:bCs/>
                                <w:i/>
                                <w:iCs/>
                                <w:szCs w:val="20"/>
                              </w:rPr>
                              <w:t>(from package back panel labeling)</w:t>
                            </w:r>
                          </w:p>
                          <w:p w14:paraId="240D58DC" w14:textId="77777777" w:rsidR="000C465B" w:rsidRPr="00C24F25" w:rsidRDefault="000C465B" w:rsidP="000C465B">
                            <w:pPr>
                              <w:spacing w:after="0"/>
                              <w:jc w:val="center"/>
                              <w:rPr>
                                <w:b/>
                                <w:color w:val="EE0000"/>
                                <w:sz w:val="8"/>
                                <w:szCs w:val="16"/>
                              </w:rPr>
                            </w:pPr>
                          </w:p>
                          <w:p w14:paraId="2F16B468" w14:textId="77777777" w:rsidR="000C465B" w:rsidRDefault="000C465B" w:rsidP="000C465B">
                            <w:pPr>
                              <w:spacing w:after="0"/>
                              <w:jc w:val="center"/>
                              <w:rPr>
                                <w:b/>
                                <w:sz w:val="28"/>
                                <w:szCs w:val="28"/>
                              </w:rPr>
                            </w:pPr>
                            <w:r w:rsidRPr="005839A6">
                              <w:rPr>
                                <w:b/>
                                <w:noProof/>
                                <w:sz w:val="28"/>
                                <w:szCs w:val="28"/>
                              </w:rPr>
                              <w:drawing>
                                <wp:inline distT="0" distB="0" distL="0" distR="0" wp14:anchorId="3D517632" wp14:editId="79304044">
                                  <wp:extent cx="3718560" cy="342900"/>
                                  <wp:effectExtent l="0" t="0" r="0" b="0"/>
                                  <wp:docPr id="43320134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8560" cy="342900"/>
                                          </a:xfrm>
                                          <a:prstGeom prst="rect">
                                            <a:avLst/>
                                          </a:prstGeom>
                                          <a:noFill/>
                                          <a:ln>
                                            <a:noFill/>
                                          </a:ln>
                                        </pic:spPr>
                                      </pic:pic>
                                    </a:graphicData>
                                  </a:graphic>
                                </wp:inline>
                              </w:drawing>
                            </w:r>
                          </w:p>
                          <w:p w14:paraId="1513D45F" w14:textId="77777777" w:rsidR="000C465B" w:rsidRPr="00C24F25" w:rsidRDefault="000C465B" w:rsidP="000C465B">
                            <w:pPr>
                              <w:spacing w:after="0"/>
                              <w:rPr>
                                <w:b/>
                                <w:sz w:val="28"/>
                                <w:szCs w:val="28"/>
                              </w:rPr>
                            </w:pPr>
                          </w:p>
                          <w:p w14:paraId="34C70B24" w14:textId="77777777" w:rsidR="000C465B" w:rsidRPr="00C24F25" w:rsidRDefault="000C465B" w:rsidP="000C465B">
                            <w:pPr>
                              <w:rPr>
                                <w:sz w:val="2"/>
                                <w:szCs w:val="2"/>
                              </w:rPr>
                            </w:pPr>
                          </w:p>
                          <w:p w14:paraId="53033A9F" w14:textId="77777777" w:rsidR="000C465B" w:rsidRDefault="000C465B" w:rsidP="000C465B"/>
                        </w:txbxContent>
                      </v:textbox>
                    </v:shape>
                  </w:pict>
                </mc:Fallback>
              </mc:AlternateContent>
            </w:r>
          </w:p>
        </w:tc>
        <w:tc>
          <w:tcPr>
            <w:tcW w:w="4945" w:type="dxa"/>
          </w:tcPr>
          <w:p w14:paraId="0AE36F72" w14:textId="77777777" w:rsidR="000C465B" w:rsidRPr="000C465B" w:rsidRDefault="000C465B" w:rsidP="000C465B">
            <w:pPr>
              <w:spacing w:after="0"/>
              <w:rPr>
                <w:b/>
              </w:rPr>
            </w:pPr>
          </w:p>
        </w:tc>
      </w:tr>
    </w:tbl>
    <w:p w14:paraId="27BCE56C" w14:textId="77777777" w:rsidR="000C465B" w:rsidRPr="000C465B" w:rsidRDefault="000C465B" w:rsidP="000C465B">
      <w:pPr>
        <w:spacing w:after="200" w:line="276" w:lineRule="auto"/>
        <w:rPr>
          <w:b/>
          <w:sz w:val="22"/>
        </w:rPr>
      </w:pPr>
    </w:p>
    <w:p w14:paraId="14BA37C1" w14:textId="77777777" w:rsidR="000C465B" w:rsidRDefault="000C465B" w:rsidP="000C465B">
      <w:pPr>
        <w:spacing w:after="200" w:line="276" w:lineRule="auto"/>
        <w:rPr>
          <w:b/>
          <w:sz w:val="22"/>
        </w:rPr>
      </w:pPr>
    </w:p>
    <w:p w14:paraId="7CD08808" w14:textId="77777777" w:rsidR="001F7B3F" w:rsidRDefault="001F7B3F" w:rsidP="000C465B">
      <w:pPr>
        <w:spacing w:after="200" w:line="276" w:lineRule="auto"/>
        <w:rPr>
          <w:b/>
          <w:sz w:val="22"/>
        </w:rPr>
      </w:pPr>
    </w:p>
    <w:p w14:paraId="75F43E18" w14:textId="77777777" w:rsidR="001F7B3F" w:rsidRDefault="001F7B3F" w:rsidP="000C465B">
      <w:pPr>
        <w:spacing w:after="200" w:line="276" w:lineRule="auto"/>
        <w:rPr>
          <w:b/>
          <w:sz w:val="22"/>
        </w:rPr>
      </w:pPr>
    </w:p>
    <w:p w14:paraId="137DE1A9" w14:textId="77777777" w:rsidR="001F7B3F" w:rsidRDefault="001F7B3F" w:rsidP="000C465B">
      <w:pPr>
        <w:spacing w:after="200" w:line="276" w:lineRule="auto"/>
        <w:rPr>
          <w:b/>
          <w:sz w:val="22"/>
        </w:rPr>
      </w:pPr>
    </w:p>
    <w:p w14:paraId="38BB34D9" w14:textId="77777777" w:rsidR="001F7B3F" w:rsidRDefault="001F7B3F" w:rsidP="000C465B">
      <w:pPr>
        <w:spacing w:after="200" w:line="276" w:lineRule="auto"/>
        <w:rPr>
          <w:b/>
          <w:sz w:val="22"/>
        </w:rPr>
      </w:pPr>
    </w:p>
    <w:p w14:paraId="42B37522" w14:textId="77777777" w:rsidR="001F7B3F" w:rsidRDefault="001F7B3F" w:rsidP="000C465B">
      <w:pPr>
        <w:spacing w:after="200" w:line="276" w:lineRule="auto"/>
        <w:rPr>
          <w:b/>
          <w:sz w:val="22"/>
        </w:rPr>
      </w:pPr>
    </w:p>
    <w:p w14:paraId="3EB0BFC3" w14:textId="77777777" w:rsidR="001F7B3F" w:rsidRDefault="001F7B3F" w:rsidP="000C465B">
      <w:pPr>
        <w:spacing w:after="200" w:line="276" w:lineRule="auto"/>
        <w:rPr>
          <w:b/>
          <w:sz w:val="22"/>
        </w:rPr>
      </w:pPr>
    </w:p>
    <w:p w14:paraId="6C3E0467" w14:textId="77777777" w:rsidR="001F7B3F" w:rsidRDefault="001F7B3F" w:rsidP="000C465B">
      <w:pPr>
        <w:spacing w:after="200" w:line="276" w:lineRule="auto"/>
        <w:rPr>
          <w:b/>
          <w:sz w:val="22"/>
        </w:rPr>
      </w:pPr>
    </w:p>
    <w:p w14:paraId="6ACC8838" w14:textId="77777777" w:rsidR="001F7B3F" w:rsidRDefault="001F7B3F" w:rsidP="000C465B">
      <w:pPr>
        <w:spacing w:after="200" w:line="276" w:lineRule="auto"/>
        <w:rPr>
          <w:b/>
          <w:sz w:val="22"/>
        </w:rPr>
      </w:pPr>
    </w:p>
    <w:p w14:paraId="6EBE6B0F" w14:textId="77777777" w:rsidR="001F7B3F" w:rsidRDefault="001F7B3F" w:rsidP="000C465B">
      <w:pPr>
        <w:spacing w:after="200" w:line="276" w:lineRule="auto"/>
        <w:rPr>
          <w:b/>
          <w:sz w:val="22"/>
        </w:rPr>
      </w:pPr>
    </w:p>
    <w:p w14:paraId="0EA4F459" w14:textId="77777777" w:rsidR="001F7B3F" w:rsidRDefault="001F7B3F" w:rsidP="000C465B">
      <w:pPr>
        <w:spacing w:after="200" w:line="276" w:lineRule="auto"/>
        <w:rPr>
          <w:b/>
          <w:sz w:val="22"/>
        </w:rPr>
      </w:pPr>
    </w:p>
    <w:p w14:paraId="27872E61" w14:textId="77777777" w:rsidR="001F7B3F" w:rsidRPr="000C465B" w:rsidRDefault="001F7B3F" w:rsidP="000C465B">
      <w:pPr>
        <w:spacing w:after="200" w:line="276" w:lineRule="auto"/>
        <w:rPr>
          <w:b/>
          <w:sz w:val="22"/>
        </w:rPr>
      </w:pPr>
    </w:p>
    <w:p w14:paraId="46F9A095" w14:textId="77777777" w:rsidR="000C465B" w:rsidRPr="000C465B" w:rsidRDefault="000C465B" w:rsidP="000C465B">
      <w:pPr>
        <w:spacing w:after="200" w:line="276" w:lineRule="auto"/>
        <w:rPr>
          <w:szCs w:val="20"/>
        </w:rPr>
      </w:pPr>
      <w:r w:rsidRPr="000C465B">
        <w:rPr>
          <w:b/>
          <w:szCs w:val="20"/>
        </w:rPr>
        <w:lastRenderedPageBreak/>
        <w:t xml:space="preserve">3. </w:t>
      </w:r>
      <w:r w:rsidRPr="000C465B">
        <w:rPr>
          <w:b/>
          <w:szCs w:val="20"/>
          <w:u w:val="single"/>
        </w:rPr>
        <w:t>Derived Unit Expression (DUE)</w:t>
      </w:r>
      <w:r w:rsidRPr="000C465B">
        <w:rPr>
          <w:b/>
          <w:bCs/>
          <w:szCs w:val="20"/>
        </w:rPr>
        <w:t xml:space="preserve"> </w:t>
      </w:r>
      <w:r w:rsidRPr="000C465B">
        <w:rPr>
          <w:szCs w:val="20"/>
        </w:rPr>
        <w:t xml:space="preserve">– A manufacturer is responsible for ensuring a Derived Unit Expression (DUE’s) location, font, graphics or wording provides clear and non-misleading information which does not contradict or marginalize the information provided in the required Declaration of Net Quantity (DoNQ).     </w:t>
      </w:r>
    </w:p>
    <w:p w14:paraId="71925A2E" w14:textId="77777777" w:rsidR="000C465B" w:rsidRPr="000C465B" w:rsidRDefault="000C465B" w:rsidP="000C465B">
      <w:pPr>
        <w:spacing w:after="0" w:line="276" w:lineRule="auto"/>
        <w:rPr>
          <w:szCs w:val="20"/>
        </w:rPr>
      </w:pPr>
      <w:r w:rsidRPr="000C465B">
        <w:rPr>
          <w:szCs w:val="20"/>
        </w:rPr>
        <w:t xml:space="preserve">Derived Unit Expressions can appear in the upper 70% or lower 30% of the Principal Display Panel (PDP) as illustrated in the following examples which illustrate differences in color, font size, expression wording, and graphic design such as graphic features or icons.  Icons are used commonly for this type of expression.  A DUE may employ a single color and font type or may combine 2 or more colors and fonts. Where two or more DUEs are present (not shown), they may appear in both the upper 70% and/or lower 30% of the </w:t>
      </w:r>
      <w:r w:rsidRPr="000C465B">
        <w:rPr>
          <w:spacing w:val="6"/>
          <w:szCs w:val="20"/>
        </w:rPr>
        <w:t>PDP. It is not required for the DUE statements to be identical provided they are both accurate and non-</w:t>
      </w:r>
      <w:r w:rsidRPr="000C465B">
        <w:rPr>
          <w:szCs w:val="20"/>
        </w:rPr>
        <w:t xml:space="preserve">misleading. </w:t>
      </w:r>
    </w:p>
    <w:p w14:paraId="169A7FB0" w14:textId="77777777" w:rsidR="000C465B" w:rsidRPr="000C465B" w:rsidRDefault="000C465B" w:rsidP="000C465B">
      <w:pPr>
        <w:spacing w:after="200" w:line="276" w:lineRule="auto"/>
        <w:jc w:val="left"/>
        <w:rPr>
          <w:sz w:val="22"/>
        </w:rPr>
      </w:pPr>
      <w:r w:rsidRPr="000C465B">
        <w:rPr>
          <w:noProof/>
          <w:sz w:val="22"/>
        </w:rPr>
        <mc:AlternateContent>
          <mc:Choice Requires="wps">
            <w:drawing>
              <wp:anchor distT="0" distB="0" distL="114300" distR="114300" simplePos="0" relativeHeight="251726848" behindDoc="0" locked="0" layoutInCell="1" allowOverlap="1" wp14:anchorId="5D685DA3" wp14:editId="07DD17ED">
                <wp:simplePos x="0" y="0"/>
                <wp:positionH relativeFrom="column">
                  <wp:posOffset>2286000</wp:posOffset>
                </wp:positionH>
                <wp:positionV relativeFrom="paragraph">
                  <wp:posOffset>3810</wp:posOffset>
                </wp:positionV>
                <wp:extent cx="2390775" cy="3895725"/>
                <wp:effectExtent l="0" t="0" r="9525" b="9525"/>
                <wp:wrapNone/>
                <wp:docPr id="2058860688" name="Text Box 72"/>
                <wp:cNvGraphicFramePr/>
                <a:graphic xmlns:a="http://schemas.openxmlformats.org/drawingml/2006/main">
                  <a:graphicData uri="http://schemas.microsoft.com/office/word/2010/wordprocessingShape">
                    <wps:wsp>
                      <wps:cNvSpPr txBox="1"/>
                      <wps:spPr>
                        <a:xfrm>
                          <a:off x="0" y="0"/>
                          <a:ext cx="2390775" cy="3895725"/>
                        </a:xfrm>
                        <a:prstGeom prst="rect">
                          <a:avLst/>
                        </a:prstGeom>
                        <a:solidFill>
                          <a:sysClr val="window" lastClr="FFFFFF"/>
                        </a:solidFill>
                        <a:ln w="6350">
                          <a:noFill/>
                        </a:ln>
                      </wps:spPr>
                      <wps:txbx>
                        <w:txbxContent>
                          <w:p w14:paraId="4B1E6451" w14:textId="77777777" w:rsidR="000C465B" w:rsidRDefault="000C465B" w:rsidP="000C465B">
                            <w:r>
                              <w:rPr>
                                <w:noProof/>
                              </w:rPr>
                              <w:drawing>
                                <wp:inline distT="0" distB="0" distL="0" distR="0" wp14:anchorId="30FBDD45" wp14:editId="496477F5">
                                  <wp:extent cx="2143125" cy="3676131"/>
                                  <wp:effectExtent l="0" t="0" r="0" b="635"/>
                                  <wp:docPr id="1174127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27858" name="Picture 5"/>
                                          <pic:cNvPicPr>
                                            <a:picLocks noChangeAspect="1" noChangeArrowheads="1"/>
                                          </pic:cNvPicPr>
                                        </pic:nvPicPr>
                                        <pic:blipFill>
                                          <a:blip r:embed="rId82">
                                            <a:extLst>
                                              <a:ext uri="{28A0092B-C50C-407E-A947-70E740481C1C}">
                                                <a14:useLocalDpi xmlns:a14="http://schemas.microsoft.com/office/drawing/2010/main" val="0"/>
                                              </a:ext>
                                            </a:extLst>
                                          </a:blip>
                                          <a:srcRect l="623" r="623"/>
                                          <a:stretch>
                                            <a:fillRect/>
                                          </a:stretch>
                                        </pic:blipFill>
                                        <pic:spPr bwMode="auto">
                                          <a:xfrm>
                                            <a:off x="0" y="0"/>
                                            <a:ext cx="2143125" cy="36761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5DA3" id="Text Box 72" o:spid="_x0000_s1053" type="#_x0000_t202" style="position:absolute;margin-left:180pt;margin-top:.3pt;width:188.25pt;height:30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" fillcolor="window" stroked="f" strokeweight=".5pt">
                <v:textbox>
                  <w:txbxContent>
                    <w:p w14:paraId="4B1E6451" w14:textId="77777777" w:rsidR="000C465B" w:rsidRDefault="000C465B" w:rsidP="000C465B">
                      <w:r>
                        <w:rPr>
                          <w:noProof/>
                        </w:rPr>
                        <w:drawing>
                          <wp:inline distT="0" distB="0" distL="0" distR="0" wp14:anchorId="30FBDD45" wp14:editId="496477F5">
                            <wp:extent cx="2143125" cy="3676131"/>
                            <wp:effectExtent l="0" t="0" r="0" b="635"/>
                            <wp:docPr id="1174127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27858" name="Picture 5"/>
                                    <pic:cNvPicPr>
                                      <a:picLocks noChangeAspect="1" noChangeArrowheads="1"/>
                                    </pic:cNvPicPr>
                                  </pic:nvPicPr>
                                  <pic:blipFill>
                                    <a:blip r:embed="rId83">
                                      <a:extLst>
                                        <a:ext uri="{28A0092B-C50C-407E-A947-70E740481C1C}">
                                          <a14:useLocalDpi xmlns:a14="http://schemas.microsoft.com/office/drawing/2010/main" val="0"/>
                                        </a:ext>
                                      </a:extLst>
                                    </a:blip>
                                    <a:srcRect l="623" r="623"/>
                                    <a:stretch>
                                      <a:fillRect/>
                                    </a:stretch>
                                  </pic:blipFill>
                                  <pic:spPr bwMode="auto">
                                    <a:xfrm>
                                      <a:off x="0" y="0"/>
                                      <a:ext cx="2143125" cy="36761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C465B">
        <w:rPr>
          <w:noProof/>
          <w:sz w:val="22"/>
        </w:rPr>
        <mc:AlternateContent>
          <mc:Choice Requires="wps">
            <w:drawing>
              <wp:anchor distT="0" distB="0" distL="114300" distR="114300" simplePos="0" relativeHeight="251727872" behindDoc="0" locked="0" layoutInCell="1" allowOverlap="1" wp14:anchorId="47EB8D2E" wp14:editId="3293EC63">
                <wp:simplePos x="0" y="0"/>
                <wp:positionH relativeFrom="column">
                  <wp:posOffset>4657725</wp:posOffset>
                </wp:positionH>
                <wp:positionV relativeFrom="paragraph">
                  <wp:posOffset>-4445</wp:posOffset>
                </wp:positionV>
                <wp:extent cx="1447800" cy="2724150"/>
                <wp:effectExtent l="0" t="0" r="0" b="0"/>
                <wp:wrapNone/>
                <wp:docPr id="1590597753" name="Text Box 70"/>
                <wp:cNvGraphicFramePr/>
                <a:graphic xmlns:a="http://schemas.openxmlformats.org/drawingml/2006/main">
                  <a:graphicData uri="http://schemas.microsoft.com/office/word/2010/wordprocessingShape">
                    <wps:wsp>
                      <wps:cNvSpPr txBox="1"/>
                      <wps:spPr>
                        <a:xfrm>
                          <a:off x="0" y="0"/>
                          <a:ext cx="1447800" cy="2724150"/>
                        </a:xfrm>
                        <a:prstGeom prst="rect">
                          <a:avLst/>
                        </a:prstGeom>
                        <a:solidFill>
                          <a:sysClr val="window" lastClr="FFFFFF"/>
                        </a:solidFill>
                        <a:ln w="6350">
                          <a:noFill/>
                        </a:ln>
                      </wps:spPr>
                      <wps:txbx>
                        <w:txbxContent>
                          <w:p w14:paraId="2E5ACE51" w14:textId="77777777" w:rsidR="000C465B" w:rsidRDefault="000C465B" w:rsidP="000C465B">
                            <w:r>
                              <w:rPr>
                                <w:noProof/>
                              </w:rPr>
                              <w:drawing>
                                <wp:inline distT="0" distB="0" distL="0" distR="0" wp14:anchorId="48D8B7DC" wp14:editId="3D124DA9">
                                  <wp:extent cx="1258570" cy="2616288"/>
                                  <wp:effectExtent l="0" t="0" r="0" b="0"/>
                                  <wp:docPr id="719975840" name="Picture 719975840" descr="D:\NCWM\PALS Diagrams\Set 4\5-DUE\DUE-S5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NCWM\PALS Diagrams\Set 4\5-DUE\DUE-S5b-v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8570" cy="2616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8D2E" id="Text Box 70" o:spid="_x0000_s1054" type="#_x0000_t202" style="position:absolute;margin-left:366.75pt;margin-top:-.35pt;width:114pt;height:2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" fillcolor="window" stroked="f" strokeweight=".5pt">
                <v:textbox>
                  <w:txbxContent>
                    <w:p w14:paraId="2E5ACE51" w14:textId="77777777" w:rsidR="000C465B" w:rsidRDefault="000C465B" w:rsidP="000C465B">
                      <w:r>
                        <w:rPr>
                          <w:noProof/>
                        </w:rPr>
                        <w:drawing>
                          <wp:inline distT="0" distB="0" distL="0" distR="0" wp14:anchorId="48D8B7DC" wp14:editId="3D124DA9">
                            <wp:extent cx="1258570" cy="2616288"/>
                            <wp:effectExtent l="0" t="0" r="0" b="0"/>
                            <wp:docPr id="719975840" name="Picture 719975840" descr="D:\NCWM\PALS Diagrams\Set 4\5-DUE\DUE-S5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NCWM\PALS Diagrams\Set 4\5-DUE\DUE-S5b-v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8570" cy="2616288"/>
                                    </a:xfrm>
                                    <a:prstGeom prst="rect">
                                      <a:avLst/>
                                    </a:prstGeom>
                                    <a:noFill/>
                                    <a:ln>
                                      <a:noFill/>
                                    </a:ln>
                                  </pic:spPr>
                                </pic:pic>
                              </a:graphicData>
                            </a:graphic>
                          </wp:inline>
                        </w:drawing>
                      </w:r>
                    </w:p>
                  </w:txbxContent>
                </v:textbox>
              </v:shape>
            </w:pict>
          </mc:Fallback>
        </mc:AlternateContent>
      </w:r>
      <w:r w:rsidRPr="000C465B">
        <w:rPr>
          <w:noProof/>
          <w:sz w:val="22"/>
        </w:rPr>
        <mc:AlternateContent>
          <mc:Choice Requires="wps">
            <w:drawing>
              <wp:anchor distT="0" distB="0" distL="114300" distR="114300" simplePos="0" relativeHeight="251725824" behindDoc="0" locked="0" layoutInCell="1" allowOverlap="1" wp14:anchorId="6FE06129" wp14:editId="0DFC61E0">
                <wp:simplePos x="0" y="0"/>
                <wp:positionH relativeFrom="column">
                  <wp:posOffset>-142875</wp:posOffset>
                </wp:positionH>
                <wp:positionV relativeFrom="paragraph">
                  <wp:posOffset>-4445</wp:posOffset>
                </wp:positionV>
                <wp:extent cx="2381250" cy="4095750"/>
                <wp:effectExtent l="0" t="0" r="0" b="0"/>
                <wp:wrapNone/>
                <wp:docPr id="1735964043" name="Text Box 71"/>
                <wp:cNvGraphicFramePr/>
                <a:graphic xmlns:a="http://schemas.openxmlformats.org/drawingml/2006/main">
                  <a:graphicData uri="http://schemas.microsoft.com/office/word/2010/wordprocessingShape">
                    <wps:wsp>
                      <wps:cNvSpPr txBox="1"/>
                      <wps:spPr>
                        <a:xfrm>
                          <a:off x="0" y="0"/>
                          <a:ext cx="2381250" cy="4095750"/>
                        </a:xfrm>
                        <a:prstGeom prst="rect">
                          <a:avLst/>
                        </a:prstGeom>
                        <a:solidFill>
                          <a:sysClr val="window" lastClr="FFFFFF"/>
                        </a:solidFill>
                        <a:ln w="6350">
                          <a:noFill/>
                        </a:ln>
                      </wps:spPr>
                      <wps:txbx>
                        <w:txbxContent>
                          <w:p w14:paraId="023A24F7" w14:textId="77777777" w:rsidR="000C465B" w:rsidRDefault="000C465B" w:rsidP="000C465B">
                            <w:r>
                              <w:rPr>
                                <w:noProof/>
                              </w:rPr>
                              <w:drawing>
                                <wp:inline distT="0" distB="0" distL="0" distR="0" wp14:anchorId="63CDD5D8" wp14:editId="6A919E51">
                                  <wp:extent cx="2192020" cy="3676200"/>
                                  <wp:effectExtent l="0" t="0" r="0" b="635"/>
                                  <wp:docPr id="56175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2024" name="Picture 5"/>
                                          <pic:cNvPicPr>
                                            <a:picLocks noChangeAspect="1" noChangeArrowheads="1"/>
                                          </pic:cNvPicPr>
                                        </pic:nvPicPr>
                                        <pic:blipFill>
                                          <a:blip r:embed="rId82">
                                            <a:extLst>
                                              <a:ext uri="{28A0092B-C50C-407E-A947-70E740481C1C}">
                                                <a14:useLocalDpi xmlns:a14="http://schemas.microsoft.com/office/drawing/2010/main" val="0"/>
                                              </a:ext>
                                            </a:extLst>
                                          </a:blip>
                                          <a:srcRect t="498" b="498"/>
                                          <a:stretch>
                                            <a:fillRect/>
                                          </a:stretch>
                                        </pic:blipFill>
                                        <pic:spPr bwMode="auto">
                                          <a:xfrm>
                                            <a:off x="0" y="0"/>
                                            <a:ext cx="2192020" cy="3676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06129" id="Text Box 71" o:spid="_x0000_s1055" type="#_x0000_t202" style="position:absolute;margin-left:-11.25pt;margin-top:-.35pt;width:187.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" fillcolor="window" stroked="f" strokeweight=".5pt">
                <v:textbox>
                  <w:txbxContent>
                    <w:p w14:paraId="023A24F7" w14:textId="77777777" w:rsidR="000C465B" w:rsidRDefault="000C465B" w:rsidP="000C465B">
                      <w:r>
                        <w:rPr>
                          <w:noProof/>
                        </w:rPr>
                        <w:drawing>
                          <wp:inline distT="0" distB="0" distL="0" distR="0" wp14:anchorId="63CDD5D8" wp14:editId="6A919E51">
                            <wp:extent cx="2192020" cy="3676200"/>
                            <wp:effectExtent l="0" t="0" r="0" b="635"/>
                            <wp:docPr id="561752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2024" name="Picture 5"/>
                                    <pic:cNvPicPr>
                                      <a:picLocks noChangeAspect="1" noChangeArrowheads="1"/>
                                    </pic:cNvPicPr>
                                  </pic:nvPicPr>
                                  <pic:blipFill>
                                    <a:blip r:embed="rId83">
                                      <a:extLst>
                                        <a:ext uri="{28A0092B-C50C-407E-A947-70E740481C1C}">
                                          <a14:useLocalDpi xmlns:a14="http://schemas.microsoft.com/office/drawing/2010/main" val="0"/>
                                        </a:ext>
                                      </a:extLst>
                                    </a:blip>
                                    <a:srcRect t="498" b="498"/>
                                    <a:stretch>
                                      <a:fillRect/>
                                    </a:stretch>
                                  </pic:blipFill>
                                  <pic:spPr bwMode="auto">
                                    <a:xfrm>
                                      <a:off x="0" y="0"/>
                                      <a:ext cx="2192020" cy="3676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02148D9" w14:textId="77777777" w:rsidR="000C465B" w:rsidRPr="000C465B" w:rsidRDefault="000C465B" w:rsidP="000C465B">
      <w:pPr>
        <w:spacing w:after="200" w:line="276" w:lineRule="auto"/>
        <w:jc w:val="left"/>
        <w:rPr>
          <w:sz w:val="22"/>
        </w:rPr>
      </w:pPr>
      <w:r w:rsidRPr="000C465B">
        <w:rPr>
          <w:sz w:val="22"/>
        </w:rPr>
        <w:t xml:space="preserve">  </w:t>
      </w:r>
    </w:p>
    <w:p w14:paraId="57F4725D" w14:textId="77777777" w:rsidR="000C465B" w:rsidRPr="000C465B" w:rsidRDefault="000C465B" w:rsidP="000C465B">
      <w:pPr>
        <w:spacing w:after="200" w:line="276" w:lineRule="auto"/>
        <w:jc w:val="left"/>
        <w:rPr>
          <w:sz w:val="22"/>
        </w:rPr>
      </w:pPr>
    </w:p>
    <w:tbl>
      <w:tblPr>
        <w:tblStyle w:val="TableGrid22"/>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5433"/>
        <w:gridCol w:w="236"/>
        <w:gridCol w:w="16"/>
        <w:gridCol w:w="1621"/>
      </w:tblGrid>
      <w:tr w:rsidR="000C465B" w:rsidRPr="000C465B" w14:paraId="6E4A1E97" w14:textId="77777777" w:rsidTr="005F0F3E">
        <w:trPr>
          <w:trHeight w:val="117"/>
        </w:trPr>
        <w:tc>
          <w:tcPr>
            <w:tcW w:w="2070" w:type="dxa"/>
          </w:tcPr>
          <w:p w14:paraId="57D44934" w14:textId="77777777" w:rsidR="000C465B" w:rsidRPr="000C465B" w:rsidRDefault="000C465B" w:rsidP="000C465B">
            <w:pPr>
              <w:spacing w:after="0"/>
              <w:jc w:val="center"/>
            </w:pPr>
          </w:p>
        </w:tc>
        <w:tc>
          <w:tcPr>
            <w:tcW w:w="5433" w:type="dxa"/>
          </w:tcPr>
          <w:p w14:paraId="06092D8E" w14:textId="77777777" w:rsidR="000C465B" w:rsidRPr="000C465B" w:rsidRDefault="000C465B" w:rsidP="000C465B">
            <w:pPr>
              <w:spacing w:after="0"/>
              <w:jc w:val="left"/>
            </w:pPr>
          </w:p>
        </w:tc>
        <w:tc>
          <w:tcPr>
            <w:tcW w:w="252" w:type="dxa"/>
            <w:gridSpan w:val="2"/>
          </w:tcPr>
          <w:p w14:paraId="29255603" w14:textId="77777777" w:rsidR="000C465B" w:rsidRPr="000C465B" w:rsidDel="00D327BA" w:rsidRDefault="000C465B" w:rsidP="000C465B">
            <w:pPr>
              <w:spacing w:after="0"/>
              <w:jc w:val="left"/>
              <w:rPr>
                <w:noProof/>
              </w:rPr>
            </w:pPr>
          </w:p>
        </w:tc>
        <w:tc>
          <w:tcPr>
            <w:tcW w:w="1621" w:type="dxa"/>
          </w:tcPr>
          <w:p w14:paraId="18617820" w14:textId="77777777" w:rsidR="000C465B" w:rsidRPr="000C465B" w:rsidDel="00D327BA" w:rsidRDefault="000C465B" w:rsidP="000C465B">
            <w:pPr>
              <w:spacing w:after="0"/>
              <w:jc w:val="left"/>
              <w:rPr>
                <w:noProof/>
              </w:rPr>
            </w:pPr>
          </w:p>
        </w:tc>
      </w:tr>
      <w:tr w:rsidR="000C465B" w:rsidRPr="000C465B" w14:paraId="7D26F2F0" w14:textId="77777777" w:rsidTr="005F0F3E">
        <w:tc>
          <w:tcPr>
            <w:tcW w:w="2070" w:type="dxa"/>
          </w:tcPr>
          <w:p w14:paraId="2C848530" w14:textId="77777777" w:rsidR="000C465B" w:rsidRPr="000C465B" w:rsidRDefault="000C465B" w:rsidP="000C465B">
            <w:pPr>
              <w:spacing w:after="0"/>
              <w:jc w:val="left"/>
              <w:rPr>
                <w:noProof/>
              </w:rPr>
            </w:pPr>
          </w:p>
        </w:tc>
        <w:tc>
          <w:tcPr>
            <w:tcW w:w="5433" w:type="dxa"/>
          </w:tcPr>
          <w:p w14:paraId="72F63F80" w14:textId="77777777" w:rsidR="000C465B" w:rsidRPr="000C465B" w:rsidDel="00D327BA" w:rsidRDefault="000C465B" w:rsidP="000C465B">
            <w:pPr>
              <w:spacing w:after="0"/>
              <w:jc w:val="left"/>
              <w:rPr>
                <w:noProof/>
              </w:rPr>
            </w:pPr>
          </w:p>
        </w:tc>
        <w:tc>
          <w:tcPr>
            <w:tcW w:w="252" w:type="dxa"/>
            <w:gridSpan w:val="2"/>
          </w:tcPr>
          <w:p w14:paraId="6BEF1320" w14:textId="77777777" w:rsidR="000C465B" w:rsidRPr="000C465B" w:rsidDel="00D327BA" w:rsidRDefault="000C465B" w:rsidP="000C465B">
            <w:pPr>
              <w:spacing w:after="0"/>
              <w:jc w:val="center"/>
              <w:rPr>
                <w:noProof/>
              </w:rPr>
            </w:pPr>
          </w:p>
        </w:tc>
        <w:tc>
          <w:tcPr>
            <w:tcW w:w="1621" w:type="dxa"/>
          </w:tcPr>
          <w:p w14:paraId="4DBD95C1" w14:textId="77777777" w:rsidR="000C465B" w:rsidRPr="000C465B" w:rsidRDefault="000C465B" w:rsidP="000C465B">
            <w:pPr>
              <w:spacing w:after="0"/>
              <w:jc w:val="center"/>
              <w:rPr>
                <w:noProof/>
              </w:rPr>
            </w:pPr>
          </w:p>
        </w:tc>
      </w:tr>
      <w:tr w:rsidR="000C465B" w:rsidRPr="000C465B" w14:paraId="00556656" w14:textId="77777777" w:rsidTr="005F0F3E">
        <w:tc>
          <w:tcPr>
            <w:tcW w:w="2070" w:type="dxa"/>
          </w:tcPr>
          <w:p w14:paraId="5A42DB9E" w14:textId="77777777" w:rsidR="000C465B" w:rsidRPr="000C465B" w:rsidRDefault="000C465B" w:rsidP="000C465B">
            <w:pPr>
              <w:spacing w:after="0"/>
              <w:jc w:val="center"/>
            </w:pPr>
          </w:p>
        </w:tc>
        <w:tc>
          <w:tcPr>
            <w:tcW w:w="5433" w:type="dxa"/>
          </w:tcPr>
          <w:p w14:paraId="51F0351B" w14:textId="77777777" w:rsidR="000C465B" w:rsidRPr="000C465B" w:rsidRDefault="000C465B" w:rsidP="000C465B">
            <w:pPr>
              <w:spacing w:after="0"/>
              <w:jc w:val="center"/>
            </w:pPr>
          </w:p>
        </w:tc>
        <w:tc>
          <w:tcPr>
            <w:tcW w:w="236" w:type="dxa"/>
          </w:tcPr>
          <w:p w14:paraId="07323E8E" w14:textId="77777777" w:rsidR="000C465B" w:rsidRPr="000C465B" w:rsidRDefault="000C465B" w:rsidP="000C465B">
            <w:pPr>
              <w:spacing w:after="0"/>
              <w:jc w:val="center"/>
              <w:rPr>
                <w:noProof/>
              </w:rPr>
            </w:pPr>
          </w:p>
        </w:tc>
        <w:tc>
          <w:tcPr>
            <w:tcW w:w="1637" w:type="dxa"/>
            <w:gridSpan w:val="2"/>
          </w:tcPr>
          <w:p w14:paraId="2D9676B9" w14:textId="77777777" w:rsidR="000C465B" w:rsidRPr="000C465B" w:rsidRDefault="000C465B" w:rsidP="000C465B">
            <w:pPr>
              <w:spacing w:after="0"/>
              <w:jc w:val="center"/>
              <w:rPr>
                <w:noProof/>
              </w:rPr>
            </w:pPr>
          </w:p>
        </w:tc>
      </w:tr>
    </w:tbl>
    <w:p w14:paraId="67439D86" w14:textId="77777777" w:rsidR="000C465B" w:rsidRPr="000C465B" w:rsidRDefault="000C465B" w:rsidP="000C465B">
      <w:pPr>
        <w:spacing w:after="200" w:line="276" w:lineRule="auto"/>
        <w:jc w:val="left"/>
        <w:rPr>
          <w:sz w:val="22"/>
        </w:rPr>
      </w:pPr>
    </w:p>
    <w:p w14:paraId="27FF04EF" w14:textId="77777777" w:rsidR="000C465B" w:rsidRPr="000C465B" w:rsidRDefault="000C465B" w:rsidP="000C465B">
      <w:pPr>
        <w:spacing w:after="200" w:line="276" w:lineRule="auto"/>
        <w:jc w:val="left"/>
        <w:rPr>
          <w:sz w:val="22"/>
        </w:rPr>
      </w:pPr>
    </w:p>
    <w:p w14:paraId="7D6D1239" w14:textId="77777777" w:rsidR="000C465B" w:rsidRPr="000C465B" w:rsidRDefault="000C465B" w:rsidP="000C465B">
      <w:pPr>
        <w:spacing w:after="200" w:line="276" w:lineRule="auto"/>
        <w:jc w:val="left"/>
        <w:rPr>
          <w:sz w:val="22"/>
        </w:rPr>
      </w:pPr>
    </w:p>
    <w:p w14:paraId="5C6106E5" w14:textId="77777777" w:rsidR="000C465B" w:rsidRPr="000C465B" w:rsidRDefault="000C465B" w:rsidP="000C465B">
      <w:pPr>
        <w:spacing w:after="200" w:line="276" w:lineRule="auto"/>
        <w:jc w:val="left"/>
        <w:rPr>
          <w:sz w:val="22"/>
        </w:rPr>
      </w:pPr>
      <w:r w:rsidRPr="000C465B">
        <w:rPr>
          <w:noProof/>
          <w:sz w:val="22"/>
        </w:rPr>
        <mc:AlternateContent>
          <mc:Choice Requires="wps">
            <w:drawing>
              <wp:anchor distT="0" distB="0" distL="114300" distR="114300" simplePos="0" relativeHeight="251729920" behindDoc="0" locked="0" layoutInCell="1" allowOverlap="1" wp14:anchorId="26438B25" wp14:editId="083DC9D6">
                <wp:simplePos x="0" y="0"/>
                <wp:positionH relativeFrom="column">
                  <wp:posOffset>4724400</wp:posOffset>
                </wp:positionH>
                <wp:positionV relativeFrom="paragraph">
                  <wp:posOffset>237490</wp:posOffset>
                </wp:positionV>
                <wp:extent cx="1533525" cy="3108325"/>
                <wp:effectExtent l="0" t="0" r="9525" b="0"/>
                <wp:wrapNone/>
                <wp:docPr id="775914845" name="Text Box 74"/>
                <wp:cNvGraphicFramePr/>
                <a:graphic xmlns:a="http://schemas.openxmlformats.org/drawingml/2006/main">
                  <a:graphicData uri="http://schemas.microsoft.com/office/word/2010/wordprocessingShape">
                    <wps:wsp>
                      <wps:cNvSpPr txBox="1"/>
                      <wps:spPr>
                        <a:xfrm>
                          <a:off x="0" y="0"/>
                          <a:ext cx="1533525" cy="3108325"/>
                        </a:xfrm>
                        <a:prstGeom prst="rect">
                          <a:avLst/>
                        </a:prstGeom>
                        <a:solidFill>
                          <a:sysClr val="window" lastClr="FFFFFF"/>
                        </a:solidFill>
                        <a:ln w="6350">
                          <a:noFill/>
                        </a:ln>
                      </wps:spPr>
                      <wps:txbx>
                        <w:txbxContent>
                          <w:p w14:paraId="6F7378B1" w14:textId="77777777" w:rsidR="000C465B" w:rsidRDefault="000C465B" w:rsidP="001F7B3F">
                            <w:pPr>
                              <w:jc w:val="left"/>
                            </w:pPr>
                            <w:r>
                              <w:t>This example</w:t>
                            </w:r>
                            <w:r w:rsidRPr="005E7EEF">
                              <w:t xml:space="preserve"> illustrate</w:t>
                            </w:r>
                            <w:r>
                              <w:t>s</w:t>
                            </w:r>
                            <w:r w:rsidRPr="005E7EEF">
                              <w:t xml:space="preserve"> the inclusion of </w:t>
                            </w:r>
                            <w:r>
                              <w:t xml:space="preserve">a DUE (28 DOSES) in the lower 30% of the PDP which </w:t>
                            </w:r>
                            <w:r w:rsidRPr="00C24F25">
                              <w:rPr>
                                <w:spacing w:val="10"/>
                              </w:rPr>
                              <w:t>provides information</w:t>
                            </w:r>
                            <w:r>
                              <w:t xml:space="preserve"> concerning how many </w:t>
                            </w:r>
                            <w:r w:rsidRPr="00C24F25">
                              <w:rPr>
                                <w:spacing w:val="14"/>
                              </w:rPr>
                              <w:t>derived units the</w:t>
                            </w:r>
                            <w:r w:rsidRPr="00C24F25">
                              <w:rPr>
                                <w:spacing w:val="10"/>
                              </w:rPr>
                              <w:t xml:space="preserve"> package contents can</w:t>
                            </w:r>
                            <w:r>
                              <w:t xml:space="preserve"> make per the package instruction.  The DUE is accurate</w:t>
                            </w:r>
                            <w:r w:rsidRPr="00C24F25">
                              <w:rPr>
                                <w:color w:val="8C3FC5"/>
                              </w:rPr>
                              <w:t xml:space="preserve">, </w:t>
                            </w:r>
                            <w:r w:rsidRPr="00A90DD4">
                              <w:t>verifiable</w:t>
                            </w:r>
                            <w:r>
                              <w:t xml:space="preserve"> and </w:t>
                            </w:r>
                            <w:r w:rsidRPr="00C24F25">
                              <w:rPr>
                                <w:spacing w:val="14"/>
                              </w:rPr>
                              <w:t>separate from the</w:t>
                            </w:r>
                            <w:r>
                              <w:t xml:space="preserve"> DoNQ. </w:t>
                            </w:r>
                          </w:p>
                          <w:p w14:paraId="3BEA1463"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38B25" id="Text Box 74" o:spid="_x0000_s1056" type="#_x0000_t202" style="position:absolute;margin-left:372pt;margin-top:18.7pt;width:120.75pt;height:244.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" fillcolor="window" stroked="f" strokeweight=".5pt">
                <v:textbox>
                  <w:txbxContent>
                    <w:p w14:paraId="6F7378B1" w14:textId="77777777" w:rsidR="000C465B" w:rsidRDefault="000C465B" w:rsidP="001F7B3F">
                      <w:pPr>
                        <w:jc w:val="left"/>
                      </w:pPr>
                      <w:r>
                        <w:t>This example</w:t>
                      </w:r>
                      <w:r w:rsidRPr="005E7EEF">
                        <w:t xml:space="preserve"> illustrate</w:t>
                      </w:r>
                      <w:r>
                        <w:t>s</w:t>
                      </w:r>
                      <w:r w:rsidRPr="005E7EEF">
                        <w:t xml:space="preserve"> the inclusion of </w:t>
                      </w:r>
                      <w:r>
                        <w:t xml:space="preserve">a DUE (28 DOSES) in the lower 30% of the PDP which </w:t>
                      </w:r>
                      <w:r w:rsidRPr="00C24F25">
                        <w:rPr>
                          <w:spacing w:val="10"/>
                        </w:rPr>
                        <w:t>provides information</w:t>
                      </w:r>
                      <w:r>
                        <w:t xml:space="preserve"> concerning how many </w:t>
                      </w:r>
                      <w:r w:rsidRPr="00C24F25">
                        <w:rPr>
                          <w:spacing w:val="14"/>
                        </w:rPr>
                        <w:t>derived units the</w:t>
                      </w:r>
                      <w:r w:rsidRPr="00C24F25">
                        <w:rPr>
                          <w:spacing w:val="10"/>
                        </w:rPr>
                        <w:t xml:space="preserve"> package contents can</w:t>
                      </w:r>
                      <w:r>
                        <w:t xml:space="preserve"> make per the package instruction.  The DUE is accurate</w:t>
                      </w:r>
                      <w:r w:rsidRPr="00C24F25">
                        <w:rPr>
                          <w:color w:val="8C3FC5"/>
                        </w:rPr>
                        <w:t xml:space="preserve">, </w:t>
                      </w:r>
                      <w:r w:rsidRPr="00A90DD4">
                        <w:t>verifiable</w:t>
                      </w:r>
                      <w:r>
                        <w:t xml:space="preserve"> and </w:t>
                      </w:r>
                      <w:r w:rsidRPr="00C24F25">
                        <w:rPr>
                          <w:spacing w:val="14"/>
                        </w:rPr>
                        <w:t>separate from the</w:t>
                      </w:r>
                      <w:r>
                        <w:t xml:space="preserve"> DoNQ. </w:t>
                      </w:r>
                    </w:p>
                    <w:p w14:paraId="3BEA1463" w14:textId="77777777" w:rsidR="000C465B" w:rsidRDefault="000C465B" w:rsidP="000C465B"/>
                  </w:txbxContent>
                </v:textbox>
              </v:shape>
            </w:pict>
          </mc:Fallback>
        </mc:AlternateContent>
      </w:r>
      <w:r w:rsidRPr="000C465B">
        <w:rPr>
          <w:sz w:val="22"/>
        </w:rPr>
        <w:t xml:space="preserve"> </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465B" w:rsidRPr="000C465B" w14:paraId="3BB5163C" w14:textId="77777777" w:rsidTr="005F0F3E">
        <w:tc>
          <w:tcPr>
            <w:tcW w:w="4675" w:type="dxa"/>
          </w:tcPr>
          <w:p w14:paraId="11527881" w14:textId="77777777" w:rsidR="000C465B" w:rsidRPr="000C465B" w:rsidRDefault="000C465B" w:rsidP="000C465B">
            <w:pPr>
              <w:spacing w:after="0"/>
              <w:jc w:val="center"/>
            </w:pPr>
          </w:p>
        </w:tc>
        <w:tc>
          <w:tcPr>
            <w:tcW w:w="4675" w:type="dxa"/>
          </w:tcPr>
          <w:p w14:paraId="23E5A343" w14:textId="77777777" w:rsidR="000C465B" w:rsidRPr="000C465B" w:rsidRDefault="000C465B" w:rsidP="000C465B">
            <w:pPr>
              <w:spacing w:after="0"/>
              <w:jc w:val="center"/>
            </w:pPr>
          </w:p>
        </w:tc>
      </w:tr>
      <w:tr w:rsidR="000C465B" w:rsidRPr="000C465B" w14:paraId="3330061E" w14:textId="77777777" w:rsidTr="005F0F3E">
        <w:tc>
          <w:tcPr>
            <w:tcW w:w="4675" w:type="dxa"/>
          </w:tcPr>
          <w:p w14:paraId="2D22CDEB" w14:textId="77777777" w:rsidR="000C465B" w:rsidRPr="000C465B" w:rsidRDefault="000C465B" w:rsidP="000C465B">
            <w:pPr>
              <w:spacing w:after="0"/>
              <w:jc w:val="center"/>
            </w:pPr>
          </w:p>
        </w:tc>
        <w:tc>
          <w:tcPr>
            <w:tcW w:w="4675" w:type="dxa"/>
          </w:tcPr>
          <w:p w14:paraId="2B428D35" w14:textId="77777777" w:rsidR="000C465B" w:rsidRPr="000C465B" w:rsidRDefault="000C465B" w:rsidP="000C465B">
            <w:pPr>
              <w:spacing w:after="0"/>
              <w:jc w:val="center"/>
            </w:pPr>
          </w:p>
        </w:tc>
      </w:tr>
      <w:tr w:rsidR="000C465B" w:rsidRPr="000C465B" w14:paraId="3224858B" w14:textId="77777777" w:rsidTr="005F0F3E">
        <w:tc>
          <w:tcPr>
            <w:tcW w:w="4675" w:type="dxa"/>
          </w:tcPr>
          <w:p w14:paraId="54677AE6" w14:textId="77777777" w:rsidR="000C465B" w:rsidRPr="000C465B" w:rsidRDefault="000C465B" w:rsidP="000C465B">
            <w:pPr>
              <w:spacing w:after="0"/>
              <w:jc w:val="center"/>
              <w:rPr>
                <w:noProof/>
              </w:rPr>
            </w:pPr>
          </w:p>
        </w:tc>
        <w:tc>
          <w:tcPr>
            <w:tcW w:w="4675" w:type="dxa"/>
          </w:tcPr>
          <w:p w14:paraId="20E2A6C5" w14:textId="77777777" w:rsidR="000C465B" w:rsidRPr="000C465B" w:rsidRDefault="000C465B" w:rsidP="000C465B">
            <w:pPr>
              <w:spacing w:after="0"/>
              <w:jc w:val="center"/>
              <w:rPr>
                <w:noProof/>
              </w:rPr>
            </w:pPr>
          </w:p>
        </w:tc>
      </w:tr>
      <w:tr w:rsidR="000C465B" w:rsidRPr="000C465B" w14:paraId="6A7F32C2" w14:textId="77777777" w:rsidTr="005F0F3E">
        <w:tc>
          <w:tcPr>
            <w:tcW w:w="4675" w:type="dxa"/>
          </w:tcPr>
          <w:p w14:paraId="3E240541" w14:textId="77777777" w:rsidR="000C465B" w:rsidRPr="000C465B" w:rsidRDefault="000C465B" w:rsidP="000C465B">
            <w:pPr>
              <w:spacing w:after="0"/>
              <w:jc w:val="center"/>
              <w:rPr>
                <w:noProof/>
              </w:rPr>
            </w:pPr>
          </w:p>
        </w:tc>
        <w:tc>
          <w:tcPr>
            <w:tcW w:w="4675" w:type="dxa"/>
          </w:tcPr>
          <w:p w14:paraId="06EA6DB3" w14:textId="77777777" w:rsidR="000C465B" w:rsidRPr="000C465B" w:rsidRDefault="000C465B" w:rsidP="000C465B">
            <w:pPr>
              <w:spacing w:after="0"/>
              <w:jc w:val="center"/>
              <w:rPr>
                <w:noProof/>
              </w:rPr>
            </w:pPr>
          </w:p>
        </w:tc>
      </w:tr>
      <w:tr w:rsidR="000C465B" w:rsidRPr="000C465B" w14:paraId="0E35253C" w14:textId="77777777" w:rsidTr="005F0F3E">
        <w:tc>
          <w:tcPr>
            <w:tcW w:w="4675" w:type="dxa"/>
          </w:tcPr>
          <w:p w14:paraId="2CCB284D" w14:textId="77777777" w:rsidR="000C465B" w:rsidRPr="000C465B" w:rsidRDefault="000C465B" w:rsidP="000C465B">
            <w:pPr>
              <w:spacing w:after="0"/>
              <w:jc w:val="center"/>
              <w:rPr>
                <w:noProof/>
              </w:rPr>
            </w:pPr>
          </w:p>
        </w:tc>
        <w:tc>
          <w:tcPr>
            <w:tcW w:w="4675" w:type="dxa"/>
          </w:tcPr>
          <w:p w14:paraId="08D5D410" w14:textId="77777777" w:rsidR="000C465B" w:rsidRPr="000C465B" w:rsidRDefault="000C465B" w:rsidP="000C465B">
            <w:pPr>
              <w:spacing w:after="0"/>
              <w:jc w:val="center"/>
              <w:rPr>
                <w:noProof/>
              </w:rPr>
            </w:pPr>
          </w:p>
        </w:tc>
      </w:tr>
    </w:tbl>
    <w:p w14:paraId="27E223D9" w14:textId="77777777" w:rsidR="000C465B" w:rsidRPr="000C465B" w:rsidRDefault="000C465B" w:rsidP="000C465B">
      <w:pPr>
        <w:spacing w:after="200" w:line="276" w:lineRule="auto"/>
        <w:jc w:val="left"/>
        <w:rPr>
          <w:sz w:val="22"/>
        </w:rPr>
      </w:pPr>
      <w:r w:rsidRPr="000C465B">
        <w:rPr>
          <w:noProof/>
          <w:sz w:val="22"/>
        </w:rPr>
        <mc:AlternateContent>
          <mc:Choice Requires="wps">
            <w:drawing>
              <wp:anchor distT="0" distB="0" distL="114300" distR="114300" simplePos="0" relativeHeight="251728896" behindDoc="0" locked="0" layoutInCell="1" allowOverlap="1" wp14:anchorId="4574BD7B" wp14:editId="676871D1">
                <wp:simplePos x="0" y="0"/>
                <wp:positionH relativeFrom="column">
                  <wp:posOffset>-104775</wp:posOffset>
                </wp:positionH>
                <wp:positionV relativeFrom="paragraph">
                  <wp:posOffset>104140</wp:posOffset>
                </wp:positionV>
                <wp:extent cx="4743450" cy="1209675"/>
                <wp:effectExtent l="0" t="0" r="0" b="9525"/>
                <wp:wrapNone/>
                <wp:docPr id="90944997" name="Text Box 73"/>
                <wp:cNvGraphicFramePr/>
                <a:graphic xmlns:a="http://schemas.openxmlformats.org/drawingml/2006/main">
                  <a:graphicData uri="http://schemas.microsoft.com/office/word/2010/wordprocessingShape">
                    <wps:wsp>
                      <wps:cNvSpPr txBox="1"/>
                      <wps:spPr>
                        <a:xfrm>
                          <a:off x="0" y="0"/>
                          <a:ext cx="4743450" cy="1209675"/>
                        </a:xfrm>
                        <a:prstGeom prst="rect">
                          <a:avLst/>
                        </a:prstGeom>
                        <a:solidFill>
                          <a:sysClr val="window" lastClr="FFFFFF"/>
                        </a:solidFill>
                        <a:ln w="6350">
                          <a:noFill/>
                        </a:ln>
                      </wps:spPr>
                      <wps:txbx>
                        <w:txbxContent>
                          <w:p w14:paraId="5948E5EB" w14:textId="77777777" w:rsidR="000C465B" w:rsidRPr="00A90DD4" w:rsidRDefault="000C465B" w:rsidP="000C465B">
                            <w:pPr>
                              <w:spacing w:after="120"/>
                            </w:pPr>
                            <w:r w:rsidRPr="00A90DD4">
                              <w:t xml:space="preserve">This example includes the PDP and a statement from elsewhere on the package label. In this case, the PDP shows the inclusion of a DUE (20 LOADS) in the upper 70% of the PDP which provides information concerning how many derived units (LOADS) the package contents can deliver. The PDP of this package adheres to the principles for DUEs contained in this Document. </w:t>
                            </w:r>
                          </w:p>
                          <w:p w14:paraId="668B8A33" w14:textId="233BB31F" w:rsidR="000C465B" w:rsidRPr="001F7B3F" w:rsidRDefault="000C465B" w:rsidP="000C465B">
                            <w:pPr>
                              <w:rPr>
                                <w:spacing w:val="-4"/>
                              </w:rPr>
                            </w:pPr>
                            <w:r w:rsidRPr="00A90DD4">
                              <w:t xml:space="preserve">One requirement for DUEs is that there must be a derived unit definition (which </w:t>
                            </w:r>
                            <w:r w:rsidRPr="00C24F25">
                              <w:rPr>
                                <w:spacing w:val="-4"/>
                              </w:rPr>
                              <w:t>is clear and verifiable) someplace else on the package labeling. See examples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BD7B" id="Text Box 73" o:spid="_x0000_s1057" type="#_x0000_t202" style="position:absolute;margin-left:-8.25pt;margin-top:8.2pt;width:373.5pt;height:9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" fillcolor="window" stroked="f" strokeweight=".5pt">
                <v:textbox>
                  <w:txbxContent>
                    <w:p w14:paraId="5948E5EB" w14:textId="77777777" w:rsidR="000C465B" w:rsidRPr="00A90DD4" w:rsidRDefault="000C465B" w:rsidP="000C465B">
                      <w:pPr>
                        <w:spacing w:after="120"/>
                      </w:pPr>
                      <w:r w:rsidRPr="00A90DD4">
                        <w:t xml:space="preserve">This example includes the PDP and a statement from elsewhere on the package label. In this case, the PDP shows the inclusion of a DUE (20 LOADS) in the upper 70% of the PDP which provides information concerning how many derived units (LOADS) the package contents can deliver. The PDP of this package adheres to the principles for DUEs contained in this Document. </w:t>
                      </w:r>
                    </w:p>
                    <w:p w14:paraId="668B8A33" w14:textId="233BB31F" w:rsidR="000C465B" w:rsidRPr="001F7B3F" w:rsidRDefault="000C465B" w:rsidP="000C465B">
                      <w:pPr>
                        <w:rPr>
                          <w:spacing w:val="-4"/>
                        </w:rPr>
                      </w:pPr>
                      <w:r w:rsidRPr="00A90DD4">
                        <w:t xml:space="preserve">One requirement for DUEs is that there must be a derived unit definition (which </w:t>
                      </w:r>
                      <w:r w:rsidRPr="00C24F25">
                        <w:rPr>
                          <w:spacing w:val="-4"/>
                        </w:rPr>
                        <w:t>is clear and verifiable) someplace else on the package labeling. See examples below.</w:t>
                      </w:r>
                    </w:p>
                  </w:txbxContent>
                </v:textbox>
              </v:shape>
            </w:pict>
          </mc:Fallback>
        </mc:AlternateContent>
      </w:r>
    </w:p>
    <w:p w14:paraId="29860663" w14:textId="77777777" w:rsidR="000C465B" w:rsidRPr="000C465B" w:rsidRDefault="000C465B" w:rsidP="000C465B">
      <w:pPr>
        <w:spacing w:after="0"/>
        <w:ind w:left="720"/>
        <w:contextualSpacing/>
        <w:jc w:val="left"/>
        <w:rPr>
          <w:rFonts w:eastAsia="Times New Roman"/>
          <w:sz w:val="24"/>
          <w:szCs w:val="24"/>
        </w:rPr>
      </w:pPr>
    </w:p>
    <w:p w14:paraId="15AFD38B" w14:textId="77777777" w:rsidR="000C465B" w:rsidRPr="000C465B" w:rsidRDefault="000C465B" w:rsidP="000C465B">
      <w:pPr>
        <w:spacing w:after="0"/>
        <w:ind w:left="720"/>
        <w:contextualSpacing/>
        <w:jc w:val="left"/>
        <w:rPr>
          <w:rFonts w:eastAsia="Times New Roman"/>
          <w:sz w:val="24"/>
          <w:szCs w:val="24"/>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465B" w:rsidRPr="000C465B" w14:paraId="5CD894D8" w14:textId="77777777" w:rsidTr="005F0F3E">
        <w:tc>
          <w:tcPr>
            <w:tcW w:w="4675" w:type="dxa"/>
          </w:tcPr>
          <w:p w14:paraId="15532B3A" w14:textId="77777777" w:rsidR="000C465B" w:rsidRPr="000C465B" w:rsidRDefault="000C465B" w:rsidP="000C465B">
            <w:pPr>
              <w:spacing w:after="0"/>
              <w:jc w:val="center"/>
              <w:rPr>
                <w:b/>
                <w:bCs/>
              </w:rPr>
            </w:pPr>
          </w:p>
        </w:tc>
        <w:tc>
          <w:tcPr>
            <w:tcW w:w="4675" w:type="dxa"/>
          </w:tcPr>
          <w:p w14:paraId="32AE1E99" w14:textId="77777777" w:rsidR="000C465B" w:rsidRPr="000C465B" w:rsidRDefault="000C465B" w:rsidP="000C465B">
            <w:pPr>
              <w:spacing w:after="0"/>
              <w:jc w:val="center"/>
              <w:rPr>
                <w:b/>
                <w:bCs/>
              </w:rPr>
            </w:pPr>
          </w:p>
        </w:tc>
      </w:tr>
      <w:tr w:rsidR="000C465B" w:rsidRPr="000C465B" w14:paraId="34223C47" w14:textId="77777777" w:rsidTr="005F0F3E">
        <w:tc>
          <w:tcPr>
            <w:tcW w:w="4675" w:type="dxa"/>
          </w:tcPr>
          <w:p w14:paraId="7BD30452" w14:textId="77777777" w:rsidR="000C465B" w:rsidRPr="000C465B" w:rsidRDefault="000C465B" w:rsidP="000C465B">
            <w:pPr>
              <w:spacing w:after="0"/>
              <w:jc w:val="center"/>
              <w:rPr>
                <w:b/>
                <w:bCs/>
              </w:rPr>
            </w:pPr>
          </w:p>
        </w:tc>
        <w:tc>
          <w:tcPr>
            <w:tcW w:w="4675" w:type="dxa"/>
          </w:tcPr>
          <w:p w14:paraId="6959C688" w14:textId="77777777" w:rsidR="000C465B" w:rsidRPr="000C465B" w:rsidRDefault="000C465B" w:rsidP="000C465B">
            <w:pPr>
              <w:spacing w:after="0"/>
              <w:jc w:val="left"/>
              <w:rPr>
                <w:b/>
                <w:bCs/>
              </w:rPr>
            </w:pPr>
          </w:p>
        </w:tc>
      </w:tr>
    </w:tbl>
    <w:p w14:paraId="206F46B6" w14:textId="77777777" w:rsidR="000C465B" w:rsidRPr="000C465B" w:rsidRDefault="000C465B" w:rsidP="000C465B">
      <w:pPr>
        <w:spacing w:after="200" w:line="276" w:lineRule="auto"/>
        <w:jc w:val="left"/>
        <w:rPr>
          <w:b/>
          <w:bCs/>
          <w:sz w:val="22"/>
        </w:rPr>
      </w:pPr>
    </w:p>
    <w:p w14:paraId="67F88291" w14:textId="3E63379A" w:rsidR="000C465B" w:rsidRPr="000C465B" w:rsidRDefault="001F7B3F" w:rsidP="000C465B">
      <w:pPr>
        <w:spacing w:after="200" w:line="276" w:lineRule="auto"/>
        <w:jc w:val="left"/>
        <w:rPr>
          <w:noProof/>
          <w:sz w:val="22"/>
        </w:rPr>
      </w:pPr>
      <w:r w:rsidRPr="000C465B">
        <w:rPr>
          <w:noProof/>
          <w:sz w:val="22"/>
        </w:rPr>
        <mc:AlternateContent>
          <mc:Choice Requires="wps">
            <w:drawing>
              <wp:anchor distT="0" distB="0" distL="114300" distR="114300" simplePos="0" relativeHeight="251730944" behindDoc="0" locked="0" layoutInCell="1" allowOverlap="1" wp14:anchorId="0E3AE9B1" wp14:editId="5388831F">
                <wp:simplePos x="0" y="0"/>
                <wp:positionH relativeFrom="column">
                  <wp:posOffset>2381250</wp:posOffset>
                </wp:positionH>
                <wp:positionV relativeFrom="paragraph">
                  <wp:posOffset>47625</wp:posOffset>
                </wp:positionV>
                <wp:extent cx="2286000" cy="714375"/>
                <wp:effectExtent l="0" t="0" r="0" b="0"/>
                <wp:wrapNone/>
                <wp:docPr id="1923930839" name="Text Box 74"/>
                <wp:cNvGraphicFramePr/>
                <a:graphic xmlns:a="http://schemas.openxmlformats.org/drawingml/2006/main">
                  <a:graphicData uri="http://schemas.microsoft.com/office/word/2010/wordprocessingShape">
                    <wps:wsp>
                      <wps:cNvSpPr txBox="1"/>
                      <wps:spPr>
                        <a:xfrm>
                          <a:off x="0" y="0"/>
                          <a:ext cx="2286000" cy="714375"/>
                        </a:xfrm>
                        <a:prstGeom prst="rect">
                          <a:avLst/>
                        </a:prstGeom>
                        <a:noFill/>
                        <a:ln w="6350">
                          <a:noFill/>
                        </a:ln>
                      </wps:spPr>
                      <wps:txbx>
                        <w:txbxContent>
                          <w:p w14:paraId="4068BACF" w14:textId="77777777" w:rsidR="000C465B" w:rsidRPr="00517244" w:rsidRDefault="000C465B" w:rsidP="000C465B">
                            <w:pPr>
                              <w:spacing w:after="0"/>
                              <w:rPr>
                                <w:b/>
                                <w:color w:val="EE0000"/>
                                <w:sz w:val="36"/>
                                <w:szCs w:val="36"/>
                              </w:rPr>
                            </w:pPr>
                            <w:r w:rsidRPr="00517244">
                              <w:rPr>
                                <w:b/>
                                <w:color w:val="EE0000"/>
                                <w:sz w:val="36"/>
                                <w:szCs w:val="36"/>
                              </w:rPr>
                              <w:t>PROBLEMATIC</w:t>
                            </w:r>
                          </w:p>
                          <w:p w14:paraId="0CD36D72" w14:textId="77777777" w:rsidR="000C465B" w:rsidRPr="00A90DD4" w:rsidRDefault="000C465B" w:rsidP="000C465B">
                            <w:pPr>
                              <w:spacing w:after="0"/>
                            </w:pPr>
                            <w:r w:rsidRPr="00A90DD4">
                              <w:t xml:space="preserve">In this example, the derived unit is </w:t>
                            </w:r>
                            <w:r w:rsidRPr="00C24F25">
                              <w:rPr>
                                <w:spacing w:val="14"/>
                              </w:rPr>
                              <w:t>not clearly defined and is not</w:t>
                            </w:r>
                            <w:r w:rsidRPr="00A90DD4">
                              <w:t xml:space="preserve"> verifiable.</w:t>
                            </w:r>
                          </w:p>
                          <w:p w14:paraId="261A6484"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E9B1" id="_x0000_s1058" type="#_x0000_t202" style="position:absolute;margin-left:187.5pt;margin-top:3.75pt;width:180pt;height:5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HvHA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" filled="f" stroked="f" strokeweight=".5pt">
                <v:textbox>
                  <w:txbxContent>
                    <w:p w14:paraId="4068BACF" w14:textId="77777777" w:rsidR="000C465B" w:rsidRPr="00517244" w:rsidRDefault="000C465B" w:rsidP="000C465B">
                      <w:pPr>
                        <w:spacing w:after="0"/>
                        <w:rPr>
                          <w:b/>
                          <w:color w:val="EE0000"/>
                          <w:sz w:val="36"/>
                          <w:szCs w:val="36"/>
                        </w:rPr>
                      </w:pPr>
                      <w:r w:rsidRPr="00517244">
                        <w:rPr>
                          <w:b/>
                          <w:color w:val="EE0000"/>
                          <w:sz w:val="36"/>
                          <w:szCs w:val="36"/>
                        </w:rPr>
                        <w:t>PROBLEMATIC</w:t>
                      </w:r>
                    </w:p>
                    <w:p w14:paraId="0CD36D72" w14:textId="77777777" w:rsidR="000C465B" w:rsidRPr="00A90DD4" w:rsidRDefault="000C465B" w:rsidP="000C465B">
                      <w:pPr>
                        <w:spacing w:after="0"/>
                      </w:pPr>
                      <w:r w:rsidRPr="00A90DD4">
                        <w:t xml:space="preserve">In this example, the derived unit is </w:t>
                      </w:r>
                      <w:r w:rsidRPr="00C24F25">
                        <w:rPr>
                          <w:spacing w:val="14"/>
                        </w:rPr>
                        <w:t>not clearly defined and is not</w:t>
                      </w:r>
                      <w:r w:rsidRPr="00A90DD4">
                        <w:t xml:space="preserve"> verifiable.</w:t>
                      </w:r>
                    </w:p>
                    <w:p w14:paraId="261A6484" w14:textId="77777777" w:rsidR="000C465B" w:rsidRDefault="000C465B" w:rsidP="000C465B"/>
                  </w:txbxContent>
                </v:textbox>
              </v:shape>
            </w:pict>
          </mc:Fallback>
        </mc:AlternateContent>
      </w:r>
      <w:r w:rsidR="000C465B" w:rsidRPr="000C465B">
        <w:rPr>
          <w:noProof/>
          <w:sz w:val="22"/>
        </w:rPr>
        <mc:AlternateContent>
          <mc:Choice Requires="wps">
            <w:drawing>
              <wp:anchor distT="0" distB="0" distL="114300" distR="114300" simplePos="0" relativeHeight="251660288" behindDoc="0" locked="0" layoutInCell="1" allowOverlap="1" wp14:anchorId="54D8596E" wp14:editId="1D00844D">
                <wp:simplePos x="0" y="0"/>
                <wp:positionH relativeFrom="column">
                  <wp:posOffset>-47625</wp:posOffset>
                </wp:positionH>
                <wp:positionV relativeFrom="paragraph">
                  <wp:posOffset>47625</wp:posOffset>
                </wp:positionV>
                <wp:extent cx="2286000" cy="1352550"/>
                <wp:effectExtent l="0" t="0" r="0" b="0"/>
                <wp:wrapNone/>
                <wp:docPr id="259137912" name="Text Box 74"/>
                <wp:cNvGraphicFramePr/>
                <a:graphic xmlns:a="http://schemas.openxmlformats.org/drawingml/2006/main">
                  <a:graphicData uri="http://schemas.microsoft.com/office/word/2010/wordprocessingShape">
                    <wps:wsp>
                      <wps:cNvSpPr txBox="1"/>
                      <wps:spPr>
                        <a:xfrm>
                          <a:off x="0" y="0"/>
                          <a:ext cx="2286000" cy="1352550"/>
                        </a:xfrm>
                        <a:prstGeom prst="rect">
                          <a:avLst/>
                        </a:prstGeom>
                        <a:noFill/>
                        <a:ln w="6350">
                          <a:noFill/>
                        </a:ln>
                      </wps:spPr>
                      <wps:txbx>
                        <w:txbxContent>
                          <w:p w14:paraId="7B8C7DFD" w14:textId="77777777" w:rsidR="000C465B" w:rsidRPr="00517244" w:rsidRDefault="000C465B" w:rsidP="000C465B">
                            <w:pPr>
                              <w:spacing w:after="0"/>
                              <w:rPr>
                                <w:b/>
                                <w:color w:val="00B050"/>
                                <w:sz w:val="36"/>
                                <w:szCs w:val="36"/>
                              </w:rPr>
                            </w:pPr>
                            <w:r w:rsidRPr="00517244">
                              <w:rPr>
                                <w:b/>
                                <w:color w:val="00B050"/>
                                <w:sz w:val="36"/>
                                <w:szCs w:val="36"/>
                              </w:rPr>
                              <w:t>PREFERRED</w:t>
                            </w:r>
                          </w:p>
                          <w:p w14:paraId="57CA4C5E" w14:textId="77777777" w:rsidR="000C465B" w:rsidRDefault="000C465B" w:rsidP="000C465B">
                            <w:pPr>
                              <w:spacing w:after="0"/>
                              <w:rPr>
                                <w:spacing w:val="-3"/>
                              </w:rPr>
                            </w:pPr>
                            <w:r w:rsidRPr="00A90DD4">
                              <w:t xml:space="preserve">In this example, the derived unit is </w:t>
                            </w:r>
                            <w:r w:rsidRPr="00C24F25">
                              <w:rPr>
                                <w:spacing w:val="14"/>
                              </w:rPr>
                              <w:t>defined to be 8 fluid ounces of</w:t>
                            </w:r>
                            <w:r w:rsidRPr="00A90DD4">
                              <w:t xml:space="preserve"> </w:t>
                            </w:r>
                            <w:r w:rsidRPr="00C24F25">
                              <w:rPr>
                                <w:spacing w:val="-3"/>
                              </w:rPr>
                              <w:t xml:space="preserve">detergent. This is clear and verifiable. </w:t>
                            </w:r>
                          </w:p>
                          <w:p w14:paraId="06E09CED" w14:textId="77777777" w:rsidR="000C465B" w:rsidRDefault="000C465B" w:rsidP="000C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596E" id="_x0000_s1059" type="#_x0000_t202" style="position:absolute;margin-left:-3.75pt;margin-top:3.75pt;width:180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" filled="f" stroked="f" strokeweight=".5pt">
                <v:textbox>
                  <w:txbxContent>
                    <w:p w14:paraId="7B8C7DFD" w14:textId="77777777" w:rsidR="000C465B" w:rsidRPr="00517244" w:rsidRDefault="000C465B" w:rsidP="000C465B">
                      <w:pPr>
                        <w:spacing w:after="0"/>
                        <w:rPr>
                          <w:b/>
                          <w:color w:val="00B050"/>
                          <w:sz w:val="36"/>
                          <w:szCs w:val="36"/>
                        </w:rPr>
                      </w:pPr>
                      <w:r w:rsidRPr="00517244">
                        <w:rPr>
                          <w:b/>
                          <w:color w:val="00B050"/>
                          <w:sz w:val="36"/>
                          <w:szCs w:val="36"/>
                        </w:rPr>
                        <w:t>PREFERRED</w:t>
                      </w:r>
                    </w:p>
                    <w:p w14:paraId="57CA4C5E" w14:textId="77777777" w:rsidR="000C465B" w:rsidRDefault="000C465B" w:rsidP="000C465B">
                      <w:pPr>
                        <w:spacing w:after="0"/>
                        <w:rPr>
                          <w:spacing w:val="-3"/>
                        </w:rPr>
                      </w:pPr>
                      <w:r w:rsidRPr="00A90DD4">
                        <w:t xml:space="preserve">In this example, the derived unit is </w:t>
                      </w:r>
                      <w:r w:rsidRPr="00C24F25">
                        <w:rPr>
                          <w:spacing w:val="14"/>
                        </w:rPr>
                        <w:t>defined to be 8 fluid ounces of</w:t>
                      </w:r>
                      <w:r w:rsidRPr="00A90DD4">
                        <w:t xml:space="preserve"> </w:t>
                      </w:r>
                      <w:r w:rsidRPr="00C24F25">
                        <w:rPr>
                          <w:spacing w:val="-3"/>
                        </w:rPr>
                        <w:t xml:space="preserve">detergent. This is clear and verifiable. </w:t>
                      </w:r>
                    </w:p>
                    <w:p w14:paraId="06E09CED" w14:textId="77777777" w:rsidR="000C465B" w:rsidRDefault="000C465B" w:rsidP="000C465B"/>
                  </w:txbxContent>
                </v:textbox>
              </v:shape>
            </w:pict>
          </mc:Fallback>
        </mc:AlternateContent>
      </w:r>
      <w:r w:rsidR="000C465B" w:rsidRPr="000C465B">
        <w:rPr>
          <w:noProof/>
          <w:sz w:val="22"/>
        </w:rPr>
        <w:t xml:space="preserve"> </w:t>
      </w:r>
    </w:p>
    <w:p w14:paraId="43B5D555" w14:textId="77777777" w:rsidR="000C465B" w:rsidRPr="000C465B" w:rsidRDefault="000C465B" w:rsidP="000C465B">
      <w:pPr>
        <w:spacing w:after="200" w:line="276" w:lineRule="auto"/>
        <w:jc w:val="left"/>
        <w:rPr>
          <w:noProof/>
          <w:sz w:val="22"/>
        </w:rPr>
      </w:pPr>
    </w:p>
    <w:p w14:paraId="31C603DC" w14:textId="3BE2EDA5" w:rsidR="000C465B" w:rsidRPr="000C465B" w:rsidRDefault="001F7B3F" w:rsidP="000C465B">
      <w:pPr>
        <w:spacing w:after="200" w:line="276" w:lineRule="auto"/>
        <w:jc w:val="left"/>
        <w:rPr>
          <w:noProof/>
          <w:sz w:val="22"/>
        </w:rPr>
      </w:pPr>
      <w:r w:rsidRPr="000C465B">
        <w:rPr>
          <w:noProof/>
          <w:sz w:val="22"/>
        </w:rPr>
        <mc:AlternateContent>
          <mc:Choice Requires="wps">
            <w:drawing>
              <wp:anchor distT="0" distB="0" distL="114300" distR="114300" simplePos="0" relativeHeight="251661312" behindDoc="0" locked="0" layoutInCell="1" allowOverlap="1" wp14:anchorId="2F7C7FAE" wp14:editId="1DDF771F">
                <wp:simplePos x="0" y="0"/>
                <wp:positionH relativeFrom="column">
                  <wp:posOffset>-48260</wp:posOffset>
                </wp:positionH>
                <wp:positionV relativeFrom="paragraph">
                  <wp:posOffset>312420</wp:posOffset>
                </wp:positionV>
                <wp:extent cx="2011045" cy="638175"/>
                <wp:effectExtent l="0" t="0" r="27305" b="28575"/>
                <wp:wrapNone/>
                <wp:docPr id="975718740" name="Rectangle 78"/>
                <wp:cNvGraphicFramePr/>
                <a:graphic xmlns:a="http://schemas.openxmlformats.org/drawingml/2006/main">
                  <a:graphicData uri="http://schemas.microsoft.com/office/word/2010/wordprocessingShape">
                    <wps:wsp>
                      <wps:cNvSpPr/>
                      <wps:spPr>
                        <a:xfrm>
                          <a:off x="0" y="0"/>
                          <a:ext cx="2011045" cy="638175"/>
                        </a:xfrm>
                        <a:prstGeom prst="rect">
                          <a:avLst/>
                        </a:prstGeom>
                        <a:solidFill>
                          <a:srgbClr val="8064A2"/>
                        </a:solidFill>
                        <a:ln w="12700" cap="flat" cmpd="sng" algn="ctr">
                          <a:solidFill>
                            <a:srgbClr val="4F81BD">
                              <a:shade val="15000"/>
                            </a:srgbClr>
                          </a:solidFill>
                          <a:prstDash val="solid"/>
                        </a:ln>
                        <a:effectLst/>
                      </wps:spPr>
                      <wps:txbx>
                        <w:txbxContent>
                          <w:p w14:paraId="20321FBE" w14:textId="77777777" w:rsidR="000C465B" w:rsidRPr="00C24F25" w:rsidRDefault="000C465B" w:rsidP="000C465B">
                            <w:pPr>
                              <w:jc w:val="center"/>
                              <w:rPr>
                                <w:b/>
                                <w:b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7FAE" id="Rectangle 78" o:spid="_x0000_s1060" style="position:absolute;margin-left:-3.8pt;margin-top:24.6pt;width:158.3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" fillcolor="#8064a2" strokecolor="#1c334e" strokeweight="1pt">
                <v:textbox>
                  <w:txbxContent>
                    <w:p w14:paraId="20321FBE" w14:textId="77777777" w:rsidR="000C465B" w:rsidRPr="00C24F25" w:rsidRDefault="000C465B" w:rsidP="000C465B">
                      <w:pPr>
                        <w:jc w:val="center"/>
                        <w:rPr>
                          <w:b/>
                          <w:bCs/>
                          <w:szCs w:val="20"/>
                        </w:rPr>
                      </w:pPr>
                    </w:p>
                  </w:txbxContent>
                </v:textbox>
              </v:rect>
            </w:pict>
          </mc:Fallback>
        </mc:AlternateContent>
      </w:r>
      <w:r w:rsidRPr="000C465B">
        <w:rPr>
          <w:noProof/>
          <w:sz w:val="22"/>
        </w:rPr>
        <mc:AlternateContent>
          <mc:Choice Requires="wps">
            <w:drawing>
              <wp:anchor distT="0" distB="0" distL="114300" distR="114300" simplePos="0" relativeHeight="251735040" behindDoc="0" locked="0" layoutInCell="1" allowOverlap="1" wp14:anchorId="4BD8AD75" wp14:editId="1B589BB2">
                <wp:simplePos x="0" y="0"/>
                <wp:positionH relativeFrom="column">
                  <wp:posOffset>2333625</wp:posOffset>
                </wp:positionH>
                <wp:positionV relativeFrom="paragraph">
                  <wp:posOffset>205105</wp:posOffset>
                </wp:positionV>
                <wp:extent cx="2419350" cy="504825"/>
                <wp:effectExtent l="0" t="0" r="0" b="0"/>
                <wp:wrapNone/>
                <wp:docPr id="1137949961" name="Text Box 79"/>
                <wp:cNvGraphicFramePr/>
                <a:graphic xmlns:a="http://schemas.openxmlformats.org/drawingml/2006/main">
                  <a:graphicData uri="http://schemas.microsoft.com/office/word/2010/wordprocessingShape">
                    <wps:wsp>
                      <wps:cNvSpPr txBox="1"/>
                      <wps:spPr>
                        <a:xfrm>
                          <a:off x="0" y="0"/>
                          <a:ext cx="2419350" cy="504825"/>
                        </a:xfrm>
                        <a:prstGeom prst="rect">
                          <a:avLst/>
                        </a:prstGeom>
                        <a:noFill/>
                        <a:ln w="6350">
                          <a:noFill/>
                        </a:ln>
                      </wps:spPr>
                      <wps:txbx>
                        <w:txbxContent>
                          <w:p w14:paraId="4B8D3710" w14:textId="77777777" w:rsidR="000C465B" w:rsidRPr="000C465B" w:rsidRDefault="000C465B" w:rsidP="000C465B">
                            <w:pPr>
                              <w:spacing w:before="100" w:beforeAutospacing="1" w:after="0"/>
                              <w:jc w:val="center"/>
                              <w:rPr>
                                <w:rFonts w:cs="Calibri"/>
                                <w:b/>
                                <w:bCs/>
                                <w:color w:val="FFFFFF"/>
                                <w:spacing w:val="-4"/>
                                <w:szCs w:val="20"/>
                              </w:rPr>
                            </w:pPr>
                            <w:r w:rsidRPr="000C465B">
                              <w:rPr>
                                <w:rFonts w:cs="Calibri"/>
                                <w:b/>
                                <w:bCs/>
                                <w:color w:val="FFFFFF"/>
                                <w:spacing w:val="-4"/>
                                <w:szCs w:val="20"/>
                              </w:rPr>
                              <w:t>USE APPROXIMATELY ONE CUP OF DETERGENT FOR YOUR LAUNDRY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8AD75" id="Text Box 79" o:spid="_x0000_s1061" type="#_x0000_t202" style="position:absolute;margin-left:183.75pt;margin-top:16.15pt;width:190.5pt;height: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" filled="f" stroked="f" strokeweight=".5pt">
                <v:textbox>
                  <w:txbxContent>
                    <w:p w14:paraId="4B8D3710" w14:textId="77777777" w:rsidR="000C465B" w:rsidRPr="000C465B" w:rsidRDefault="000C465B" w:rsidP="000C465B">
                      <w:pPr>
                        <w:spacing w:before="100" w:beforeAutospacing="1" w:after="0"/>
                        <w:jc w:val="center"/>
                        <w:rPr>
                          <w:rFonts w:cs="Calibri"/>
                          <w:b/>
                          <w:bCs/>
                          <w:color w:val="FFFFFF"/>
                          <w:spacing w:val="-4"/>
                          <w:szCs w:val="20"/>
                        </w:rPr>
                      </w:pPr>
                      <w:r w:rsidRPr="000C465B">
                        <w:rPr>
                          <w:rFonts w:cs="Calibri"/>
                          <w:b/>
                          <w:bCs/>
                          <w:color w:val="FFFFFF"/>
                          <w:spacing w:val="-4"/>
                          <w:szCs w:val="20"/>
                        </w:rPr>
                        <w:t>USE APPROXIMATELY ONE CUP OF DETERGENT FOR YOUR LAUNDRY LOAD</w:t>
                      </w:r>
                    </w:p>
                  </w:txbxContent>
                </v:textbox>
              </v:shape>
            </w:pict>
          </mc:Fallback>
        </mc:AlternateContent>
      </w:r>
      <w:r w:rsidRPr="000C465B">
        <w:rPr>
          <w:noProof/>
          <w:sz w:val="22"/>
        </w:rPr>
        <mc:AlternateContent>
          <mc:Choice Requires="wps">
            <w:drawing>
              <wp:anchor distT="0" distB="0" distL="114300" distR="114300" simplePos="0" relativeHeight="251659264" behindDoc="0" locked="0" layoutInCell="1" allowOverlap="1" wp14:anchorId="46A448C3" wp14:editId="1D40D453">
                <wp:simplePos x="0" y="0"/>
                <wp:positionH relativeFrom="column">
                  <wp:posOffset>2381250</wp:posOffset>
                </wp:positionH>
                <wp:positionV relativeFrom="paragraph">
                  <wp:posOffset>138430</wp:posOffset>
                </wp:positionV>
                <wp:extent cx="2343150" cy="631190"/>
                <wp:effectExtent l="0" t="0" r="19050" b="16510"/>
                <wp:wrapNone/>
                <wp:docPr id="483358105" name="Rectangle 78"/>
                <wp:cNvGraphicFramePr/>
                <a:graphic xmlns:a="http://schemas.openxmlformats.org/drawingml/2006/main">
                  <a:graphicData uri="http://schemas.microsoft.com/office/word/2010/wordprocessingShape">
                    <wps:wsp>
                      <wps:cNvSpPr/>
                      <wps:spPr>
                        <a:xfrm>
                          <a:off x="0" y="0"/>
                          <a:ext cx="2343150" cy="631190"/>
                        </a:xfrm>
                        <a:prstGeom prst="rect">
                          <a:avLst/>
                        </a:prstGeom>
                        <a:solidFill>
                          <a:srgbClr val="8064A2"/>
                        </a:solidFill>
                        <a:ln w="12700" cap="flat" cmpd="sng" algn="ctr">
                          <a:solidFill>
                            <a:srgbClr val="4F81BD">
                              <a:shade val="15000"/>
                            </a:srgbClr>
                          </a:solidFill>
                          <a:prstDash val="solid"/>
                        </a:ln>
                        <a:effectLst/>
                      </wps:spPr>
                      <wps:txbx>
                        <w:txbxContent>
                          <w:p w14:paraId="333A1CEB" w14:textId="77777777" w:rsidR="000C465B" w:rsidRPr="00C24F25" w:rsidRDefault="000C465B" w:rsidP="000C465B">
                            <w:pPr>
                              <w:jc w:val="center"/>
                              <w:rPr>
                                <w:b/>
                                <w:b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48C3" id="_x0000_s1062" style="position:absolute;margin-left:187.5pt;margin-top:10.9pt;width:184.5pt;height:4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" fillcolor="#8064a2" strokecolor="#1c334e" strokeweight="1pt">
                <v:textbox>
                  <w:txbxContent>
                    <w:p w14:paraId="333A1CEB" w14:textId="77777777" w:rsidR="000C465B" w:rsidRPr="00C24F25" w:rsidRDefault="000C465B" w:rsidP="000C465B">
                      <w:pPr>
                        <w:jc w:val="center"/>
                        <w:rPr>
                          <w:b/>
                          <w:bCs/>
                          <w:szCs w:val="20"/>
                        </w:rPr>
                      </w:pPr>
                    </w:p>
                  </w:txbxContent>
                </v:textbox>
              </v:rect>
            </w:pict>
          </mc:Fallback>
        </mc:AlternateContent>
      </w:r>
    </w:p>
    <w:p w14:paraId="148ECA91" w14:textId="6ACD55B5" w:rsidR="000C465B" w:rsidRPr="000C465B" w:rsidRDefault="001F7B3F" w:rsidP="000C465B">
      <w:pPr>
        <w:spacing w:after="200" w:line="276" w:lineRule="auto"/>
        <w:jc w:val="left"/>
        <w:rPr>
          <w:noProof/>
          <w:sz w:val="22"/>
        </w:rPr>
      </w:pPr>
      <w:r w:rsidRPr="000C465B">
        <w:rPr>
          <w:noProof/>
          <w:sz w:val="22"/>
        </w:rPr>
        <mc:AlternateContent>
          <mc:Choice Requires="wps">
            <w:drawing>
              <wp:anchor distT="0" distB="0" distL="114300" distR="114300" simplePos="0" relativeHeight="251734016" behindDoc="0" locked="0" layoutInCell="1" allowOverlap="1" wp14:anchorId="0EE49804" wp14:editId="28558C5F">
                <wp:simplePos x="0" y="0"/>
                <wp:positionH relativeFrom="column">
                  <wp:posOffset>-142875</wp:posOffset>
                </wp:positionH>
                <wp:positionV relativeFrom="paragraph">
                  <wp:posOffset>57150</wp:posOffset>
                </wp:positionV>
                <wp:extent cx="2192020" cy="796925"/>
                <wp:effectExtent l="0" t="0" r="0" b="3175"/>
                <wp:wrapNone/>
                <wp:docPr id="1493860975" name="Text Box 79"/>
                <wp:cNvGraphicFramePr/>
                <a:graphic xmlns:a="http://schemas.openxmlformats.org/drawingml/2006/main">
                  <a:graphicData uri="http://schemas.microsoft.com/office/word/2010/wordprocessingShape">
                    <wps:wsp>
                      <wps:cNvSpPr txBox="1"/>
                      <wps:spPr>
                        <a:xfrm>
                          <a:off x="0" y="0"/>
                          <a:ext cx="2192020" cy="796925"/>
                        </a:xfrm>
                        <a:prstGeom prst="rect">
                          <a:avLst/>
                        </a:prstGeom>
                        <a:noFill/>
                        <a:ln w="6350">
                          <a:noFill/>
                        </a:ln>
                      </wps:spPr>
                      <wps:txbx>
                        <w:txbxContent>
                          <w:p w14:paraId="4FBE67C1" w14:textId="77777777" w:rsidR="000C465B" w:rsidRPr="000C465B" w:rsidRDefault="000C465B" w:rsidP="000C465B">
                            <w:pPr>
                              <w:spacing w:before="100" w:beforeAutospacing="1" w:after="0"/>
                              <w:jc w:val="center"/>
                              <w:rPr>
                                <w:rFonts w:cs="Calibri"/>
                                <w:b/>
                                <w:bCs/>
                                <w:color w:val="FFFFFF"/>
                                <w:sz w:val="18"/>
                                <w:szCs w:val="18"/>
                              </w:rPr>
                            </w:pPr>
                            <w:r w:rsidRPr="000C465B">
                              <w:rPr>
                                <w:rFonts w:cs="Calibri"/>
                                <w:b/>
                                <w:bCs/>
                                <w:color w:val="FFFFFF"/>
                                <w:sz w:val="18"/>
                                <w:szCs w:val="18"/>
                              </w:rPr>
                              <w:t>ONE LOAD IS 1 CUP (8 FL OZ)           WHICH IS THE AMOUNT OF DETERGENT TO DO A MEDIUM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9804" id="_x0000_s1063" type="#_x0000_t202" style="position:absolute;margin-left:-11.25pt;margin-top:4.5pt;width:172.6pt;height:6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" filled="f" stroked="f" strokeweight=".5pt">
                <v:textbox>
                  <w:txbxContent>
                    <w:p w14:paraId="4FBE67C1" w14:textId="77777777" w:rsidR="000C465B" w:rsidRPr="000C465B" w:rsidRDefault="000C465B" w:rsidP="000C465B">
                      <w:pPr>
                        <w:spacing w:before="100" w:beforeAutospacing="1" w:after="0"/>
                        <w:jc w:val="center"/>
                        <w:rPr>
                          <w:rFonts w:cs="Calibri"/>
                          <w:b/>
                          <w:bCs/>
                          <w:color w:val="FFFFFF"/>
                          <w:sz w:val="18"/>
                          <w:szCs w:val="18"/>
                        </w:rPr>
                      </w:pPr>
                      <w:r w:rsidRPr="000C465B">
                        <w:rPr>
                          <w:rFonts w:cs="Calibri"/>
                          <w:b/>
                          <w:bCs/>
                          <w:color w:val="FFFFFF"/>
                          <w:sz w:val="18"/>
                          <w:szCs w:val="18"/>
                        </w:rPr>
                        <w:t>ONE LOAD IS 1 CUP (8 FL OZ)           WHICH IS THE AMOUNT OF DETERGENT TO DO A MEDIUM LOAD</w:t>
                      </w:r>
                    </w:p>
                  </w:txbxContent>
                </v:textbox>
              </v:shape>
            </w:pict>
          </mc:Fallback>
        </mc:AlternateContent>
      </w:r>
    </w:p>
    <w:p w14:paraId="44FDE6A1" w14:textId="2A3C6A78" w:rsidR="000C465B" w:rsidRPr="000C465B" w:rsidRDefault="000C465B" w:rsidP="000C465B">
      <w:pPr>
        <w:spacing w:after="200" w:line="276" w:lineRule="auto"/>
        <w:jc w:val="left"/>
        <w:rPr>
          <w:noProof/>
          <w:sz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C465B" w:rsidRPr="000C465B" w14:paraId="1EDCEE8A" w14:textId="77777777" w:rsidTr="005F0F3E">
        <w:tc>
          <w:tcPr>
            <w:tcW w:w="4680" w:type="dxa"/>
          </w:tcPr>
          <w:p w14:paraId="2E66DDB2" w14:textId="40607808" w:rsidR="000C465B" w:rsidRPr="000C465B" w:rsidRDefault="000C465B" w:rsidP="00517244">
            <w:pPr>
              <w:spacing w:after="60"/>
              <w:jc w:val="center"/>
            </w:pPr>
            <w:r w:rsidRPr="000C465B">
              <w:rPr>
                <w:noProof/>
              </w:rPr>
              <w:lastRenderedPageBreak/>
              <w:drawing>
                <wp:inline distT="0" distB="0" distL="0" distR="0" wp14:anchorId="2ED30336" wp14:editId="702F03A8">
                  <wp:extent cx="2353190" cy="4016111"/>
                  <wp:effectExtent l="0" t="0" r="9525" b="3810"/>
                  <wp:docPr id="792698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98402" name="Picture 6"/>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353190" cy="4016111"/>
                          </a:xfrm>
                          <a:prstGeom prst="rect">
                            <a:avLst/>
                          </a:prstGeom>
                          <a:noFill/>
                          <a:ln>
                            <a:noFill/>
                          </a:ln>
                        </pic:spPr>
                      </pic:pic>
                    </a:graphicData>
                  </a:graphic>
                </wp:inline>
              </w:drawing>
            </w:r>
          </w:p>
        </w:tc>
        <w:tc>
          <w:tcPr>
            <w:tcW w:w="4680" w:type="dxa"/>
          </w:tcPr>
          <w:p w14:paraId="45E7349B" w14:textId="77777777" w:rsidR="00517244" w:rsidRDefault="00517244" w:rsidP="000C465B">
            <w:pPr>
              <w:spacing w:after="0"/>
              <w:rPr>
                <w:b/>
                <w:color w:val="EE0000"/>
                <w:sz w:val="36"/>
                <w:szCs w:val="36"/>
              </w:rPr>
            </w:pPr>
          </w:p>
          <w:p w14:paraId="650A0F8D" w14:textId="77777777" w:rsidR="00517244" w:rsidRDefault="00517244" w:rsidP="000C465B">
            <w:pPr>
              <w:spacing w:after="0"/>
              <w:rPr>
                <w:b/>
                <w:color w:val="EE0000"/>
                <w:sz w:val="36"/>
                <w:szCs w:val="36"/>
              </w:rPr>
            </w:pPr>
          </w:p>
          <w:p w14:paraId="7A424CB0" w14:textId="77777777" w:rsidR="00517244" w:rsidRDefault="00517244" w:rsidP="000C465B">
            <w:pPr>
              <w:spacing w:after="0"/>
              <w:rPr>
                <w:b/>
                <w:color w:val="EE0000"/>
                <w:sz w:val="36"/>
                <w:szCs w:val="36"/>
              </w:rPr>
            </w:pPr>
          </w:p>
          <w:p w14:paraId="5A8AB50B" w14:textId="4E03939A" w:rsidR="000C465B" w:rsidRPr="000C465B" w:rsidRDefault="000C465B" w:rsidP="000C465B">
            <w:pPr>
              <w:spacing w:after="0"/>
              <w:rPr>
                <w:color w:val="EE0000"/>
                <w:sz w:val="36"/>
                <w:szCs w:val="36"/>
              </w:rPr>
            </w:pPr>
            <w:r w:rsidRPr="000C465B">
              <w:rPr>
                <w:b/>
                <w:color w:val="EE0000"/>
                <w:sz w:val="36"/>
                <w:szCs w:val="36"/>
              </w:rPr>
              <w:t>PROBLEMATIC</w:t>
            </w:r>
          </w:p>
          <w:p w14:paraId="16503A65" w14:textId="77777777" w:rsidR="000C465B" w:rsidRPr="000C465B" w:rsidRDefault="000C465B" w:rsidP="000C465B">
            <w:pPr>
              <w:spacing w:after="0"/>
              <w:rPr>
                <w:sz w:val="20"/>
                <w:szCs w:val="20"/>
              </w:rPr>
            </w:pPr>
            <w:r w:rsidRPr="000C465B">
              <w:rPr>
                <w:sz w:val="20"/>
                <w:szCs w:val="20"/>
              </w:rPr>
              <w:t xml:space="preserve">In this diagram, the derived unit expression appears with minimal separation from the DoNQ in the lower 30% of PDP.  With this spacing the “20 Loads” appears to be part of the DoNQ, which is in violation of DoNQ requirements since Loads (and other Derived Units) are not units of Legal Metrology.   As a result, separation of a DUE from the DoNQ must be sufficiently large to ensure that the DUE is clearly not part of the DoNQ.  </w:t>
            </w:r>
          </w:p>
        </w:tc>
      </w:tr>
      <w:tr w:rsidR="000C465B" w:rsidRPr="000C465B" w14:paraId="7268E88B" w14:textId="77777777" w:rsidTr="005F0F3E">
        <w:tc>
          <w:tcPr>
            <w:tcW w:w="4680" w:type="dxa"/>
          </w:tcPr>
          <w:p w14:paraId="1CB7E04D" w14:textId="77777777" w:rsidR="000C465B" w:rsidRPr="000C465B" w:rsidRDefault="000C465B" w:rsidP="000C465B">
            <w:pPr>
              <w:spacing w:after="60"/>
              <w:rPr>
                <w:noProof/>
              </w:rPr>
            </w:pPr>
            <w:r w:rsidRPr="000C465B">
              <w:rPr>
                <w:noProof/>
              </w:rPr>
              <w:t xml:space="preserve">       </w:t>
            </w:r>
            <w:r w:rsidRPr="000C465B">
              <w:rPr>
                <w:noProof/>
              </w:rPr>
              <w:drawing>
                <wp:inline distT="0" distB="0" distL="0" distR="0" wp14:anchorId="56AC4A74" wp14:editId="2AB118E3">
                  <wp:extent cx="2402205" cy="4067175"/>
                  <wp:effectExtent l="0" t="0" r="0" b="9525"/>
                  <wp:docPr id="1688995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95073" name="Picture 7"/>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402411" cy="4067524"/>
                          </a:xfrm>
                          <a:prstGeom prst="rect">
                            <a:avLst/>
                          </a:prstGeom>
                          <a:noFill/>
                          <a:ln>
                            <a:noFill/>
                          </a:ln>
                        </pic:spPr>
                      </pic:pic>
                    </a:graphicData>
                  </a:graphic>
                </wp:inline>
              </w:drawing>
            </w:r>
            <w:r w:rsidRPr="000C465B">
              <w:rPr>
                <w:noProof/>
              </w:rPr>
              <w:t xml:space="preserve">   </w:t>
            </w:r>
          </w:p>
        </w:tc>
        <w:tc>
          <w:tcPr>
            <w:tcW w:w="4680" w:type="dxa"/>
          </w:tcPr>
          <w:p w14:paraId="75C3D7A5" w14:textId="77777777" w:rsidR="00517244" w:rsidRDefault="00517244" w:rsidP="000C465B">
            <w:pPr>
              <w:spacing w:after="0"/>
              <w:rPr>
                <w:b/>
                <w:color w:val="FF0000"/>
                <w:sz w:val="36"/>
                <w:szCs w:val="36"/>
              </w:rPr>
            </w:pPr>
          </w:p>
          <w:p w14:paraId="06EA5DE1" w14:textId="77777777" w:rsidR="00517244" w:rsidRDefault="00517244" w:rsidP="000C465B">
            <w:pPr>
              <w:spacing w:after="0"/>
              <w:rPr>
                <w:b/>
                <w:color w:val="FF0000"/>
                <w:sz w:val="36"/>
                <w:szCs w:val="36"/>
              </w:rPr>
            </w:pPr>
          </w:p>
          <w:p w14:paraId="36ADF196" w14:textId="77777777" w:rsidR="00517244" w:rsidRDefault="00517244" w:rsidP="000C465B">
            <w:pPr>
              <w:spacing w:after="0"/>
              <w:rPr>
                <w:b/>
                <w:color w:val="FF0000"/>
                <w:sz w:val="36"/>
                <w:szCs w:val="36"/>
              </w:rPr>
            </w:pPr>
          </w:p>
          <w:p w14:paraId="0A5EA92C" w14:textId="68203569" w:rsidR="000C465B" w:rsidRPr="000C465B" w:rsidRDefault="000C465B" w:rsidP="000C465B">
            <w:pPr>
              <w:spacing w:after="0"/>
              <w:rPr>
                <w:b/>
                <w:color w:val="FF0000"/>
                <w:sz w:val="36"/>
                <w:szCs w:val="36"/>
              </w:rPr>
            </w:pPr>
            <w:r w:rsidRPr="000C465B">
              <w:rPr>
                <w:b/>
                <w:color w:val="FF0000"/>
                <w:sz w:val="36"/>
                <w:szCs w:val="36"/>
              </w:rPr>
              <w:t>PROBLEMATIC</w:t>
            </w:r>
          </w:p>
          <w:p w14:paraId="6C8CAFDC" w14:textId="77777777" w:rsidR="000C465B" w:rsidRPr="000C465B" w:rsidRDefault="000C465B" w:rsidP="000C465B">
            <w:pPr>
              <w:spacing w:after="0"/>
              <w:rPr>
                <w:sz w:val="20"/>
                <w:szCs w:val="20"/>
              </w:rPr>
            </w:pPr>
            <w:r w:rsidRPr="000C465B">
              <w:rPr>
                <w:sz w:val="20"/>
                <w:szCs w:val="20"/>
              </w:rPr>
              <w:t xml:space="preserve">In this diagram, the DUE statement “Makes Up to 20 Loads” is an inexact expression that does not provide accurate quantity information that consumers can rely upon and regulators can verify.  Exactly how many Loads are delivered?  Expressions appearing on the PDP need to provide precise and accurate values, not ranges.   </w:t>
            </w:r>
          </w:p>
          <w:p w14:paraId="6C437192" w14:textId="77777777" w:rsidR="000C465B" w:rsidRPr="000C465B" w:rsidRDefault="000C465B" w:rsidP="000C465B">
            <w:pPr>
              <w:spacing w:after="0"/>
              <w:rPr>
                <w:noProof/>
              </w:rPr>
            </w:pPr>
            <w:r w:rsidRPr="000C465B">
              <w:t xml:space="preserve">  </w:t>
            </w:r>
          </w:p>
        </w:tc>
      </w:tr>
    </w:tbl>
    <w:p w14:paraId="706C8B5D" w14:textId="77777777" w:rsidR="000C465B" w:rsidRPr="000C465B" w:rsidRDefault="000C465B" w:rsidP="000C465B">
      <w:pPr>
        <w:spacing w:after="200" w:line="276" w:lineRule="auto"/>
        <w:rPr>
          <w:szCs w:val="20"/>
        </w:rPr>
      </w:pPr>
      <w:r w:rsidRPr="000C465B">
        <w:rPr>
          <w:b/>
          <w:szCs w:val="20"/>
        </w:rPr>
        <w:lastRenderedPageBreak/>
        <w:t>4.  </w:t>
      </w:r>
      <w:r w:rsidRPr="000C465B">
        <w:rPr>
          <w:b/>
          <w:szCs w:val="20"/>
          <w:u w:val="single"/>
        </w:rPr>
        <w:t>Comparative Quantity Representation (CQR)</w:t>
      </w:r>
      <w:r w:rsidRPr="000C465B">
        <w:rPr>
          <w:b/>
          <w:bCs/>
          <w:szCs w:val="20"/>
        </w:rPr>
        <w:t xml:space="preserve"> </w:t>
      </w:r>
      <w:r w:rsidRPr="000C465B">
        <w:rPr>
          <w:szCs w:val="20"/>
        </w:rPr>
        <w:t xml:space="preserve">– A manufacturer is responsible for ensuring a Comparative Quantity Representation (CQR’s) location, font, graphics or wording provides clear and non-misleading information which does not contradict or marginalize the information provided in the required Declaration of Net Quantity (DoNQ).   Because CQRs may employ the same units as those contained in the DoNQ, manufacturers should carefully consider the CQR expression content, location, graphics and fonts to minimize the likelihood that a portion of the CQR is misinterpreted to be the DoNQ.        </w:t>
      </w:r>
    </w:p>
    <w:p w14:paraId="0F2B5717" w14:textId="77777777" w:rsidR="000C465B" w:rsidRPr="000C465B" w:rsidRDefault="000C465B" w:rsidP="000C465B">
      <w:pPr>
        <w:spacing w:after="200" w:line="276" w:lineRule="auto"/>
        <w:rPr>
          <w:sz w:val="22"/>
        </w:rPr>
      </w:pPr>
      <w:r w:rsidRPr="000C465B">
        <w:rPr>
          <w:szCs w:val="20"/>
        </w:rPr>
        <w:t>Comparative Quantity Representations should appear in the upper 70% of the Principal Display Panel (PDP) as illustrated in the following examples which illustrate differences in color, font size, expression wording, and graphic designs.  A CQR may employ a single color and font type or may combine 2 or more colors and fonts.  CQR’s may express information in the same unit as in the DoNQ or other common recognizable units of legal metrology or count appropriate for the type of product and package size</w:t>
      </w:r>
      <w:r w:rsidRPr="000C465B">
        <w:rPr>
          <w:sz w:val="22"/>
        </w:rPr>
        <w:t xml:space="preserve">.  </w:t>
      </w:r>
    </w:p>
    <w:p w14:paraId="0CB8BAD7" w14:textId="77777777" w:rsidR="000C465B" w:rsidRPr="000C465B" w:rsidRDefault="000C465B" w:rsidP="000C465B">
      <w:pPr>
        <w:spacing w:after="0" w:line="276" w:lineRule="auto"/>
        <w:rPr>
          <w:sz w:val="16"/>
          <w:szCs w:val="16"/>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00"/>
        <w:gridCol w:w="4466"/>
      </w:tblGrid>
      <w:tr w:rsidR="000C465B" w:rsidRPr="000C465B" w14:paraId="439C2213" w14:textId="77777777" w:rsidTr="005F0F3E">
        <w:tc>
          <w:tcPr>
            <w:tcW w:w="4484" w:type="dxa"/>
          </w:tcPr>
          <w:p w14:paraId="25E48766" w14:textId="77777777" w:rsidR="000C465B" w:rsidRPr="000C465B" w:rsidRDefault="000C465B" w:rsidP="000C465B">
            <w:pPr>
              <w:spacing w:after="0"/>
              <w:jc w:val="center"/>
            </w:pPr>
            <w:r w:rsidRPr="000C465B">
              <w:rPr>
                <w:noProof/>
              </w:rPr>
              <w:drawing>
                <wp:inline distT="0" distB="0" distL="0" distR="0" wp14:anchorId="671480A6" wp14:editId="18984563">
                  <wp:extent cx="2657475" cy="3522457"/>
                  <wp:effectExtent l="0" t="0" r="0" b="1905"/>
                  <wp:docPr id="1046141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1653" name="Picture 11"/>
                          <pic:cNvPicPr>
                            <a:picLocks noChangeAspect="1" noChangeArrowheads="1"/>
                          </pic:cNvPicPr>
                        </pic:nvPicPr>
                        <pic:blipFill rotWithShape="1">
                          <a:blip r:embed="rId88">
                            <a:extLst>
                              <a:ext uri="{28A0092B-C50C-407E-A947-70E740481C1C}">
                                <a14:useLocalDpi xmlns:a14="http://schemas.microsoft.com/office/drawing/2010/main" val="0"/>
                              </a:ext>
                            </a:extLst>
                          </a:blip>
                          <a:srcRect l="9720" t="3921" r="12858" b="7725"/>
                          <a:stretch>
                            <a:fillRect/>
                          </a:stretch>
                        </pic:blipFill>
                        <pic:spPr bwMode="auto">
                          <a:xfrm>
                            <a:off x="0" y="0"/>
                            <a:ext cx="2657475" cy="3522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 w:type="dxa"/>
          </w:tcPr>
          <w:p w14:paraId="4B2B1DDC" w14:textId="77777777" w:rsidR="000C465B" w:rsidRPr="000C465B" w:rsidRDefault="000C465B" w:rsidP="000C465B">
            <w:pPr>
              <w:spacing w:after="0"/>
              <w:jc w:val="center"/>
              <w:rPr>
                <w:noProof/>
              </w:rPr>
            </w:pPr>
          </w:p>
        </w:tc>
        <w:tc>
          <w:tcPr>
            <w:tcW w:w="4466" w:type="dxa"/>
          </w:tcPr>
          <w:p w14:paraId="5025578A" w14:textId="77777777" w:rsidR="000C465B" w:rsidRPr="000C465B" w:rsidRDefault="000C465B" w:rsidP="000C465B">
            <w:pPr>
              <w:spacing w:after="0"/>
              <w:jc w:val="center"/>
            </w:pPr>
            <w:r w:rsidRPr="000C465B">
              <w:rPr>
                <w:noProof/>
              </w:rPr>
              <w:drawing>
                <wp:inline distT="0" distB="0" distL="0" distR="0" wp14:anchorId="24AA9BB7" wp14:editId="40249086">
                  <wp:extent cx="2693035" cy="3583619"/>
                  <wp:effectExtent l="0" t="0" r="0" b="0"/>
                  <wp:docPr id="1553154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a:extLst>
                              <a:ext uri="{28A0092B-C50C-407E-A947-70E740481C1C}">
                                <a14:useLocalDpi xmlns:a14="http://schemas.microsoft.com/office/drawing/2010/main" val="0"/>
                              </a:ext>
                            </a:extLst>
                          </a:blip>
                          <a:srcRect l="6907" t="2786" r="25401" b="6407"/>
                          <a:stretch>
                            <a:fillRect/>
                          </a:stretch>
                        </pic:blipFill>
                        <pic:spPr bwMode="auto">
                          <a:xfrm>
                            <a:off x="0" y="0"/>
                            <a:ext cx="2698744" cy="35912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65B" w:rsidRPr="000C465B" w14:paraId="74E3A094" w14:textId="77777777" w:rsidTr="005F0F3E">
        <w:tc>
          <w:tcPr>
            <w:tcW w:w="4484" w:type="dxa"/>
          </w:tcPr>
          <w:p w14:paraId="57D3FDAE" w14:textId="77777777" w:rsidR="000C465B" w:rsidRPr="000C465B" w:rsidRDefault="000C465B" w:rsidP="000C465B">
            <w:pPr>
              <w:spacing w:after="0"/>
              <w:jc w:val="center"/>
              <w:rPr>
                <w:color w:val="80319F"/>
                <w:sz w:val="36"/>
                <w:szCs w:val="36"/>
              </w:rPr>
            </w:pPr>
            <w:r w:rsidRPr="000C465B">
              <w:rPr>
                <w:b/>
                <w:color w:val="80319F"/>
                <w:sz w:val="36"/>
                <w:szCs w:val="36"/>
              </w:rPr>
              <w:t>QUESTIONABLE</w:t>
            </w:r>
          </w:p>
          <w:p w14:paraId="7AB7E0B0" w14:textId="77777777" w:rsidR="000C465B" w:rsidRPr="000C465B" w:rsidRDefault="000C465B" w:rsidP="000C465B">
            <w:pPr>
              <w:spacing w:after="0"/>
              <w:rPr>
                <w:sz w:val="20"/>
                <w:szCs w:val="20"/>
              </w:rPr>
            </w:pPr>
            <w:r w:rsidRPr="000C465B">
              <w:rPr>
                <w:sz w:val="20"/>
                <w:szCs w:val="20"/>
              </w:rPr>
              <w:t xml:space="preserve">The CQR on this package is questionable because the expression is very close to extending into the lower 30% of the PDP.    Because CQRs are full statements which have numbers which can be over emphasized, the statements in their entirety need to remain outside the lower 30% of the PDP to ensure separation from the DoNQ.     </w:t>
            </w:r>
          </w:p>
        </w:tc>
        <w:tc>
          <w:tcPr>
            <w:tcW w:w="400" w:type="dxa"/>
          </w:tcPr>
          <w:p w14:paraId="7B33B007" w14:textId="77777777" w:rsidR="000C465B" w:rsidRPr="000C465B" w:rsidRDefault="000C465B" w:rsidP="000C465B">
            <w:pPr>
              <w:spacing w:after="0"/>
              <w:jc w:val="center"/>
              <w:rPr>
                <w:b/>
                <w:color w:val="FF0000"/>
                <w:sz w:val="40"/>
                <w:szCs w:val="40"/>
              </w:rPr>
            </w:pPr>
          </w:p>
        </w:tc>
        <w:tc>
          <w:tcPr>
            <w:tcW w:w="4466" w:type="dxa"/>
          </w:tcPr>
          <w:p w14:paraId="08F4F28F" w14:textId="77777777" w:rsidR="000C465B" w:rsidRPr="000C465B" w:rsidRDefault="000C465B" w:rsidP="000C465B">
            <w:pPr>
              <w:spacing w:after="0"/>
              <w:jc w:val="center"/>
              <w:rPr>
                <w:b/>
                <w:color w:val="FF0000"/>
                <w:sz w:val="36"/>
                <w:szCs w:val="36"/>
              </w:rPr>
            </w:pPr>
            <w:r w:rsidRPr="000C465B">
              <w:rPr>
                <w:b/>
                <w:color w:val="FF0000"/>
                <w:sz w:val="36"/>
                <w:szCs w:val="36"/>
              </w:rPr>
              <w:t>PROBLEMATIC</w:t>
            </w:r>
          </w:p>
          <w:p w14:paraId="380A0EB9" w14:textId="77777777" w:rsidR="000C465B" w:rsidRPr="000C465B" w:rsidRDefault="000C465B" w:rsidP="000C465B">
            <w:pPr>
              <w:spacing w:after="0"/>
              <w:rPr>
                <w:sz w:val="20"/>
                <w:szCs w:val="20"/>
              </w:rPr>
            </w:pPr>
            <w:r w:rsidRPr="000C465B">
              <w:rPr>
                <w:sz w:val="20"/>
                <w:szCs w:val="20"/>
              </w:rPr>
              <w:t xml:space="preserve">The CQR on this package covers the entire right side of the PDP.  The expression extends into the lower 30% of the PDP where the 15 LB portion of the expression appears in a larger font with a </w:t>
            </w:r>
            <w:r w:rsidRPr="000C465B">
              <w:rPr>
                <w:spacing w:val="10"/>
                <w:sz w:val="20"/>
                <w:szCs w:val="20"/>
              </w:rPr>
              <w:t>bolder color. This presentation can be</w:t>
            </w:r>
            <w:r w:rsidRPr="000C465B">
              <w:rPr>
                <w:sz w:val="20"/>
                <w:szCs w:val="20"/>
              </w:rPr>
              <w:t xml:space="preserve"> misinterpreted by a consumer shopping in a retail establishment as being a 15 LB package, not the 8 LB package it really is.  While CQRs can make words and numbers of differing sizes, colors, and fonts, these statements are to remain outside the lower 30% of the PDP to avoid potential confusion.  </w:t>
            </w:r>
          </w:p>
        </w:tc>
      </w:tr>
    </w:tbl>
    <w:p w14:paraId="5B9431A5" w14:textId="77777777" w:rsidR="000C465B" w:rsidRPr="000C465B" w:rsidRDefault="000C465B" w:rsidP="000C465B">
      <w:pPr>
        <w:spacing w:after="200" w:line="276" w:lineRule="auto"/>
        <w:jc w:val="left"/>
        <w:rPr>
          <w:sz w:val="22"/>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61"/>
        <w:gridCol w:w="4405"/>
      </w:tblGrid>
      <w:tr w:rsidR="000C465B" w:rsidRPr="000C465B" w14:paraId="295C8AC9" w14:textId="77777777" w:rsidTr="005F0F3E">
        <w:tc>
          <w:tcPr>
            <w:tcW w:w="4484" w:type="dxa"/>
          </w:tcPr>
          <w:p w14:paraId="5F4165B9" w14:textId="77777777" w:rsidR="000C465B" w:rsidRPr="000C465B" w:rsidRDefault="000C465B" w:rsidP="000C465B">
            <w:pPr>
              <w:spacing w:after="0"/>
              <w:jc w:val="left"/>
              <w:rPr>
                <w:b/>
                <w:color w:val="FF0000"/>
              </w:rPr>
            </w:pPr>
            <w:r w:rsidRPr="000C465B">
              <w:rPr>
                <w:b/>
                <w:noProof/>
                <w:color w:val="FF0000"/>
              </w:rPr>
              <w:lastRenderedPageBreak/>
              <w:drawing>
                <wp:inline distT="0" distB="0" distL="0" distR="0" wp14:anchorId="55C944BD" wp14:editId="255EDB42">
                  <wp:extent cx="2695575" cy="3501096"/>
                  <wp:effectExtent l="0" t="0" r="0" b="4445"/>
                  <wp:docPr id="122445236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40612" name="Picture 1973240612"/>
                          <pic:cNvPicPr/>
                        </pic:nvPicPr>
                        <pic:blipFill rotWithShape="1">
                          <a:blip r:embed="rId90">
                            <a:extLst>
                              <a:ext uri="{28A0092B-C50C-407E-A947-70E740481C1C}">
                                <a14:useLocalDpi xmlns:a14="http://schemas.microsoft.com/office/drawing/2010/main" val="0"/>
                              </a:ext>
                            </a:extLst>
                          </a:blip>
                          <a:srcRect l="3757" t="3531" r="54372" b="7025"/>
                          <a:stretch>
                            <a:fillRect/>
                          </a:stretch>
                        </pic:blipFill>
                        <pic:spPr bwMode="auto">
                          <a:xfrm>
                            <a:off x="0" y="0"/>
                            <a:ext cx="2718297" cy="3530608"/>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dxa"/>
          </w:tcPr>
          <w:p w14:paraId="6AE861CA" w14:textId="77777777" w:rsidR="000C465B" w:rsidRPr="000C465B" w:rsidRDefault="000C465B" w:rsidP="000C465B">
            <w:pPr>
              <w:spacing w:after="0"/>
              <w:jc w:val="left"/>
              <w:rPr>
                <w:b/>
                <w:color w:val="00B050"/>
                <w:sz w:val="40"/>
                <w:szCs w:val="40"/>
              </w:rPr>
            </w:pPr>
          </w:p>
        </w:tc>
        <w:tc>
          <w:tcPr>
            <w:tcW w:w="4405" w:type="dxa"/>
          </w:tcPr>
          <w:p w14:paraId="6FFC7EB0" w14:textId="77777777" w:rsidR="000C465B" w:rsidRPr="000C465B" w:rsidRDefault="000C465B" w:rsidP="000C465B">
            <w:pPr>
              <w:spacing w:after="0"/>
              <w:jc w:val="left"/>
              <w:rPr>
                <w:b/>
                <w:color w:val="00B050"/>
                <w:sz w:val="40"/>
                <w:szCs w:val="40"/>
              </w:rPr>
            </w:pPr>
          </w:p>
          <w:p w14:paraId="44950CF7" w14:textId="77777777" w:rsidR="000C465B" w:rsidRPr="000C465B" w:rsidRDefault="000C465B" w:rsidP="000C465B">
            <w:pPr>
              <w:spacing w:after="0"/>
              <w:jc w:val="left"/>
              <w:rPr>
                <w:b/>
                <w:color w:val="00B050"/>
                <w:sz w:val="40"/>
                <w:szCs w:val="40"/>
              </w:rPr>
            </w:pPr>
          </w:p>
          <w:p w14:paraId="251F3048" w14:textId="77777777" w:rsidR="000C465B" w:rsidRPr="000C465B" w:rsidRDefault="000C465B" w:rsidP="000C465B">
            <w:pPr>
              <w:spacing w:after="0"/>
              <w:jc w:val="left"/>
              <w:rPr>
                <w:b/>
                <w:color w:val="00B050"/>
                <w:sz w:val="36"/>
                <w:szCs w:val="36"/>
              </w:rPr>
            </w:pPr>
            <w:r w:rsidRPr="000C465B">
              <w:rPr>
                <w:b/>
                <w:color w:val="00B050"/>
                <w:sz w:val="36"/>
                <w:szCs w:val="36"/>
              </w:rPr>
              <w:t>PREFERRED</w:t>
            </w:r>
          </w:p>
          <w:p w14:paraId="388BF7C0" w14:textId="77777777" w:rsidR="000C465B" w:rsidRPr="000C465B" w:rsidRDefault="000C465B" w:rsidP="000C465B">
            <w:pPr>
              <w:spacing w:after="0"/>
              <w:rPr>
                <w:sz w:val="20"/>
                <w:szCs w:val="20"/>
              </w:rPr>
            </w:pPr>
            <w:r w:rsidRPr="000C465B">
              <w:rPr>
                <w:sz w:val="20"/>
                <w:szCs w:val="20"/>
              </w:rPr>
              <w:t>The CQR on this package label provides a comparison between this package and another package which is clearly defined.  Its location is outside the lower 30% in its entirety and clearly separate from the DoNQ</w:t>
            </w:r>
          </w:p>
          <w:p w14:paraId="6CAC4010" w14:textId="77777777" w:rsidR="000C465B" w:rsidRPr="000C465B" w:rsidRDefault="000C465B" w:rsidP="000C465B">
            <w:pPr>
              <w:spacing w:after="0"/>
              <w:jc w:val="left"/>
              <w:rPr>
                <w:b/>
                <w:color w:val="80319F"/>
              </w:rPr>
            </w:pPr>
          </w:p>
          <w:p w14:paraId="2722924F" w14:textId="77777777" w:rsidR="000C465B" w:rsidRPr="000C465B" w:rsidRDefault="000C465B" w:rsidP="000C465B">
            <w:pPr>
              <w:spacing w:after="0"/>
              <w:jc w:val="left"/>
              <w:rPr>
                <w:b/>
                <w:color w:val="80319F"/>
              </w:rPr>
            </w:pPr>
          </w:p>
          <w:p w14:paraId="7453BB23" w14:textId="77777777" w:rsidR="000C465B" w:rsidRPr="000C465B" w:rsidRDefault="000C465B" w:rsidP="000C465B">
            <w:pPr>
              <w:spacing w:after="0"/>
              <w:jc w:val="left"/>
              <w:rPr>
                <w:b/>
                <w:color w:val="80319F"/>
              </w:rPr>
            </w:pPr>
          </w:p>
          <w:p w14:paraId="4B3F10C5" w14:textId="77777777" w:rsidR="000C465B" w:rsidRPr="000C465B" w:rsidRDefault="000C465B" w:rsidP="000C465B">
            <w:pPr>
              <w:spacing w:after="0"/>
              <w:jc w:val="left"/>
              <w:rPr>
                <w:b/>
                <w:color w:val="80319F"/>
              </w:rPr>
            </w:pPr>
          </w:p>
          <w:p w14:paraId="4D733480" w14:textId="77777777" w:rsidR="000C465B" w:rsidRPr="000C465B" w:rsidRDefault="000C465B" w:rsidP="000C465B">
            <w:pPr>
              <w:spacing w:after="0"/>
              <w:jc w:val="left"/>
              <w:rPr>
                <w:b/>
                <w:color w:val="80319F"/>
              </w:rPr>
            </w:pPr>
          </w:p>
          <w:p w14:paraId="57B1F1A8" w14:textId="77777777" w:rsidR="000C465B" w:rsidRPr="000C465B" w:rsidRDefault="000C465B" w:rsidP="000C465B">
            <w:pPr>
              <w:spacing w:after="0"/>
              <w:jc w:val="left"/>
              <w:rPr>
                <w:b/>
                <w:color w:val="80319F"/>
              </w:rPr>
            </w:pPr>
          </w:p>
          <w:p w14:paraId="6090AE18" w14:textId="77777777" w:rsidR="000C465B" w:rsidRPr="000C465B" w:rsidRDefault="000C465B" w:rsidP="000C465B">
            <w:pPr>
              <w:spacing w:after="0"/>
              <w:jc w:val="left"/>
              <w:rPr>
                <w:b/>
                <w:color w:val="80319F"/>
              </w:rPr>
            </w:pPr>
          </w:p>
          <w:p w14:paraId="2973B66C" w14:textId="77777777" w:rsidR="000C465B" w:rsidRPr="000C465B" w:rsidRDefault="000C465B" w:rsidP="000C465B">
            <w:pPr>
              <w:spacing w:after="0"/>
              <w:jc w:val="left"/>
              <w:rPr>
                <w:b/>
                <w:color w:val="80319F"/>
              </w:rPr>
            </w:pPr>
          </w:p>
          <w:p w14:paraId="572A0FB2" w14:textId="77777777" w:rsidR="000C465B" w:rsidRPr="000C465B" w:rsidRDefault="000C465B" w:rsidP="000C465B">
            <w:pPr>
              <w:spacing w:after="0"/>
              <w:jc w:val="left"/>
              <w:rPr>
                <w:b/>
                <w:color w:val="80319F"/>
              </w:rPr>
            </w:pPr>
          </w:p>
          <w:p w14:paraId="03A8FDEE" w14:textId="77777777" w:rsidR="000C465B" w:rsidRPr="000C465B" w:rsidRDefault="000C465B" w:rsidP="000C465B">
            <w:pPr>
              <w:spacing w:after="0"/>
              <w:jc w:val="left"/>
              <w:rPr>
                <w:b/>
                <w:color w:val="80319F"/>
              </w:rPr>
            </w:pPr>
          </w:p>
          <w:p w14:paraId="052233E9" w14:textId="77777777" w:rsidR="000C465B" w:rsidRPr="000C465B" w:rsidRDefault="000C465B" w:rsidP="000C465B">
            <w:pPr>
              <w:spacing w:after="0"/>
              <w:jc w:val="left"/>
              <w:rPr>
                <w:b/>
                <w:color w:val="80319F"/>
              </w:rPr>
            </w:pPr>
          </w:p>
          <w:p w14:paraId="0C2E17B6" w14:textId="77777777" w:rsidR="000C465B" w:rsidRPr="000C465B" w:rsidRDefault="000C465B" w:rsidP="000C465B">
            <w:pPr>
              <w:spacing w:after="0"/>
              <w:jc w:val="left"/>
              <w:rPr>
                <w:b/>
                <w:color w:val="80319F"/>
              </w:rPr>
            </w:pPr>
          </w:p>
          <w:p w14:paraId="5F505F15" w14:textId="77777777" w:rsidR="000C465B" w:rsidRPr="000C465B" w:rsidRDefault="000C465B" w:rsidP="000C465B">
            <w:pPr>
              <w:spacing w:after="0"/>
              <w:jc w:val="left"/>
              <w:rPr>
                <w:b/>
                <w:color w:val="FF0000"/>
              </w:rPr>
            </w:pPr>
          </w:p>
        </w:tc>
      </w:tr>
      <w:tr w:rsidR="000C465B" w:rsidRPr="000C465B" w14:paraId="4E085C03" w14:textId="77777777" w:rsidTr="005F0F3E">
        <w:tc>
          <w:tcPr>
            <w:tcW w:w="4484" w:type="dxa"/>
          </w:tcPr>
          <w:p w14:paraId="5E4518E9" w14:textId="77777777" w:rsidR="000C465B" w:rsidRPr="000C465B" w:rsidRDefault="000C465B" w:rsidP="000C465B">
            <w:pPr>
              <w:spacing w:after="0"/>
              <w:jc w:val="left"/>
              <w:rPr>
                <w:b/>
                <w:color w:val="FF0000"/>
              </w:rPr>
            </w:pPr>
            <w:r w:rsidRPr="000C465B">
              <w:rPr>
                <w:b/>
                <w:noProof/>
                <w:color w:val="FF0000"/>
              </w:rPr>
              <w:drawing>
                <wp:inline distT="0" distB="0" distL="0" distR="0" wp14:anchorId="430E293A" wp14:editId="11505D08">
                  <wp:extent cx="2710669" cy="3543300"/>
                  <wp:effectExtent l="0" t="0" r="0" b="0"/>
                  <wp:docPr id="15308853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26056" name="Picture 1075726056"/>
                          <pic:cNvPicPr/>
                        </pic:nvPicPr>
                        <pic:blipFill rotWithShape="1">
                          <a:blip r:embed="rId91">
                            <a:extLst>
                              <a:ext uri="{28A0092B-C50C-407E-A947-70E740481C1C}">
                                <a14:useLocalDpi xmlns:a14="http://schemas.microsoft.com/office/drawing/2010/main" val="0"/>
                              </a:ext>
                            </a:extLst>
                          </a:blip>
                          <a:srcRect l="4115" t="3826" r="54551" b="7311"/>
                          <a:stretch>
                            <a:fillRect/>
                          </a:stretch>
                        </pic:blipFill>
                        <pic:spPr bwMode="auto">
                          <a:xfrm>
                            <a:off x="0" y="0"/>
                            <a:ext cx="2738661" cy="3579890"/>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dxa"/>
          </w:tcPr>
          <w:p w14:paraId="1BD97EF5" w14:textId="77777777" w:rsidR="000C465B" w:rsidRPr="000C465B" w:rsidRDefault="000C465B" w:rsidP="000C465B">
            <w:pPr>
              <w:spacing w:after="0"/>
              <w:jc w:val="left"/>
              <w:rPr>
                <w:b/>
                <w:color w:val="FF0000"/>
                <w:sz w:val="40"/>
                <w:szCs w:val="40"/>
              </w:rPr>
            </w:pPr>
          </w:p>
        </w:tc>
        <w:tc>
          <w:tcPr>
            <w:tcW w:w="4405" w:type="dxa"/>
          </w:tcPr>
          <w:p w14:paraId="01E84E74" w14:textId="77777777" w:rsidR="000C465B" w:rsidRPr="000C465B" w:rsidRDefault="000C465B" w:rsidP="000C465B">
            <w:pPr>
              <w:spacing w:after="0"/>
              <w:jc w:val="left"/>
              <w:rPr>
                <w:b/>
                <w:color w:val="FF0000"/>
                <w:sz w:val="40"/>
                <w:szCs w:val="40"/>
              </w:rPr>
            </w:pPr>
          </w:p>
          <w:p w14:paraId="48167CA0" w14:textId="77777777" w:rsidR="000C465B" w:rsidRPr="000C465B" w:rsidRDefault="000C465B" w:rsidP="000C465B">
            <w:pPr>
              <w:spacing w:after="0"/>
              <w:jc w:val="left"/>
              <w:rPr>
                <w:b/>
                <w:color w:val="FF0000"/>
                <w:sz w:val="40"/>
                <w:szCs w:val="40"/>
              </w:rPr>
            </w:pPr>
          </w:p>
          <w:p w14:paraId="21B7E0B8" w14:textId="77777777" w:rsidR="000C465B" w:rsidRPr="000C465B" w:rsidRDefault="000C465B" w:rsidP="000C465B">
            <w:pPr>
              <w:spacing w:after="0"/>
              <w:jc w:val="left"/>
              <w:rPr>
                <w:b/>
                <w:color w:val="FF0000"/>
                <w:sz w:val="36"/>
                <w:szCs w:val="36"/>
              </w:rPr>
            </w:pPr>
            <w:r w:rsidRPr="000C465B">
              <w:rPr>
                <w:b/>
                <w:color w:val="FF0000"/>
                <w:sz w:val="36"/>
                <w:szCs w:val="36"/>
              </w:rPr>
              <w:t>PROBLEMATIC</w:t>
            </w:r>
          </w:p>
          <w:p w14:paraId="2634AE1D" w14:textId="77777777" w:rsidR="000C465B" w:rsidRPr="000C465B" w:rsidRDefault="000C465B" w:rsidP="000C465B">
            <w:pPr>
              <w:spacing w:after="0"/>
              <w:rPr>
                <w:b/>
                <w:color w:val="FF0000"/>
                <w:sz w:val="20"/>
                <w:szCs w:val="20"/>
              </w:rPr>
            </w:pPr>
            <w:r w:rsidRPr="000C465B">
              <w:rPr>
                <w:sz w:val="20"/>
                <w:szCs w:val="20"/>
              </w:rPr>
              <w:t xml:space="preserve">The CQR on this package is problematic because the expression is clearly within the lower 30% of the PDP. Because CQRs are full statements which have numbers which can be over emphasized, the statements in their entirety need to remain outside the lower 30% of the PDP to ensure separation from the DoNQ.     </w:t>
            </w:r>
          </w:p>
        </w:tc>
      </w:tr>
      <w:tr w:rsidR="000C465B" w:rsidRPr="000C465B" w14:paraId="2D855544" w14:textId="77777777" w:rsidTr="005F0F3E">
        <w:tc>
          <w:tcPr>
            <w:tcW w:w="4484" w:type="dxa"/>
          </w:tcPr>
          <w:p w14:paraId="31BEB1E3" w14:textId="77777777" w:rsidR="000C465B" w:rsidRPr="000C465B" w:rsidRDefault="000C465B" w:rsidP="000C465B">
            <w:pPr>
              <w:spacing w:after="0"/>
              <w:jc w:val="left"/>
              <w:rPr>
                <w:b/>
                <w:color w:val="FF0000"/>
              </w:rPr>
            </w:pPr>
          </w:p>
        </w:tc>
        <w:tc>
          <w:tcPr>
            <w:tcW w:w="461" w:type="dxa"/>
          </w:tcPr>
          <w:p w14:paraId="7BBB2049" w14:textId="77777777" w:rsidR="000C465B" w:rsidRPr="000C465B" w:rsidRDefault="000C465B" w:rsidP="000C465B">
            <w:pPr>
              <w:spacing w:after="0"/>
              <w:jc w:val="left"/>
              <w:rPr>
                <w:b/>
                <w:color w:val="FF0000"/>
              </w:rPr>
            </w:pPr>
          </w:p>
        </w:tc>
        <w:tc>
          <w:tcPr>
            <w:tcW w:w="4405" w:type="dxa"/>
          </w:tcPr>
          <w:p w14:paraId="54D29405" w14:textId="77777777" w:rsidR="000C465B" w:rsidRPr="000C465B" w:rsidRDefault="000C465B" w:rsidP="000C465B">
            <w:pPr>
              <w:spacing w:after="0"/>
              <w:jc w:val="left"/>
              <w:rPr>
                <w:b/>
                <w:color w:val="FF0000"/>
              </w:rPr>
            </w:pPr>
          </w:p>
        </w:tc>
      </w:tr>
    </w:tbl>
    <w:p w14:paraId="6F24D62F" w14:textId="77777777" w:rsidR="000C465B" w:rsidRPr="000C465B" w:rsidRDefault="000C465B" w:rsidP="000C465B">
      <w:pPr>
        <w:spacing w:after="200" w:line="276" w:lineRule="auto"/>
        <w:jc w:val="left"/>
        <w:rPr>
          <w:sz w:val="22"/>
        </w:rPr>
      </w:pPr>
    </w:p>
    <w:p w14:paraId="7339CA06" w14:textId="77777777" w:rsidR="000C465B" w:rsidRPr="000C465B" w:rsidRDefault="000C465B" w:rsidP="000C465B">
      <w:pPr>
        <w:spacing w:after="200" w:line="276" w:lineRule="auto"/>
        <w:jc w:val="left"/>
        <w:rPr>
          <w:sz w:val="22"/>
        </w:rPr>
      </w:pPr>
    </w:p>
    <w:p w14:paraId="0B083940" w14:textId="77777777" w:rsidR="000C465B" w:rsidRPr="000C465B" w:rsidRDefault="000C465B" w:rsidP="000C465B">
      <w:pPr>
        <w:spacing w:after="200" w:line="276" w:lineRule="auto"/>
        <w:jc w:val="left"/>
        <w:rPr>
          <w:b/>
          <w:sz w:val="22"/>
        </w:rPr>
      </w:pPr>
    </w:p>
    <w:p w14:paraId="55890379" w14:textId="77777777" w:rsidR="000C465B" w:rsidRPr="000C465B" w:rsidRDefault="000C465B" w:rsidP="000C465B">
      <w:pPr>
        <w:spacing w:after="200" w:line="276" w:lineRule="auto"/>
        <w:rPr>
          <w:szCs w:val="20"/>
        </w:rPr>
      </w:pPr>
      <w:r w:rsidRPr="000C465B">
        <w:rPr>
          <w:b/>
          <w:szCs w:val="20"/>
        </w:rPr>
        <w:lastRenderedPageBreak/>
        <w:t xml:space="preserve">5.  </w:t>
      </w:r>
      <w:r w:rsidRPr="000C465B">
        <w:rPr>
          <w:b/>
          <w:szCs w:val="20"/>
          <w:u w:val="single"/>
        </w:rPr>
        <w:t>Comparative Performance Representation (CPR)</w:t>
      </w:r>
      <w:r w:rsidRPr="000C465B">
        <w:rPr>
          <w:b/>
          <w:bCs/>
          <w:szCs w:val="20"/>
        </w:rPr>
        <w:t xml:space="preserve"> </w:t>
      </w:r>
      <w:r w:rsidRPr="000C465B">
        <w:rPr>
          <w:szCs w:val="20"/>
        </w:rPr>
        <w:t xml:space="preserve">– A manufacturer is responsible for ensuring a Comparative Performance Representation (CPR’s) location, font, graphics or wording provides clear and non-misleading information which does not contradict or marginalize the information provided in the required Declaration of Net Quantity (DoNQ).   </w:t>
      </w:r>
    </w:p>
    <w:p w14:paraId="04570DC8" w14:textId="77777777" w:rsidR="000C465B" w:rsidRPr="000C465B" w:rsidRDefault="000C465B" w:rsidP="000C465B">
      <w:pPr>
        <w:spacing w:after="200" w:line="276" w:lineRule="auto"/>
        <w:rPr>
          <w:noProof/>
          <w:szCs w:val="20"/>
        </w:rPr>
      </w:pPr>
      <w:r w:rsidRPr="000C465B">
        <w:rPr>
          <w:szCs w:val="20"/>
        </w:rPr>
        <w:t xml:space="preserve">Comparative Performance Representations can appear in the upper 70% or lower 30% of the Principal Display Panel (PDP) as illustrated in the following examples which illustrate differences in color, font size, expression wording, and graphic design.   A CPR may employ a single color and font type or may combine 2 or more colors and fonts.  </w:t>
      </w:r>
      <w:r w:rsidRPr="000C465B">
        <w:rPr>
          <w:noProof/>
          <w:szCs w:val="20"/>
        </w:rPr>
        <w:t xml:space="preserve"> </w:t>
      </w:r>
    </w:p>
    <w:tbl>
      <w:tblPr>
        <w:tblStyle w:val="TableGrid22"/>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50"/>
        <w:gridCol w:w="4500"/>
      </w:tblGrid>
      <w:tr w:rsidR="000C465B" w:rsidRPr="000C465B" w14:paraId="371AA593" w14:textId="77777777" w:rsidTr="005F0F3E">
        <w:tc>
          <w:tcPr>
            <w:tcW w:w="4495" w:type="dxa"/>
          </w:tcPr>
          <w:tbl>
            <w:tblPr>
              <w:tblStyle w:val="TableGrid22"/>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0"/>
              <w:gridCol w:w="5055"/>
            </w:tblGrid>
            <w:tr w:rsidR="000C465B" w:rsidRPr="000C465B" w14:paraId="23BAFC00" w14:textId="77777777" w:rsidTr="005F0F3E">
              <w:tc>
                <w:tcPr>
                  <w:tcW w:w="4470" w:type="dxa"/>
                </w:tcPr>
                <w:p w14:paraId="1AB85673" w14:textId="77777777" w:rsidR="000C465B" w:rsidRPr="000C465B" w:rsidRDefault="000C465B" w:rsidP="000C465B">
                  <w:pPr>
                    <w:spacing w:after="0"/>
                    <w:jc w:val="center"/>
                    <w:rPr>
                      <w:bCs/>
                    </w:rPr>
                  </w:pPr>
                  <w:bookmarkStart w:id="904" w:name="_Hlk223872660"/>
                </w:p>
              </w:tc>
              <w:tc>
                <w:tcPr>
                  <w:tcW w:w="5055" w:type="dxa"/>
                </w:tcPr>
                <w:p w14:paraId="2CD9345F" w14:textId="77777777" w:rsidR="000C465B" w:rsidRPr="000C465B" w:rsidRDefault="000C465B" w:rsidP="000C465B">
                  <w:pPr>
                    <w:spacing w:after="0"/>
                    <w:jc w:val="center"/>
                    <w:rPr>
                      <w:bCs/>
                    </w:rPr>
                  </w:pPr>
                </w:p>
              </w:tc>
            </w:tr>
            <w:tr w:rsidR="000C465B" w:rsidRPr="000C465B" w14:paraId="752753D1" w14:textId="77777777" w:rsidTr="005F0F3E">
              <w:tc>
                <w:tcPr>
                  <w:tcW w:w="4470" w:type="dxa"/>
                </w:tcPr>
                <w:p w14:paraId="57625D85" w14:textId="77777777" w:rsidR="000C465B" w:rsidRPr="000C465B" w:rsidRDefault="000C465B" w:rsidP="000C465B">
                  <w:pPr>
                    <w:spacing w:after="0"/>
                    <w:rPr>
                      <w:bCs/>
                    </w:rPr>
                  </w:pPr>
                  <w:r w:rsidRPr="000C465B">
                    <w:t xml:space="preserve">    </w:t>
                  </w:r>
                  <w:r w:rsidRPr="000C465B">
                    <w:rPr>
                      <w:noProof/>
                    </w:rPr>
                    <w:drawing>
                      <wp:inline distT="0" distB="0" distL="0" distR="0" wp14:anchorId="530DAFE8" wp14:editId="4F22335E">
                        <wp:extent cx="2722439" cy="4646295"/>
                        <wp:effectExtent l="0" t="0" r="1905" b="1905"/>
                        <wp:docPr id="535980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80593" name="Picture 8"/>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724041" cy="4649029"/>
                                </a:xfrm>
                                <a:prstGeom prst="rect">
                                  <a:avLst/>
                                </a:prstGeom>
                                <a:noFill/>
                                <a:ln>
                                  <a:noFill/>
                                </a:ln>
                              </pic:spPr>
                            </pic:pic>
                          </a:graphicData>
                        </a:graphic>
                      </wp:inline>
                    </w:drawing>
                  </w:r>
                </w:p>
              </w:tc>
              <w:tc>
                <w:tcPr>
                  <w:tcW w:w="5055" w:type="dxa"/>
                </w:tcPr>
                <w:p w14:paraId="73AAA921" w14:textId="77777777" w:rsidR="000C465B" w:rsidRPr="000C465B" w:rsidRDefault="000C465B" w:rsidP="000C465B">
                  <w:pPr>
                    <w:spacing w:after="0"/>
                    <w:jc w:val="center"/>
                    <w:rPr>
                      <w:bCs/>
                    </w:rPr>
                  </w:pPr>
                </w:p>
              </w:tc>
            </w:tr>
            <w:bookmarkEnd w:id="904"/>
          </w:tbl>
          <w:p w14:paraId="00C76A72" w14:textId="77777777" w:rsidR="000C465B" w:rsidRPr="000C465B" w:rsidRDefault="000C465B" w:rsidP="000C465B">
            <w:pPr>
              <w:spacing w:after="0"/>
              <w:jc w:val="center"/>
              <w:rPr>
                <w:bCs/>
              </w:rPr>
            </w:pPr>
          </w:p>
        </w:tc>
        <w:tc>
          <w:tcPr>
            <w:tcW w:w="450" w:type="dxa"/>
          </w:tcPr>
          <w:p w14:paraId="7D4B5214" w14:textId="77777777" w:rsidR="000C465B" w:rsidRPr="000C465B" w:rsidRDefault="000C465B" w:rsidP="000C465B">
            <w:pPr>
              <w:spacing w:after="0"/>
              <w:jc w:val="center"/>
              <w:rPr>
                <w:noProof/>
              </w:rPr>
            </w:pPr>
          </w:p>
        </w:tc>
        <w:tc>
          <w:tcPr>
            <w:tcW w:w="4500" w:type="dxa"/>
          </w:tcPr>
          <w:p w14:paraId="4D98D216" w14:textId="77777777" w:rsidR="000C465B" w:rsidRPr="000C465B" w:rsidRDefault="000C465B" w:rsidP="000C465B">
            <w:pPr>
              <w:spacing w:after="0"/>
              <w:jc w:val="center"/>
              <w:rPr>
                <w:bCs/>
              </w:rPr>
            </w:pPr>
          </w:p>
          <w:p w14:paraId="7AC06EEE" w14:textId="77777777" w:rsidR="000C465B" w:rsidRPr="000C465B" w:rsidRDefault="000C465B" w:rsidP="000C465B">
            <w:pPr>
              <w:spacing w:after="0"/>
              <w:jc w:val="center"/>
              <w:rPr>
                <w:bCs/>
              </w:rPr>
            </w:pPr>
          </w:p>
          <w:p w14:paraId="436C919A" w14:textId="77777777" w:rsidR="000C465B" w:rsidRPr="000C465B" w:rsidRDefault="000C465B" w:rsidP="000C465B">
            <w:pPr>
              <w:spacing w:after="0"/>
              <w:jc w:val="center"/>
              <w:rPr>
                <w:bCs/>
              </w:rPr>
            </w:pPr>
            <w:r w:rsidRPr="000C465B">
              <w:rPr>
                <w:noProof/>
              </w:rPr>
              <w:drawing>
                <wp:inline distT="0" distB="0" distL="0" distR="0" wp14:anchorId="6E19800D" wp14:editId="635269EF">
                  <wp:extent cx="2722772" cy="4646864"/>
                  <wp:effectExtent l="0" t="0" r="1905" b="1905"/>
                  <wp:docPr id="19580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44" name="Picture 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722772" cy="4646864"/>
                          </a:xfrm>
                          <a:prstGeom prst="rect">
                            <a:avLst/>
                          </a:prstGeom>
                          <a:noFill/>
                          <a:ln>
                            <a:noFill/>
                          </a:ln>
                        </pic:spPr>
                      </pic:pic>
                    </a:graphicData>
                  </a:graphic>
                </wp:inline>
              </w:drawing>
            </w:r>
          </w:p>
        </w:tc>
      </w:tr>
      <w:tr w:rsidR="000C465B" w:rsidRPr="000C465B" w14:paraId="216CB0EF" w14:textId="77777777" w:rsidTr="005F0F3E">
        <w:trPr>
          <w:trHeight w:val="512"/>
        </w:trPr>
        <w:tc>
          <w:tcPr>
            <w:tcW w:w="4495" w:type="dxa"/>
          </w:tcPr>
          <w:p w14:paraId="144ED012" w14:textId="77777777" w:rsidR="000C465B" w:rsidRPr="000C465B" w:rsidRDefault="000C465B" w:rsidP="000C465B">
            <w:pPr>
              <w:spacing w:after="0"/>
              <w:contextualSpacing/>
              <w:jc w:val="center"/>
              <w:rPr>
                <w:sz w:val="36"/>
                <w:szCs w:val="36"/>
              </w:rPr>
            </w:pPr>
            <w:r w:rsidRPr="000C465B">
              <w:rPr>
                <w:b/>
                <w:color w:val="00B050"/>
                <w:sz w:val="36"/>
                <w:szCs w:val="36"/>
              </w:rPr>
              <w:t>PREFERRED</w:t>
            </w:r>
          </w:p>
        </w:tc>
        <w:tc>
          <w:tcPr>
            <w:tcW w:w="450" w:type="dxa"/>
          </w:tcPr>
          <w:p w14:paraId="2E9109F2" w14:textId="77777777" w:rsidR="000C465B" w:rsidRPr="000C465B" w:rsidRDefault="000C465B" w:rsidP="000C465B">
            <w:pPr>
              <w:spacing w:after="0"/>
              <w:contextualSpacing/>
              <w:jc w:val="center"/>
              <w:rPr>
                <w:b/>
                <w:color w:val="FF0000"/>
                <w:sz w:val="40"/>
                <w:szCs w:val="40"/>
              </w:rPr>
            </w:pPr>
          </w:p>
        </w:tc>
        <w:tc>
          <w:tcPr>
            <w:tcW w:w="4500" w:type="dxa"/>
          </w:tcPr>
          <w:p w14:paraId="0D3766BA" w14:textId="77777777" w:rsidR="000C465B" w:rsidRPr="000C465B" w:rsidRDefault="000C465B" w:rsidP="000C465B">
            <w:pPr>
              <w:spacing w:after="0"/>
              <w:contextualSpacing/>
              <w:jc w:val="center"/>
              <w:rPr>
                <w:b/>
                <w:color w:val="FF0000"/>
                <w:sz w:val="36"/>
                <w:szCs w:val="36"/>
              </w:rPr>
            </w:pPr>
            <w:r w:rsidRPr="000C465B">
              <w:rPr>
                <w:b/>
                <w:color w:val="FF0000"/>
                <w:sz w:val="36"/>
                <w:szCs w:val="36"/>
              </w:rPr>
              <w:t>PROBLEMATIC</w:t>
            </w:r>
          </w:p>
        </w:tc>
      </w:tr>
      <w:tr w:rsidR="000C465B" w:rsidRPr="000C465B" w14:paraId="0C094548" w14:textId="77777777" w:rsidTr="005F0F3E">
        <w:tc>
          <w:tcPr>
            <w:tcW w:w="4495" w:type="dxa"/>
          </w:tcPr>
          <w:p w14:paraId="61CC7F9D" w14:textId="77777777" w:rsidR="000C465B" w:rsidRPr="000C465B" w:rsidRDefault="000C465B" w:rsidP="000C465B">
            <w:pPr>
              <w:spacing w:after="0"/>
              <w:rPr>
                <w:sz w:val="20"/>
                <w:szCs w:val="20"/>
              </w:rPr>
            </w:pPr>
            <w:r w:rsidRPr="000C465B">
              <w:rPr>
                <w:sz w:val="20"/>
                <w:szCs w:val="20"/>
              </w:rPr>
              <w:t xml:space="preserve">The CPR on this package is an expression which clearly compares the number of Loads delivered between 2 specific packages. The statement is clearly separate from the DoNQ.     </w:t>
            </w:r>
          </w:p>
          <w:p w14:paraId="7D488C1D" w14:textId="77777777" w:rsidR="000C465B" w:rsidRPr="000C465B" w:rsidRDefault="000C465B" w:rsidP="000C465B">
            <w:pPr>
              <w:spacing w:after="0"/>
              <w:jc w:val="center"/>
              <w:rPr>
                <w:bCs/>
              </w:rPr>
            </w:pPr>
          </w:p>
        </w:tc>
        <w:tc>
          <w:tcPr>
            <w:tcW w:w="450" w:type="dxa"/>
          </w:tcPr>
          <w:p w14:paraId="63342BD2" w14:textId="77777777" w:rsidR="000C465B" w:rsidRPr="000C465B" w:rsidRDefault="000C465B" w:rsidP="000C465B">
            <w:pPr>
              <w:spacing w:after="0"/>
              <w:jc w:val="left"/>
              <w:rPr>
                <w:color w:val="80319F"/>
              </w:rPr>
            </w:pPr>
          </w:p>
        </w:tc>
        <w:tc>
          <w:tcPr>
            <w:tcW w:w="4500" w:type="dxa"/>
          </w:tcPr>
          <w:p w14:paraId="6381F7B8" w14:textId="77777777" w:rsidR="000C465B" w:rsidRPr="000C465B" w:rsidRDefault="000C465B" w:rsidP="000C465B">
            <w:pPr>
              <w:spacing w:after="0"/>
              <w:rPr>
                <w:bCs/>
                <w:sz w:val="20"/>
                <w:szCs w:val="20"/>
              </w:rPr>
            </w:pPr>
            <w:r w:rsidRPr="000C465B">
              <w:rPr>
                <w:sz w:val="20"/>
                <w:szCs w:val="20"/>
              </w:rPr>
              <w:t xml:space="preserve">The CPR on this package is a general statement comparing this package to powdered detergents </w:t>
            </w:r>
            <w:r w:rsidRPr="000C465B">
              <w:rPr>
                <w:spacing w:val="4"/>
                <w:sz w:val="20"/>
                <w:szCs w:val="20"/>
              </w:rPr>
              <w:t>without clear comparison to any specific package. While located separate from the DoNQ, a CPR needs to provide specific and</w:t>
            </w:r>
            <w:r w:rsidRPr="000C465B">
              <w:rPr>
                <w:sz w:val="20"/>
                <w:szCs w:val="20"/>
              </w:rPr>
              <w:t xml:space="preserve"> comparisons which can be used by consumers and verified by regulators.   </w:t>
            </w:r>
          </w:p>
        </w:tc>
      </w:tr>
    </w:tbl>
    <w:p w14:paraId="5AB3A329" w14:textId="77777777" w:rsidR="000C465B" w:rsidRPr="000C465B" w:rsidRDefault="000C465B" w:rsidP="000C465B">
      <w:pPr>
        <w:spacing w:after="200" w:line="276" w:lineRule="auto"/>
        <w:jc w:val="left"/>
        <w:rPr>
          <w:b/>
          <w:bCs/>
          <w:sz w:val="22"/>
          <w:u w:val="single"/>
        </w:rPr>
      </w:pPr>
    </w:p>
    <w:p w14:paraId="24DCE834" w14:textId="77777777" w:rsidR="0028091E" w:rsidRDefault="0028091E" w:rsidP="000C465B">
      <w:pPr>
        <w:spacing w:after="200" w:line="276" w:lineRule="auto"/>
        <w:jc w:val="center"/>
        <w:rPr>
          <w:b/>
          <w:sz w:val="40"/>
          <w:szCs w:val="40"/>
        </w:rPr>
      </w:pPr>
    </w:p>
    <w:p w14:paraId="38874B17" w14:textId="701D0886" w:rsidR="000C465B" w:rsidRPr="000C465B" w:rsidRDefault="000C465B" w:rsidP="000C465B">
      <w:pPr>
        <w:spacing w:after="200" w:line="276" w:lineRule="auto"/>
        <w:jc w:val="center"/>
        <w:rPr>
          <w:b/>
          <w:sz w:val="40"/>
          <w:szCs w:val="40"/>
        </w:rPr>
      </w:pPr>
      <w:r w:rsidRPr="000C465B">
        <w:rPr>
          <w:b/>
          <w:sz w:val="40"/>
          <w:szCs w:val="40"/>
        </w:rPr>
        <w:lastRenderedPageBreak/>
        <w:t>Resources</w:t>
      </w:r>
    </w:p>
    <w:p w14:paraId="39587A1D" w14:textId="77777777" w:rsidR="000C465B" w:rsidRPr="000C465B" w:rsidRDefault="000C465B" w:rsidP="000C465B">
      <w:pPr>
        <w:spacing w:after="0"/>
        <w:jc w:val="left"/>
        <w:rPr>
          <w:b/>
          <w:bCs/>
          <w:sz w:val="22"/>
        </w:rPr>
      </w:pPr>
    </w:p>
    <w:p w14:paraId="12516C53" w14:textId="77777777" w:rsidR="000C465B" w:rsidRPr="000C465B" w:rsidRDefault="000C465B" w:rsidP="000C465B">
      <w:pPr>
        <w:spacing w:after="0"/>
        <w:jc w:val="left"/>
        <w:rPr>
          <w:b/>
          <w:bCs/>
          <w:sz w:val="22"/>
        </w:rPr>
      </w:pPr>
    </w:p>
    <w:p w14:paraId="58B5720F" w14:textId="77777777" w:rsidR="000C465B" w:rsidRPr="000C465B" w:rsidRDefault="000C465B" w:rsidP="000C465B">
      <w:pPr>
        <w:spacing w:after="0"/>
        <w:rPr>
          <w:b/>
          <w:bCs/>
          <w:sz w:val="22"/>
        </w:rPr>
      </w:pPr>
      <w:r w:rsidRPr="000C465B">
        <w:rPr>
          <w:b/>
          <w:bCs/>
          <w:sz w:val="22"/>
        </w:rPr>
        <w:t xml:space="preserve">Federal Trade Commission Act (15 U.S.C. § 45) </w:t>
      </w:r>
    </w:p>
    <w:p w14:paraId="43E59559" w14:textId="77777777" w:rsidR="000C465B" w:rsidRPr="000C465B" w:rsidRDefault="000C465B" w:rsidP="000C465B">
      <w:pPr>
        <w:spacing w:after="0"/>
        <w:rPr>
          <w:sz w:val="22"/>
        </w:rPr>
      </w:pPr>
      <w:hyperlink r:id="rId94" w:history="1">
        <w:r w:rsidRPr="000C465B">
          <w:rPr>
            <w:color w:val="0000FF"/>
            <w:sz w:val="22"/>
            <w:u w:val="single"/>
          </w:rPr>
          <w:t>https://www.ftc.gov/legal-library/browse/statutes/federal-trade-commission-act</w:t>
        </w:r>
      </w:hyperlink>
    </w:p>
    <w:p w14:paraId="599F4063" w14:textId="77777777" w:rsidR="000C465B" w:rsidRPr="000C465B" w:rsidRDefault="000C465B" w:rsidP="000C465B">
      <w:pPr>
        <w:spacing w:after="0"/>
        <w:rPr>
          <w:sz w:val="8"/>
          <w:szCs w:val="8"/>
        </w:rPr>
      </w:pPr>
    </w:p>
    <w:p w14:paraId="4D75F3A0" w14:textId="77777777" w:rsidR="000C465B" w:rsidRPr="000C465B" w:rsidRDefault="000C465B" w:rsidP="000C465B">
      <w:pPr>
        <w:spacing w:after="0"/>
        <w:rPr>
          <w:sz w:val="22"/>
        </w:rPr>
      </w:pPr>
      <w:hyperlink r:id="rId95" w:history="1">
        <w:r w:rsidRPr="000C465B">
          <w:rPr>
            <w:color w:val="0000FF"/>
            <w:sz w:val="22"/>
            <w:u w:val="single"/>
          </w:rPr>
          <w:t>https://www.ftc.govhttp://uscode.house.gov/view.xhtml</w:t>
        </w:r>
      </w:hyperlink>
    </w:p>
    <w:p w14:paraId="41101CEA" w14:textId="77777777" w:rsidR="000C465B" w:rsidRPr="000C465B" w:rsidRDefault="000C465B" w:rsidP="000C465B">
      <w:pPr>
        <w:spacing w:after="0"/>
        <w:jc w:val="left"/>
        <w:rPr>
          <w:b/>
          <w:bCs/>
          <w:sz w:val="22"/>
        </w:rPr>
      </w:pPr>
    </w:p>
    <w:p w14:paraId="2232040B" w14:textId="77777777" w:rsidR="000C465B" w:rsidRPr="000C465B" w:rsidRDefault="000C465B" w:rsidP="000C465B">
      <w:pPr>
        <w:spacing w:after="0"/>
        <w:jc w:val="left"/>
        <w:rPr>
          <w:b/>
          <w:bCs/>
          <w:sz w:val="22"/>
        </w:rPr>
      </w:pPr>
      <w:r w:rsidRPr="000C465B">
        <w:rPr>
          <w:b/>
          <w:bCs/>
          <w:sz w:val="22"/>
        </w:rPr>
        <w:t xml:space="preserve">Fair Packaging and Labeling Act </w:t>
      </w:r>
    </w:p>
    <w:p w14:paraId="73D1D4F6" w14:textId="77777777" w:rsidR="000C465B" w:rsidRPr="000C465B" w:rsidRDefault="000C465B" w:rsidP="000C465B">
      <w:pPr>
        <w:spacing w:after="0"/>
        <w:jc w:val="left"/>
        <w:rPr>
          <w:sz w:val="22"/>
        </w:rPr>
      </w:pPr>
      <w:hyperlink r:id="rId96" w:history="1">
        <w:r w:rsidRPr="000C465B">
          <w:rPr>
            <w:color w:val="0000FF"/>
            <w:sz w:val="22"/>
            <w:u w:val="single"/>
          </w:rPr>
          <w:t>https://www.ftc.gov/enforcement/rules/rulemaking-regulatory-reformproceedings/fair-packaging-labeling-act-regulations-0</w:t>
        </w:r>
      </w:hyperlink>
      <w:r w:rsidRPr="000C465B">
        <w:rPr>
          <w:sz w:val="22"/>
        </w:rPr>
        <w:t xml:space="preserve"> </w:t>
      </w:r>
    </w:p>
    <w:p w14:paraId="53E3DFB2" w14:textId="77777777" w:rsidR="000C465B" w:rsidRPr="000C465B" w:rsidRDefault="000C465B" w:rsidP="000C465B">
      <w:pPr>
        <w:spacing w:after="0"/>
        <w:jc w:val="left"/>
        <w:rPr>
          <w:b/>
          <w:bCs/>
          <w:sz w:val="22"/>
        </w:rPr>
      </w:pPr>
    </w:p>
    <w:p w14:paraId="68099317" w14:textId="77777777" w:rsidR="000C465B" w:rsidRPr="000C465B" w:rsidRDefault="000C465B" w:rsidP="000C465B">
      <w:pPr>
        <w:spacing w:after="0"/>
        <w:jc w:val="left"/>
        <w:rPr>
          <w:sz w:val="22"/>
        </w:rPr>
      </w:pPr>
      <w:r w:rsidRPr="000C465B">
        <w:rPr>
          <w:b/>
          <w:bCs/>
          <w:sz w:val="22"/>
        </w:rPr>
        <w:t>NIST Handbook 130 Uniform Laws and Regulations</w:t>
      </w:r>
      <w:r w:rsidRPr="000C465B">
        <w:rPr>
          <w:sz w:val="22"/>
        </w:rPr>
        <w:t xml:space="preserve">  </w:t>
      </w:r>
      <w:r w:rsidRPr="000C465B">
        <w:rPr>
          <w:i/>
          <w:iCs/>
          <w:sz w:val="22"/>
        </w:rPr>
        <w:t xml:space="preserve">(includes Uniform Weights and Measures Law, Uniform Packaging and Labeling Regulation, Uniform E-Commerce Regulation)                                             </w:t>
      </w:r>
      <w:hyperlink r:id="rId97" w:history="1">
        <w:r w:rsidRPr="000C465B">
          <w:rPr>
            <w:color w:val="0000FF"/>
            <w:sz w:val="22"/>
            <w:u w:val="single"/>
          </w:rPr>
          <w:t>https://www.nist.gov/pml/weights-andmeasures/publications/nist-handbooks/handbook-130-current-edition</w:t>
        </w:r>
      </w:hyperlink>
      <w:r w:rsidRPr="000C465B">
        <w:rPr>
          <w:sz w:val="22"/>
        </w:rPr>
        <w:t xml:space="preserve"> </w:t>
      </w:r>
    </w:p>
    <w:p w14:paraId="525CDAFB" w14:textId="77777777" w:rsidR="000C465B" w:rsidRPr="000C465B" w:rsidRDefault="000C465B" w:rsidP="000C465B">
      <w:pPr>
        <w:spacing w:after="0"/>
        <w:jc w:val="left"/>
        <w:rPr>
          <w:sz w:val="22"/>
        </w:rPr>
      </w:pPr>
      <w:r w:rsidRPr="000C465B">
        <w:rPr>
          <w:sz w:val="22"/>
        </w:rPr>
        <w:t xml:space="preserve">                                               </w:t>
      </w:r>
    </w:p>
    <w:p w14:paraId="4F49B22A" w14:textId="77777777" w:rsidR="000C465B" w:rsidRPr="000C465B" w:rsidRDefault="000C465B" w:rsidP="000C465B">
      <w:pPr>
        <w:spacing w:after="0"/>
        <w:jc w:val="left"/>
        <w:rPr>
          <w:color w:val="595959"/>
          <w:sz w:val="22"/>
        </w:rPr>
      </w:pPr>
      <w:r w:rsidRPr="000C465B">
        <w:rPr>
          <w:b/>
          <w:bCs/>
          <w:sz w:val="22"/>
        </w:rPr>
        <w:t xml:space="preserve">FDA Food Labeling Guide </w:t>
      </w:r>
      <w:r w:rsidRPr="000C465B">
        <w:rPr>
          <w:i/>
          <w:iCs/>
          <w:sz w:val="22"/>
        </w:rPr>
        <w:t xml:space="preserve">                                                                                 </w:t>
      </w:r>
      <w:hyperlink r:id="rId98" w:history="1">
        <w:r w:rsidRPr="000C465B">
          <w:rPr>
            <w:color w:val="0000FF"/>
            <w:sz w:val="22"/>
            <w:u w:val="single"/>
          </w:rPr>
          <w:t>https://www.fda.gov/foodlabelingguide</w:t>
        </w:r>
      </w:hyperlink>
      <w:r w:rsidRPr="000C465B">
        <w:rPr>
          <w:color w:val="595959"/>
          <w:sz w:val="22"/>
        </w:rPr>
        <w:t xml:space="preserve"> </w:t>
      </w:r>
    </w:p>
    <w:p w14:paraId="5944CD13" w14:textId="77777777" w:rsidR="000C465B" w:rsidRPr="000C465B" w:rsidRDefault="000C465B" w:rsidP="000C465B">
      <w:pPr>
        <w:spacing w:after="0"/>
        <w:jc w:val="left"/>
        <w:rPr>
          <w:color w:val="595959"/>
          <w:sz w:val="22"/>
        </w:rPr>
      </w:pPr>
    </w:p>
    <w:p w14:paraId="3F7C273F" w14:textId="77777777" w:rsidR="000C465B" w:rsidRPr="000C465B" w:rsidRDefault="000C465B" w:rsidP="000C465B">
      <w:pPr>
        <w:spacing w:after="0"/>
        <w:jc w:val="left"/>
        <w:rPr>
          <w:color w:val="595959"/>
          <w:sz w:val="22"/>
        </w:rPr>
      </w:pPr>
      <w:r w:rsidRPr="000C465B">
        <w:rPr>
          <w:b/>
          <w:bCs/>
          <w:sz w:val="22"/>
        </w:rPr>
        <w:t>FDA Updated Nutrition Labeling Examples</w:t>
      </w:r>
      <w:r w:rsidRPr="000C465B">
        <w:rPr>
          <w:sz w:val="22"/>
        </w:rPr>
        <w:t xml:space="preserve">                                             </w:t>
      </w:r>
      <w:hyperlink r:id="rId99" w:history="1">
        <w:r w:rsidRPr="000C465B">
          <w:rPr>
            <w:color w:val="0000FF"/>
            <w:sz w:val="22"/>
            <w:u w:val="single"/>
          </w:rPr>
          <w:t>https://www.fda.gov/media/99151/download</w:t>
        </w:r>
      </w:hyperlink>
      <w:r w:rsidRPr="000C465B">
        <w:rPr>
          <w:color w:val="595959"/>
          <w:sz w:val="22"/>
        </w:rPr>
        <w:t xml:space="preserve"> </w:t>
      </w:r>
    </w:p>
    <w:p w14:paraId="18FA7175" w14:textId="77777777" w:rsidR="000C465B" w:rsidRPr="000C465B" w:rsidRDefault="000C465B" w:rsidP="000C465B">
      <w:pPr>
        <w:spacing w:after="0"/>
        <w:jc w:val="left"/>
        <w:rPr>
          <w:color w:val="595959"/>
          <w:sz w:val="22"/>
        </w:rPr>
      </w:pPr>
    </w:p>
    <w:p w14:paraId="5ADF599D" w14:textId="77777777" w:rsidR="000C465B" w:rsidRPr="000C465B" w:rsidRDefault="000C465B" w:rsidP="000C465B">
      <w:pPr>
        <w:spacing w:after="0"/>
        <w:jc w:val="left"/>
        <w:rPr>
          <w:sz w:val="22"/>
        </w:rPr>
      </w:pPr>
      <w:r w:rsidRPr="000C465B">
        <w:rPr>
          <w:b/>
          <w:bCs/>
          <w:sz w:val="22"/>
        </w:rPr>
        <w:t xml:space="preserve">FDA Cosmetic Labeling Regulations                                                                  </w:t>
      </w:r>
      <w:hyperlink r:id="rId100" w:history="1">
        <w:r w:rsidRPr="000C465B">
          <w:rPr>
            <w:color w:val="0000FF"/>
            <w:sz w:val="22"/>
            <w:u w:val="single"/>
          </w:rPr>
          <w:t>https://www.fda.gov/cosmetics/cosmetics-labeling-regulations/codefederal-regulations-sections-cosmetics-labeling-cfr-title-21-part-701</w:t>
        </w:r>
      </w:hyperlink>
      <w:r w:rsidRPr="000C465B">
        <w:rPr>
          <w:sz w:val="22"/>
        </w:rPr>
        <w:t xml:space="preserve"> </w:t>
      </w:r>
    </w:p>
    <w:p w14:paraId="457DBA25" w14:textId="77777777" w:rsidR="000C465B" w:rsidRPr="000C465B" w:rsidRDefault="000C465B" w:rsidP="000C465B">
      <w:pPr>
        <w:spacing w:after="0"/>
        <w:jc w:val="left"/>
        <w:rPr>
          <w:sz w:val="22"/>
        </w:rPr>
      </w:pPr>
    </w:p>
    <w:p w14:paraId="035AFCAE" w14:textId="77777777" w:rsidR="000C465B" w:rsidRPr="000C465B" w:rsidRDefault="000C465B" w:rsidP="000C465B">
      <w:pPr>
        <w:spacing w:after="0"/>
        <w:jc w:val="left"/>
        <w:rPr>
          <w:sz w:val="22"/>
        </w:rPr>
      </w:pPr>
      <w:r w:rsidRPr="000C465B">
        <w:rPr>
          <w:b/>
          <w:bCs/>
          <w:sz w:val="22"/>
        </w:rPr>
        <w:t>FDA Cosmetic Labeling Guide</w:t>
      </w:r>
      <w:r w:rsidRPr="000C465B">
        <w:rPr>
          <w:i/>
          <w:iCs/>
          <w:sz w:val="22"/>
        </w:rPr>
        <w:t xml:space="preserve">                                                                      </w:t>
      </w:r>
      <w:hyperlink r:id="rId101" w:history="1">
        <w:r w:rsidRPr="000C465B">
          <w:rPr>
            <w:color w:val="0000FF"/>
            <w:sz w:val="22"/>
            <w:u w:val="single"/>
          </w:rPr>
          <w:t>https://www.fda.gov/cosmetics/cosmetics-labeling-regulations/cosmetics-labeling-guide</w:t>
        </w:r>
      </w:hyperlink>
    </w:p>
    <w:p w14:paraId="549C4D84" w14:textId="77777777" w:rsidR="000C465B" w:rsidRPr="000C465B" w:rsidRDefault="000C465B" w:rsidP="000C465B">
      <w:pPr>
        <w:spacing w:after="0"/>
        <w:jc w:val="left"/>
        <w:rPr>
          <w:sz w:val="22"/>
        </w:rPr>
      </w:pPr>
    </w:p>
    <w:p w14:paraId="0B56A489" w14:textId="77777777" w:rsidR="000C465B" w:rsidRPr="000C465B" w:rsidRDefault="000C465B" w:rsidP="000C465B">
      <w:pPr>
        <w:spacing w:after="0"/>
        <w:rPr>
          <w:rFonts w:ascii="Arial" w:hAnsi="Arial"/>
          <w:szCs w:val="20"/>
        </w:rPr>
      </w:pPr>
    </w:p>
    <w:p w14:paraId="15F2DE9C" w14:textId="77777777" w:rsidR="000C465B" w:rsidRPr="000C465B" w:rsidRDefault="000C465B" w:rsidP="000C465B">
      <w:pPr>
        <w:spacing w:after="0"/>
        <w:rPr>
          <w:rFonts w:ascii="Arial" w:hAnsi="Arial"/>
          <w:szCs w:val="20"/>
        </w:rPr>
      </w:pPr>
    </w:p>
    <w:p w14:paraId="2152BB0D" w14:textId="77777777" w:rsidR="000C465B" w:rsidRPr="000C465B" w:rsidRDefault="000C465B" w:rsidP="000C465B">
      <w:pPr>
        <w:spacing w:after="0"/>
        <w:jc w:val="left"/>
        <w:rPr>
          <w:rFonts w:ascii="Calibri" w:hAnsi="Calibri" w:cs="Calibri"/>
          <w:sz w:val="22"/>
        </w:rPr>
      </w:pPr>
    </w:p>
    <w:p w14:paraId="7DDE93EC" w14:textId="77777777" w:rsidR="000C465B" w:rsidRPr="000C465B" w:rsidRDefault="000C465B" w:rsidP="000C465B">
      <w:pPr>
        <w:spacing w:after="0"/>
        <w:jc w:val="left"/>
        <w:rPr>
          <w:rFonts w:ascii="Calibri" w:hAnsi="Calibri" w:cs="Calibri"/>
          <w:color w:val="595959"/>
          <w:sz w:val="22"/>
        </w:rPr>
      </w:pPr>
    </w:p>
    <w:p w14:paraId="5EDDB965" w14:textId="77777777" w:rsidR="000C465B" w:rsidRPr="000C465B" w:rsidRDefault="000C465B" w:rsidP="000C465B">
      <w:pPr>
        <w:spacing w:after="0"/>
        <w:jc w:val="left"/>
        <w:rPr>
          <w:rFonts w:ascii="Arial" w:hAnsi="Arial" w:cs="Arial"/>
          <w:color w:val="595959"/>
          <w:sz w:val="22"/>
        </w:rPr>
      </w:pPr>
    </w:p>
    <w:p w14:paraId="7B1E50D9" w14:textId="77777777" w:rsidR="000C465B" w:rsidRPr="000C465B" w:rsidRDefault="000C465B" w:rsidP="000C465B">
      <w:pPr>
        <w:spacing w:after="0"/>
        <w:jc w:val="left"/>
        <w:rPr>
          <w:rFonts w:ascii="Calibri" w:hAnsi="Calibri" w:cs="Calibri"/>
          <w:color w:val="595959"/>
          <w:sz w:val="22"/>
        </w:rPr>
      </w:pPr>
    </w:p>
    <w:p w14:paraId="55108A05" w14:textId="77777777" w:rsidR="000C465B" w:rsidRPr="000C465B" w:rsidRDefault="000C465B" w:rsidP="000C465B">
      <w:pPr>
        <w:spacing w:after="0"/>
        <w:jc w:val="left"/>
        <w:rPr>
          <w:rFonts w:ascii="Calibri" w:hAnsi="Calibri" w:cs="Calibri"/>
          <w:color w:val="595959"/>
          <w:sz w:val="22"/>
        </w:rPr>
      </w:pPr>
    </w:p>
    <w:p w14:paraId="4F46F805" w14:textId="582A2E62" w:rsidR="007D489A" w:rsidRPr="00185462" w:rsidRDefault="007D489A" w:rsidP="009170BE">
      <w:pPr>
        <w:spacing w:after="0"/>
        <w:jc w:val="left"/>
        <w:rPr>
          <w:b/>
          <w:sz w:val="28"/>
          <w:szCs w:val="28"/>
        </w:rPr>
      </w:pPr>
    </w:p>
    <w:sectPr w:rsidR="007D489A" w:rsidRPr="00185462" w:rsidSect="00063DA2">
      <w:headerReference w:type="even" r:id="rId102"/>
      <w:headerReference w:type="default" r:id="rId103"/>
      <w:footerReference w:type="even" r:id="rId104"/>
      <w:footerReference w:type="default" r:id="rId105"/>
      <w:pgSz w:w="12240" w:h="15840"/>
      <w:pgMar w:top="1440" w:right="1350" w:bottom="1440" w:left="1440" w:header="576" w:footer="0" w:gutter="0"/>
      <w:pgNumType w:start="9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87" w:author="McGuire, John T. Mr. (Fed)" w:date="2025-01-09T06:57:00Z" w:initials="MJTM(">
    <w:p w14:paraId="6BB6CF5C" w14:textId="77777777" w:rsidR="000C465B" w:rsidRDefault="000C465B" w:rsidP="00083869">
      <w:pPr>
        <w:pStyle w:val="CommentText"/>
      </w:pPr>
      <w:r>
        <w:rPr>
          <w:rStyle w:val="CommentReference"/>
        </w:rPr>
        <w:annotationRef/>
      </w:r>
      <w:r>
        <w:t>rewrite</w:t>
      </w:r>
    </w:p>
  </w:comment>
  <w:comment w:id="892" w:author="Juroch, Zina" w:date="2025-04-15T18:02:00Z" w:initials="ZJ">
    <w:p w14:paraId="5F3DFEF2" w14:textId="77777777" w:rsidR="000C465B" w:rsidRDefault="000C465B" w:rsidP="00971A8B">
      <w:pPr>
        <w:pStyle w:val="CommentText"/>
      </w:pPr>
      <w:r>
        <w:rPr>
          <w:rStyle w:val="CommentReference"/>
        </w:rPr>
        <w:annotationRef/>
      </w:r>
      <w:r>
        <w:t xml:space="preserve">Why are the measurements in red? </w:t>
      </w:r>
    </w:p>
  </w:comment>
  <w:comment w:id="893" w:author="Juroch, Zina" w:date="2025-04-15T18:04:00Z" w:initials="ZJ">
    <w:p w14:paraId="686A73EF" w14:textId="77777777" w:rsidR="000C465B" w:rsidRDefault="000C465B">
      <w:pPr>
        <w:pStyle w:val="CommentText"/>
      </w:pPr>
      <w:r>
        <w:rPr>
          <w:rStyle w:val="CommentReference"/>
        </w:rPr>
        <w:annotationRef/>
      </w:r>
      <w:r>
        <w:t>Why are they red here too?</w:t>
      </w:r>
    </w:p>
  </w:comment>
  <w:comment w:id="895" w:author="Juroch, Zina" w:date="2025-04-22T16:06:00Z" w:initials="ZJ">
    <w:p w14:paraId="56EE98DA" w14:textId="77777777" w:rsidR="000C465B" w:rsidRDefault="000C465B">
      <w:pPr>
        <w:pStyle w:val="CommentText"/>
      </w:pPr>
      <w:r>
        <w:rPr>
          <w:rStyle w:val="CommentReference"/>
        </w:rPr>
        <w:annotationRef/>
      </w:r>
      <w:r>
        <w:t>Cannot locate this on the internet. I know this information is available somewhere else. Perhaps a location that is accessible should be provided either in place of this current location or in addition to.</w:t>
      </w:r>
    </w:p>
  </w:comment>
  <w:comment w:id="896" w:author="Juroch, Zina" w:date="2025-04-28T15:45:00Z" w:initials="ZJ">
    <w:p w14:paraId="1A6AB4CB" w14:textId="77777777" w:rsidR="000C465B" w:rsidRDefault="000C465B">
      <w:pPr>
        <w:pStyle w:val="CommentText"/>
      </w:pPr>
      <w:r>
        <w:rPr>
          <w:rStyle w:val="CommentReference"/>
        </w:rPr>
        <w:annotationRef/>
      </w:r>
    </w:p>
  </w:comment>
  <w:comment w:id="897" w:author="Juroch, Zina" w:date="2025-04-28T15:47:00Z" w:initials="ZJ">
    <w:p w14:paraId="0AA6A22C" w14:textId="77777777" w:rsidR="000C465B" w:rsidRDefault="000C465B">
      <w:pPr>
        <w:pStyle w:val="CommentText"/>
      </w:pPr>
      <w:r>
        <w:rPr>
          <w:rStyle w:val="CommentReference"/>
        </w:rPr>
        <w:annotationRef/>
      </w:r>
      <w:r>
        <w:t>What regulation? The FPLA?</w:t>
      </w:r>
    </w:p>
  </w:comment>
  <w:comment w:id="898" w:author="Juroch, Zina" w:date="2025-04-30T09:42:00Z" w:initials="ZJ">
    <w:p w14:paraId="35A81DF8" w14:textId="77777777" w:rsidR="000C465B" w:rsidRDefault="000C465B">
      <w:pPr>
        <w:pStyle w:val="CommentText"/>
      </w:pPr>
      <w:r>
        <w:rPr>
          <w:rStyle w:val="CommentReference"/>
        </w:rPr>
        <w:annotationRef/>
      </w:r>
      <w:r>
        <w:t>Per Chris, the three sections in 16 CFR (which would be 16 CFR 500-503)</w:t>
      </w:r>
    </w:p>
  </w:comment>
  <w:comment w:id="899" w:author="Juroch, Zina" w:date="2025-04-28T15:46:00Z" w:initials="ZJ">
    <w:p w14:paraId="0D927E7A" w14:textId="77777777" w:rsidR="000C465B" w:rsidRDefault="000C465B">
      <w:pPr>
        <w:pStyle w:val="CommentText"/>
      </w:pPr>
      <w:r>
        <w:rPr>
          <w:rStyle w:val="CommentReference"/>
        </w:rPr>
        <w:annotationRef/>
      </w:r>
    </w:p>
  </w:comment>
  <w:comment w:id="901" w:author="Smith, Michael (AGRICULTURE)" w:date="2025-11-24T13:40:00Z" w:initials="MS">
    <w:p w14:paraId="480AB775" w14:textId="77777777" w:rsidR="000C465B" w:rsidRDefault="000C465B" w:rsidP="00690B5A">
      <w:pPr>
        <w:pStyle w:val="CommentText"/>
      </w:pPr>
      <w:r>
        <w:rPr>
          <w:rStyle w:val="CommentReference"/>
        </w:rPr>
        <w:annotationRef/>
      </w:r>
      <w:r>
        <w:t xml:space="preserve">For App.2 - I’ve changed the headings (1-5) to include the term, and acronym. I’ve changed the examples to acronym’s only, for consistency amongst all the examples.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B6CF5C" w15:done="0"/>
  <w15:commentEx w15:paraId="5F3DFEF2" w15:done="0"/>
  <w15:commentEx w15:paraId="686A73EF" w15:done="0"/>
  <w15:commentEx w15:paraId="56EE98DA" w15:done="0"/>
  <w15:commentEx w15:paraId="1A6AB4CB" w15:done="0"/>
  <w15:commentEx w15:paraId="0AA6A22C" w15:done="0"/>
  <w15:commentEx w15:paraId="35A81DF8" w15:paraIdParent="0AA6A22C" w15:done="0"/>
  <w15:commentEx w15:paraId="0D927E7A" w15:done="0"/>
  <w15:commentEx w15:paraId="480AB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4E9B50" w16cex:dateUtc="2025-01-09T11:57:00Z"/>
  <w16cex:commentExtensible w16cex:durableId="41DF3B7F" w16cex:dateUtc="2025-04-15T23:04:00Z"/>
  <w16cex:commentExtensible w16cex:durableId="6F1400EA" w16cex:dateUtc="2025-04-22T21:06:00Z"/>
  <w16cex:commentExtensible w16cex:durableId="32823E8E" w16cex:dateUtc="2025-04-28T20:45:00Z"/>
  <w16cex:commentExtensible w16cex:durableId="36ADE283" w16cex:dateUtc="2025-04-28T20:47:00Z"/>
  <w16cex:commentExtensible w16cex:durableId="4979AFDE" w16cex:dateUtc="2025-04-30T14:42:00Z"/>
  <w16cex:commentExtensible w16cex:durableId="3EA79B39" w16cex:dateUtc="2025-11-24T1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B6CF5C" w16cid:durableId="654E9B50"/>
  <w16cid:commentId w16cid:paraId="5F3DFEF2" w16cid:durableId="1681F38F"/>
  <w16cid:commentId w16cid:paraId="686A73EF" w16cid:durableId="41DF3B7F"/>
  <w16cid:commentId w16cid:paraId="56EE98DA" w16cid:durableId="6F1400EA"/>
  <w16cid:commentId w16cid:paraId="1A6AB4CB" w16cid:durableId="32823E8E"/>
  <w16cid:commentId w16cid:paraId="0AA6A22C" w16cid:durableId="36ADE283"/>
  <w16cid:commentId w16cid:paraId="35A81DF8" w16cid:durableId="4979AFDE"/>
  <w16cid:commentId w16cid:paraId="0D927E7A" w16cid:durableId="1FED22FF"/>
  <w16cid:commentId w16cid:paraId="480AB775" w16cid:durableId="3EA79B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BEB9D" w14:textId="77777777" w:rsidR="00AE5B44" w:rsidRDefault="00AE5B44" w:rsidP="0082263A">
      <w:r>
        <w:separator/>
      </w:r>
    </w:p>
    <w:p w14:paraId="16BAA7D3" w14:textId="77777777" w:rsidR="00AE5B44" w:rsidRDefault="00AE5B44"/>
  </w:endnote>
  <w:endnote w:type="continuationSeparator" w:id="0">
    <w:p w14:paraId="4FF2CCD8" w14:textId="77777777" w:rsidR="00AE5B44" w:rsidRDefault="00AE5B44" w:rsidP="0082263A">
      <w:r>
        <w:continuationSeparator/>
      </w:r>
    </w:p>
    <w:p w14:paraId="30A969E3" w14:textId="77777777" w:rsidR="00AE5B44" w:rsidRDefault="00AE5B44"/>
  </w:endnote>
  <w:endnote w:type="continuationNotice" w:id="1">
    <w:p w14:paraId="0F2E326A" w14:textId="77777777" w:rsidR="00AE5B44" w:rsidRDefault="00AE5B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73B9" w14:textId="7A658A92"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D80A9" w14:textId="43AC0F5D"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8D05" w14:textId="0843B46A" w:rsidR="00B314B4" w:rsidRDefault="00B314B4" w:rsidP="008468A0">
    <w:pPr>
      <w:tabs>
        <w:tab w:val="center" w:pos="4680"/>
        <w:tab w:val="right" w:pos="9360"/>
      </w:tabs>
      <w:jc w:val="center"/>
    </w:pPr>
    <w:r w:rsidRPr="000126FA">
      <w:t xml:space="preserve">L&amp;R - </w:t>
    </w:r>
    <w:r w:rsidR="00CF704C">
      <w:t>A</w:t>
    </w:r>
    <w:r w:rsidRPr="000126FA">
      <w:fldChar w:fldCharType="begin"/>
    </w:r>
    <w:r w:rsidRPr="000126FA">
      <w:instrText xml:space="preserve"> PAGE   \* MERGEFORMAT </w:instrText>
    </w:r>
    <w:r w:rsidRPr="000126FA">
      <w:fldChar w:fldCharType="separate"/>
    </w:r>
    <w:r>
      <w:rPr>
        <w:noProof/>
      </w:rPr>
      <w:t>154</w:t>
    </w:r>
    <w:r w:rsidRPr="000126FA">
      <w:rPr>
        <w:noProof/>
      </w:rPr>
      <w:fldChar w:fldCharType="end"/>
    </w:r>
  </w:p>
  <w:p w14:paraId="2258A27B" w14:textId="77777777" w:rsidR="00B314B4" w:rsidRDefault="00B314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699E" w14:textId="08D897B2" w:rsidR="00B314B4" w:rsidRDefault="00B314B4">
    <w:pPr>
      <w:pStyle w:val="Footer"/>
      <w:jc w:val="center"/>
    </w:pPr>
    <w:r>
      <w:t xml:space="preserve">L&amp;R- </w:t>
    </w:r>
    <w:sdt>
      <w:sdtPr>
        <w:id w:val="581798814"/>
        <w:docPartObj>
          <w:docPartGallery w:val="Page Numbers (Bottom of Page)"/>
          <w:docPartUnique/>
        </w:docPartObj>
      </w:sdtPr>
      <w:sdtEndPr>
        <w:rPr>
          <w:noProof/>
        </w:rPr>
      </w:sdtEndPr>
      <w:sdtContent>
        <w:r w:rsidR="00CF704C">
          <w:t>A</w:t>
        </w:r>
        <w:r>
          <w:fldChar w:fldCharType="begin"/>
        </w:r>
        <w:r>
          <w:instrText xml:space="preserve"> PAGE   \* MERGEFORMAT </w:instrText>
        </w:r>
        <w:r>
          <w:fldChar w:fldCharType="separate"/>
        </w:r>
        <w:r>
          <w:rPr>
            <w:noProof/>
          </w:rPr>
          <w:t>2</w:t>
        </w:r>
        <w:r>
          <w:rPr>
            <w:noProof/>
          </w:rPr>
          <w:fldChar w:fldCharType="end"/>
        </w:r>
      </w:sdtContent>
    </w:sdt>
  </w:p>
  <w:p w14:paraId="54D8B202" w14:textId="77777777" w:rsidR="00B314B4" w:rsidRDefault="00B3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FC97C" w14:textId="77777777" w:rsidR="00AE5B44" w:rsidRDefault="00AE5B44" w:rsidP="0082263A">
      <w:r>
        <w:separator/>
      </w:r>
    </w:p>
    <w:p w14:paraId="29215FA8" w14:textId="77777777" w:rsidR="00AE5B44" w:rsidRDefault="00AE5B44"/>
  </w:footnote>
  <w:footnote w:type="continuationSeparator" w:id="0">
    <w:p w14:paraId="6AC0729F" w14:textId="77777777" w:rsidR="00AE5B44" w:rsidRDefault="00AE5B44" w:rsidP="0082263A">
      <w:r>
        <w:continuationSeparator/>
      </w:r>
    </w:p>
    <w:p w14:paraId="73FA4049" w14:textId="77777777" w:rsidR="00AE5B44" w:rsidRDefault="00AE5B44"/>
  </w:footnote>
  <w:footnote w:type="continuationNotice" w:id="1">
    <w:p w14:paraId="100648AA" w14:textId="77777777" w:rsidR="00AE5B44" w:rsidRDefault="00AE5B44">
      <w:pPr>
        <w:spacing w:after="0"/>
      </w:pPr>
    </w:p>
  </w:footnote>
  <w:footnote w:id="2">
    <w:p w14:paraId="6508BFE1" w14:textId="77777777" w:rsidR="0076491B" w:rsidRDefault="0076491B" w:rsidP="0076491B">
      <w:pPr>
        <w:pStyle w:val="FootnoteText"/>
      </w:pPr>
      <w:r>
        <w:rPr>
          <w:rStyle w:val="FootnoteReference"/>
        </w:rPr>
        <w:footnoteRef/>
      </w:r>
      <w:r>
        <w:t xml:space="preserve"> </w:t>
      </w:r>
      <w:hyperlink r:id="rId1" w:history="1">
        <w:r w:rsidRPr="00975A8D">
          <w:rPr>
            <w:rStyle w:val="Hyperlink"/>
          </w:rPr>
          <w:t>https://www.api.org/-/media/files/publications/2024-catalog/2024-publication-catalog.pdf</w:t>
        </w:r>
      </w:hyperlink>
      <w:r>
        <w:t xml:space="preserve">. </w:t>
      </w:r>
    </w:p>
  </w:footnote>
  <w:footnote w:id="3">
    <w:p w14:paraId="5E2CD2A0" w14:textId="77777777" w:rsidR="000C465B" w:rsidRDefault="000C465B" w:rsidP="000C465B">
      <w:pPr>
        <w:pStyle w:val="FootnoteText"/>
      </w:pPr>
      <w:r>
        <w:rPr>
          <w:rStyle w:val="FootnoteReference"/>
        </w:rPr>
        <w:footnoteRef/>
      </w:r>
      <w:r>
        <w:t xml:space="preserve"> </w:t>
      </w:r>
      <w:r>
        <w:rPr>
          <w:i/>
        </w:rPr>
        <w:t>See</w:t>
      </w:r>
      <w:r w:rsidRPr="00EE238B">
        <w:rPr>
          <w:i/>
        </w:rPr>
        <w:t>, e.g.</w:t>
      </w:r>
      <w:r w:rsidRPr="00EE238B">
        <w:t xml:space="preserve">, </w:t>
      </w:r>
      <w:r>
        <w:t xml:space="preserve">NIST </w:t>
      </w:r>
      <w:r w:rsidRPr="00EE238B">
        <w:t>Handbook 130– Uniform Weights and Measures Law § 15 (Misrepresentation of Quantity).</w:t>
      </w:r>
    </w:p>
  </w:footnote>
  <w:footnote w:id="4">
    <w:p w14:paraId="78993D22" w14:textId="77777777" w:rsidR="000C465B" w:rsidRPr="003147A5" w:rsidRDefault="000C465B" w:rsidP="000C465B">
      <w:pPr>
        <w:pStyle w:val="FootnoteText"/>
      </w:pPr>
      <w:r>
        <w:rPr>
          <w:rStyle w:val="FootnoteReference"/>
        </w:rPr>
        <w:footnoteRef/>
      </w:r>
      <w:r>
        <w:t xml:space="preserve"> </w:t>
      </w:r>
      <w:r>
        <w:rPr>
          <w:i/>
        </w:rPr>
        <w:t>See, e.g.</w:t>
      </w:r>
      <w:r>
        <w:t xml:space="preserve">, Federal Trade Commission Act § 5 (15 U.S.C. § 45). </w:t>
      </w:r>
    </w:p>
  </w:footnote>
  <w:footnote w:id="5">
    <w:p w14:paraId="29CB289B" w14:textId="77777777" w:rsidR="000C465B" w:rsidRDefault="000C465B" w:rsidP="000C465B">
      <w:pPr>
        <w:pStyle w:val="FootnoteText"/>
      </w:pPr>
      <w:r>
        <w:rPr>
          <w:rStyle w:val="FootnoteReference"/>
        </w:rPr>
        <w:footnoteRef/>
      </w:r>
      <w:r>
        <w:t xml:space="preserve"> The National Advertising Division of the Council of Better Business Bureaus offers an alternative dispute resolution service that reviews claims made in national advertisements.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F45A" w14:textId="45FF2BAD" w:rsidR="007D489A" w:rsidRDefault="00F017F9" w:rsidP="007D489A">
    <w:pPr>
      <w:pStyle w:val="Header"/>
      <w:spacing w:after="0"/>
    </w:pPr>
    <w:r>
      <w:t>L&amp;R</w:t>
    </w:r>
    <w:r w:rsidR="00386898" w:rsidRPr="00540700">
      <w:t xml:space="preserve"> </w:t>
    </w:r>
    <w:r w:rsidR="001750E4">
      <w:t>202</w:t>
    </w:r>
    <w:r w:rsidR="005C516F">
      <w:t>6</w:t>
    </w:r>
    <w:r w:rsidR="001750E4">
      <w:t xml:space="preserve"> </w:t>
    </w:r>
    <w:r w:rsidR="009051B5">
      <w:t>Annual Meeting Agenda</w:t>
    </w:r>
  </w:p>
  <w:p w14:paraId="40828DDB" w14:textId="77777777" w:rsidR="00EF4192" w:rsidRPr="007D489A" w:rsidRDefault="00EF4192" w:rsidP="00EF4192">
    <w:pPr>
      <w:rPr>
        <w:bCs/>
        <w:szCs w:val="20"/>
      </w:rPr>
    </w:pPr>
  </w:p>
  <w:p w14:paraId="255C3DB1" w14:textId="77777777" w:rsidR="00EF4192" w:rsidRDefault="00EF4192" w:rsidP="007D489A">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80A2" w14:textId="48B66B74" w:rsidR="00B63703" w:rsidRDefault="00F017F9" w:rsidP="008F01A9">
    <w:pPr>
      <w:pStyle w:val="Header"/>
      <w:tabs>
        <w:tab w:val="clear" w:pos="4680"/>
      </w:tabs>
      <w:spacing w:after="0"/>
      <w:jc w:val="right"/>
    </w:pPr>
    <w:r>
      <w:t>L&amp;R</w:t>
    </w:r>
    <w:r w:rsidR="00386898" w:rsidRPr="00540700">
      <w:t xml:space="preserve"> </w:t>
    </w:r>
    <w:r w:rsidR="001750E4">
      <w:t>202</w:t>
    </w:r>
    <w:r w:rsidR="005C516F">
      <w:t>6</w:t>
    </w:r>
    <w:r w:rsidR="001750E4">
      <w:t xml:space="preserve"> </w:t>
    </w:r>
    <w:r w:rsidR="00805362">
      <w:t>A</w:t>
    </w:r>
    <w:r w:rsidR="009051B5">
      <w:t>nnual Meeting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EBB3" w14:textId="77777777" w:rsidR="00EF4192" w:rsidRDefault="00EF4192" w:rsidP="007D489A">
    <w:pPr>
      <w:pStyle w:val="Header"/>
      <w:spacing w:after="0"/>
    </w:pPr>
    <w:r>
      <w:t>L&amp;R</w:t>
    </w:r>
    <w:r w:rsidRPr="00540700">
      <w:t xml:space="preserve"> </w:t>
    </w:r>
    <w:r>
      <w:t>2026 Annual Meeting Agenda</w:t>
    </w:r>
  </w:p>
  <w:p w14:paraId="4074A483" w14:textId="46E5C117" w:rsidR="00EF4192" w:rsidRPr="00CF704C" w:rsidRDefault="00B314B4" w:rsidP="00CF704C">
    <w:pPr>
      <w:pStyle w:val="Header"/>
      <w:spacing w:after="0"/>
    </w:pPr>
    <w:r>
      <w:t>Appendix A</w:t>
    </w:r>
    <w:r w:rsidR="00CF704C">
      <w:t xml:space="preserve"> - </w:t>
    </w:r>
    <w:r w:rsidR="00EF4192" w:rsidRPr="007D489A">
      <w:rPr>
        <w:bCs/>
        <w:szCs w:val="20"/>
      </w:rPr>
      <w:t>Quantity-Related Expressions on a Principal Display Panel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AB3D" w14:textId="77777777" w:rsidR="007D489A" w:rsidRDefault="007D489A" w:rsidP="008F01A9">
    <w:pPr>
      <w:pStyle w:val="Header"/>
      <w:tabs>
        <w:tab w:val="clear" w:pos="4680"/>
      </w:tabs>
      <w:spacing w:after="0"/>
      <w:jc w:val="right"/>
    </w:pPr>
    <w:r>
      <w:t>L&amp;R</w:t>
    </w:r>
    <w:r w:rsidRPr="00540700">
      <w:t xml:space="preserve"> </w:t>
    </w:r>
    <w:r>
      <w:t>2026 Annual Meeting Agenda</w:t>
    </w:r>
  </w:p>
  <w:p w14:paraId="0B9731DD" w14:textId="48C49EF3" w:rsidR="00EF4192" w:rsidRPr="00CF704C" w:rsidRDefault="00B314B4" w:rsidP="00CF704C">
    <w:pPr>
      <w:pStyle w:val="Header"/>
      <w:tabs>
        <w:tab w:val="clear" w:pos="4680"/>
      </w:tabs>
      <w:spacing w:after="0"/>
      <w:jc w:val="right"/>
    </w:pPr>
    <w:r>
      <w:t>Appendix A</w:t>
    </w:r>
    <w:r w:rsidR="00CF704C">
      <w:t xml:space="preserve"> - </w:t>
    </w:r>
    <w:r w:rsidR="00EF4192" w:rsidRPr="007D489A">
      <w:rPr>
        <w:bCs/>
        <w:szCs w:val="20"/>
      </w:rPr>
      <w:t>Quantity-Related Expressions on a Principal Display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8D0D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2"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10" w15:restartNumberingAfterBreak="0">
    <w:nsid w:val="01E71924"/>
    <w:multiLevelType w:val="hybridMultilevel"/>
    <w:tmpl w:val="7F1E33BA"/>
    <w:lvl w:ilvl="0" w:tplc="0409001B">
      <w:start w:val="1"/>
      <w:numFmt w:val="lowerRoman"/>
      <w:lvlText w:val="%1."/>
      <w:lvlJc w:val="right"/>
      <w:pPr>
        <w:ind w:left="45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028E2DA1"/>
    <w:multiLevelType w:val="hybridMultilevel"/>
    <w:tmpl w:val="EEC6B28A"/>
    <w:lvl w:ilvl="0" w:tplc="FFFFFFFF">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2C1515B"/>
    <w:multiLevelType w:val="hybridMultilevel"/>
    <w:tmpl w:val="DF88ECD6"/>
    <w:lvl w:ilvl="0" w:tplc="5B1CB95A">
      <w:start w:val="1"/>
      <w:numFmt w:val="decimal"/>
      <w:lvlText w:val="(%1)"/>
      <w:lvlJc w:val="left"/>
      <w:pPr>
        <w:ind w:left="1440" w:hanging="360"/>
      </w:pPr>
      <w:rPr>
        <w:rFonts w:hint="default"/>
        <w:b/>
        <w:bCs/>
        <w:strike w:val="0"/>
        <w:u w:val="single"/>
      </w:rPr>
    </w:lvl>
    <w:lvl w:ilvl="1" w:tplc="04090019" w:tentative="1">
      <w:start w:val="1"/>
      <w:numFmt w:val="lowerLetter"/>
      <w:lvlText w:val="%2."/>
      <w:lvlJc w:val="left"/>
      <w:pPr>
        <w:ind w:left="689" w:hanging="360"/>
      </w:pPr>
    </w:lvl>
    <w:lvl w:ilvl="2" w:tplc="0409001B" w:tentative="1">
      <w:start w:val="1"/>
      <w:numFmt w:val="lowerRoman"/>
      <w:lvlText w:val="%3."/>
      <w:lvlJc w:val="right"/>
      <w:pPr>
        <w:ind w:left="1409" w:hanging="180"/>
      </w:pPr>
    </w:lvl>
    <w:lvl w:ilvl="3" w:tplc="0409000F" w:tentative="1">
      <w:start w:val="1"/>
      <w:numFmt w:val="decimal"/>
      <w:lvlText w:val="%4."/>
      <w:lvlJc w:val="left"/>
      <w:pPr>
        <w:ind w:left="2129" w:hanging="360"/>
      </w:pPr>
    </w:lvl>
    <w:lvl w:ilvl="4" w:tplc="04090019" w:tentative="1">
      <w:start w:val="1"/>
      <w:numFmt w:val="lowerLetter"/>
      <w:lvlText w:val="%5."/>
      <w:lvlJc w:val="left"/>
      <w:pPr>
        <w:ind w:left="2849" w:hanging="360"/>
      </w:pPr>
    </w:lvl>
    <w:lvl w:ilvl="5" w:tplc="0409001B" w:tentative="1">
      <w:start w:val="1"/>
      <w:numFmt w:val="lowerRoman"/>
      <w:lvlText w:val="%6."/>
      <w:lvlJc w:val="right"/>
      <w:pPr>
        <w:ind w:left="3569" w:hanging="180"/>
      </w:pPr>
    </w:lvl>
    <w:lvl w:ilvl="6" w:tplc="0409000F" w:tentative="1">
      <w:start w:val="1"/>
      <w:numFmt w:val="decimal"/>
      <w:lvlText w:val="%7."/>
      <w:lvlJc w:val="left"/>
      <w:pPr>
        <w:ind w:left="4289" w:hanging="360"/>
      </w:pPr>
    </w:lvl>
    <w:lvl w:ilvl="7" w:tplc="04090019" w:tentative="1">
      <w:start w:val="1"/>
      <w:numFmt w:val="lowerLetter"/>
      <w:lvlText w:val="%8."/>
      <w:lvlJc w:val="left"/>
      <w:pPr>
        <w:ind w:left="5009" w:hanging="360"/>
      </w:pPr>
    </w:lvl>
    <w:lvl w:ilvl="8" w:tplc="0409001B" w:tentative="1">
      <w:start w:val="1"/>
      <w:numFmt w:val="lowerRoman"/>
      <w:lvlText w:val="%9."/>
      <w:lvlJc w:val="right"/>
      <w:pPr>
        <w:ind w:left="5729" w:hanging="180"/>
      </w:pPr>
    </w:lvl>
  </w:abstractNum>
  <w:abstractNum w:abstractNumId="13"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034B715D"/>
    <w:multiLevelType w:val="hybridMultilevel"/>
    <w:tmpl w:val="39722A52"/>
    <w:lvl w:ilvl="0" w:tplc="00087F2E">
      <w:start w:val="1"/>
      <w:numFmt w:val="lowerLetter"/>
      <w:lvlText w:val="(%1)"/>
      <w:lvlJc w:val="left"/>
      <w:pPr>
        <w:ind w:left="1440" w:hanging="360"/>
      </w:pPr>
      <w:rPr>
        <w:rFonts w:cs="Times New Roman" w:hint="default"/>
        <w:b/>
        <w:bCs w:val="0"/>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C2605B"/>
    <w:multiLevelType w:val="multilevel"/>
    <w:tmpl w:val="920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134947"/>
    <w:multiLevelType w:val="hybridMultilevel"/>
    <w:tmpl w:val="C8EA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123F1F"/>
    <w:multiLevelType w:val="hybridMultilevel"/>
    <w:tmpl w:val="AC6E9902"/>
    <w:lvl w:ilvl="0" w:tplc="0409000F">
      <w:start w:val="1"/>
      <w:numFmt w:val="decimal"/>
      <w:lvlText w:val="%1."/>
      <w:lvlJc w:val="left"/>
      <w:pPr>
        <w:ind w:left="54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393DB2"/>
    <w:multiLevelType w:val="hybridMultilevel"/>
    <w:tmpl w:val="1700A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F2E14"/>
    <w:multiLevelType w:val="hybridMultilevel"/>
    <w:tmpl w:val="9AEE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B66C81"/>
    <w:multiLevelType w:val="hybridMultilevel"/>
    <w:tmpl w:val="D4F2C932"/>
    <w:lvl w:ilvl="0" w:tplc="0E2E79AA">
      <w:start w:val="1"/>
      <w:numFmt w:val="bullet"/>
      <w:lvlText w:val="•"/>
      <w:lvlJc w:val="left"/>
      <w:pPr>
        <w:tabs>
          <w:tab w:val="num" w:pos="720"/>
        </w:tabs>
        <w:ind w:left="720" w:hanging="360"/>
      </w:pPr>
      <w:rPr>
        <w:rFonts w:ascii="Arial" w:hAnsi="Arial" w:hint="default"/>
      </w:rPr>
    </w:lvl>
    <w:lvl w:ilvl="1" w:tplc="05340E8A" w:tentative="1">
      <w:start w:val="1"/>
      <w:numFmt w:val="bullet"/>
      <w:lvlText w:val="•"/>
      <w:lvlJc w:val="left"/>
      <w:pPr>
        <w:tabs>
          <w:tab w:val="num" w:pos="1440"/>
        </w:tabs>
        <w:ind w:left="1440" w:hanging="360"/>
      </w:pPr>
      <w:rPr>
        <w:rFonts w:ascii="Arial" w:hAnsi="Arial" w:hint="default"/>
      </w:rPr>
    </w:lvl>
    <w:lvl w:ilvl="2" w:tplc="05DC431E" w:tentative="1">
      <w:start w:val="1"/>
      <w:numFmt w:val="bullet"/>
      <w:lvlText w:val="•"/>
      <w:lvlJc w:val="left"/>
      <w:pPr>
        <w:tabs>
          <w:tab w:val="num" w:pos="2160"/>
        </w:tabs>
        <w:ind w:left="2160" w:hanging="360"/>
      </w:pPr>
      <w:rPr>
        <w:rFonts w:ascii="Arial" w:hAnsi="Arial" w:hint="default"/>
      </w:rPr>
    </w:lvl>
    <w:lvl w:ilvl="3" w:tplc="337EE8E4" w:tentative="1">
      <w:start w:val="1"/>
      <w:numFmt w:val="bullet"/>
      <w:lvlText w:val="•"/>
      <w:lvlJc w:val="left"/>
      <w:pPr>
        <w:tabs>
          <w:tab w:val="num" w:pos="2880"/>
        </w:tabs>
        <w:ind w:left="2880" w:hanging="360"/>
      </w:pPr>
      <w:rPr>
        <w:rFonts w:ascii="Arial" w:hAnsi="Arial" w:hint="default"/>
      </w:rPr>
    </w:lvl>
    <w:lvl w:ilvl="4" w:tplc="05B8B28E" w:tentative="1">
      <w:start w:val="1"/>
      <w:numFmt w:val="bullet"/>
      <w:lvlText w:val="•"/>
      <w:lvlJc w:val="left"/>
      <w:pPr>
        <w:tabs>
          <w:tab w:val="num" w:pos="3600"/>
        </w:tabs>
        <w:ind w:left="3600" w:hanging="360"/>
      </w:pPr>
      <w:rPr>
        <w:rFonts w:ascii="Arial" w:hAnsi="Arial" w:hint="default"/>
      </w:rPr>
    </w:lvl>
    <w:lvl w:ilvl="5" w:tplc="9418CF56" w:tentative="1">
      <w:start w:val="1"/>
      <w:numFmt w:val="bullet"/>
      <w:lvlText w:val="•"/>
      <w:lvlJc w:val="left"/>
      <w:pPr>
        <w:tabs>
          <w:tab w:val="num" w:pos="4320"/>
        </w:tabs>
        <w:ind w:left="4320" w:hanging="360"/>
      </w:pPr>
      <w:rPr>
        <w:rFonts w:ascii="Arial" w:hAnsi="Arial" w:hint="default"/>
      </w:rPr>
    </w:lvl>
    <w:lvl w:ilvl="6" w:tplc="C3A89992" w:tentative="1">
      <w:start w:val="1"/>
      <w:numFmt w:val="bullet"/>
      <w:lvlText w:val="•"/>
      <w:lvlJc w:val="left"/>
      <w:pPr>
        <w:tabs>
          <w:tab w:val="num" w:pos="5040"/>
        </w:tabs>
        <w:ind w:left="5040" w:hanging="360"/>
      </w:pPr>
      <w:rPr>
        <w:rFonts w:ascii="Arial" w:hAnsi="Arial" w:hint="default"/>
      </w:rPr>
    </w:lvl>
    <w:lvl w:ilvl="7" w:tplc="FDDEE19A" w:tentative="1">
      <w:start w:val="1"/>
      <w:numFmt w:val="bullet"/>
      <w:lvlText w:val="•"/>
      <w:lvlJc w:val="left"/>
      <w:pPr>
        <w:tabs>
          <w:tab w:val="num" w:pos="5760"/>
        </w:tabs>
        <w:ind w:left="5760" w:hanging="360"/>
      </w:pPr>
      <w:rPr>
        <w:rFonts w:ascii="Arial" w:hAnsi="Arial" w:hint="default"/>
      </w:rPr>
    </w:lvl>
    <w:lvl w:ilvl="8" w:tplc="4BB0F2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CE1B08"/>
    <w:multiLevelType w:val="hybridMultilevel"/>
    <w:tmpl w:val="1700A23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0ED06D39"/>
    <w:multiLevelType w:val="hybridMultilevel"/>
    <w:tmpl w:val="9118C59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F571CCB"/>
    <w:multiLevelType w:val="hybridMultilevel"/>
    <w:tmpl w:val="3CA4D83C"/>
    <w:lvl w:ilvl="0" w:tplc="1700A9F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566CC7"/>
    <w:multiLevelType w:val="multilevel"/>
    <w:tmpl w:val="E786A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2C95213"/>
    <w:multiLevelType w:val="hybridMultilevel"/>
    <w:tmpl w:val="DB9ED3A8"/>
    <w:lvl w:ilvl="0" w:tplc="A30C81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CC3320"/>
    <w:multiLevelType w:val="multilevel"/>
    <w:tmpl w:val="1060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7E6798F"/>
    <w:multiLevelType w:val="hybridMultilevel"/>
    <w:tmpl w:val="BEFEA344"/>
    <w:lvl w:ilvl="0" w:tplc="B2EC9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92C729B"/>
    <w:multiLevelType w:val="hybridMultilevel"/>
    <w:tmpl w:val="1A7A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B83C3E"/>
    <w:multiLevelType w:val="hybridMultilevel"/>
    <w:tmpl w:val="B5CA9920"/>
    <w:lvl w:ilvl="0" w:tplc="C726A982">
      <w:start w:val="1"/>
      <w:numFmt w:val="decimal"/>
      <w:lvlText w:val="(%1)"/>
      <w:lvlJc w:val="left"/>
      <w:pPr>
        <w:ind w:left="1440" w:hanging="360"/>
      </w:pPr>
      <w:rPr>
        <w:rFonts w:ascii="Times New Roman" w:eastAsia="Times New Roman" w:hAnsi="Times New Roman" w:cs="Times New Roman" w:hint="default"/>
        <w:b/>
        <w:strike w:val="0"/>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CDF588E"/>
    <w:multiLevelType w:val="hybridMultilevel"/>
    <w:tmpl w:val="F0EE621C"/>
    <w:lvl w:ilvl="0" w:tplc="250A44CC">
      <w:start w:val="1"/>
      <w:numFmt w:val="bullet"/>
      <w:lvlText w:val="•"/>
      <w:lvlJc w:val="left"/>
      <w:pPr>
        <w:tabs>
          <w:tab w:val="num" w:pos="720"/>
        </w:tabs>
        <w:ind w:left="720" w:hanging="360"/>
      </w:pPr>
      <w:rPr>
        <w:rFonts w:ascii="Arial" w:hAnsi="Arial" w:hint="default"/>
      </w:rPr>
    </w:lvl>
    <w:lvl w:ilvl="1" w:tplc="DCAA0A2E" w:tentative="1">
      <w:start w:val="1"/>
      <w:numFmt w:val="bullet"/>
      <w:lvlText w:val="•"/>
      <w:lvlJc w:val="left"/>
      <w:pPr>
        <w:tabs>
          <w:tab w:val="num" w:pos="1440"/>
        </w:tabs>
        <w:ind w:left="1440" w:hanging="360"/>
      </w:pPr>
      <w:rPr>
        <w:rFonts w:ascii="Arial" w:hAnsi="Arial" w:hint="default"/>
      </w:rPr>
    </w:lvl>
    <w:lvl w:ilvl="2" w:tplc="F5CC5CF8" w:tentative="1">
      <w:start w:val="1"/>
      <w:numFmt w:val="bullet"/>
      <w:lvlText w:val="•"/>
      <w:lvlJc w:val="left"/>
      <w:pPr>
        <w:tabs>
          <w:tab w:val="num" w:pos="2160"/>
        </w:tabs>
        <w:ind w:left="2160" w:hanging="360"/>
      </w:pPr>
      <w:rPr>
        <w:rFonts w:ascii="Arial" w:hAnsi="Arial" w:hint="default"/>
      </w:rPr>
    </w:lvl>
    <w:lvl w:ilvl="3" w:tplc="E946BEEE" w:tentative="1">
      <w:start w:val="1"/>
      <w:numFmt w:val="bullet"/>
      <w:lvlText w:val="•"/>
      <w:lvlJc w:val="left"/>
      <w:pPr>
        <w:tabs>
          <w:tab w:val="num" w:pos="2880"/>
        </w:tabs>
        <w:ind w:left="2880" w:hanging="360"/>
      </w:pPr>
      <w:rPr>
        <w:rFonts w:ascii="Arial" w:hAnsi="Arial" w:hint="default"/>
      </w:rPr>
    </w:lvl>
    <w:lvl w:ilvl="4" w:tplc="3F26FAD8" w:tentative="1">
      <w:start w:val="1"/>
      <w:numFmt w:val="bullet"/>
      <w:lvlText w:val="•"/>
      <w:lvlJc w:val="left"/>
      <w:pPr>
        <w:tabs>
          <w:tab w:val="num" w:pos="3600"/>
        </w:tabs>
        <w:ind w:left="3600" w:hanging="360"/>
      </w:pPr>
      <w:rPr>
        <w:rFonts w:ascii="Arial" w:hAnsi="Arial" w:hint="default"/>
      </w:rPr>
    </w:lvl>
    <w:lvl w:ilvl="5" w:tplc="FDF67920" w:tentative="1">
      <w:start w:val="1"/>
      <w:numFmt w:val="bullet"/>
      <w:lvlText w:val="•"/>
      <w:lvlJc w:val="left"/>
      <w:pPr>
        <w:tabs>
          <w:tab w:val="num" w:pos="4320"/>
        </w:tabs>
        <w:ind w:left="4320" w:hanging="360"/>
      </w:pPr>
      <w:rPr>
        <w:rFonts w:ascii="Arial" w:hAnsi="Arial" w:hint="default"/>
      </w:rPr>
    </w:lvl>
    <w:lvl w:ilvl="6" w:tplc="2E168F46" w:tentative="1">
      <w:start w:val="1"/>
      <w:numFmt w:val="bullet"/>
      <w:lvlText w:val="•"/>
      <w:lvlJc w:val="left"/>
      <w:pPr>
        <w:tabs>
          <w:tab w:val="num" w:pos="5040"/>
        </w:tabs>
        <w:ind w:left="5040" w:hanging="360"/>
      </w:pPr>
      <w:rPr>
        <w:rFonts w:ascii="Arial" w:hAnsi="Arial" w:hint="default"/>
      </w:rPr>
    </w:lvl>
    <w:lvl w:ilvl="7" w:tplc="19843AE8" w:tentative="1">
      <w:start w:val="1"/>
      <w:numFmt w:val="bullet"/>
      <w:lvlText w:val="•"/>
      <w:lvlJc w:val="left"/>
      <w:pPr>
        <w:tabs>
          <w:tab w:val="num" w:pos="5760"/>
        </w:tabs>
        <w:ind w:left="5760" w:hanging="360"/>
      </w:pPr>
      <w:rPr>
        <w:rFonts w:ascii="Arial" w:hAnsi="Arial" w:hint="default"/>
      </w:rPr>
    </w:lvl>
    <w:lvl w:ilvl="8" w:tplc="3410CF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DB56D79"/>
    <w:multiLevelType w:val="hybridMultilevel"/>
    <w:tmpl w:val="55ECD1E6"/>
    <w:lvl w:ilvl="0" w:tplc="DD046A2A">
      <w:start w:val="1"/>
      <w:numFmt w:val="lowerLetter"/>
      <w:lvlText w:val="(%1)"/>
      <w:lvlJc w:val="left"/>
      <w:pPr>
        <w:ind w:left="1440" w:hanging="360"/>
      </w:pPr>
      <w:rPr>
        <w:rFonts w:cs="Times New Roman" w:hint="default"/>
        <w:b/>
        <w:bCs w:val="0"/>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026712"/>
    <w:multiLevelType w:val="hybridMultilevel"/>
    <w:tmpl w:val="86A297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71063C"/>
    <w:multiLevelType w:val="hybridMultilevel"/>
    <w:tmpl w:val="805E0B56"/>
    <w:lvl w:ilvl="0" w:tplc="D77E8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9578F3"/>
    <w:multiLevelType w:val="hybridMultilevel"/>
    <w:tmpl w:val="AF5C0950"/>
    <w:lvl w:ilvl="0" w:tplc="1700A9FC">
      <w:start w:val="1"/>
      <w:numFmt w:val="decimal"/>
      <w:lvlText w:val="(%1)"/>
      <w:lvlJc w:val="left"/>
      <w:pPr>
        <w:ind w:left="1080"/>
      </w:pPr>
      <w:rPr>
        <w:rFonts w:hint="default"/>
        <w:b/>
        <w:bCs/>
        <w:i w:val="0"/>
        <w:strike w:val="0"/>
        <w:dstrike w:val="0"/>
        <w:color w:val="000000"/>
        <w:sz w:val="22"/>
        <w:szCs w:val="22"/>
        <w:u w:val="singl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180763"/>
    <w:multiLevelType w:val="hybridMultilevel"/>
    <w:tmpl w:val="0E0E7716"/>
    <w:lvl w:ilvl="0" w:tplc="F6F6D5A2">
      <w:start w:val="1"/>
      <w:numFmt w:val="bullet"/>
      <w:lvlText w:val="•"/>
      <w:lvlJc w:val="left"/>
      <w:pPr>
        <w:tabs>
          <w:tab w:val="num" w:pos="360"/>
        </w:tabs>
        <w:ind w:left="360" w:hanging="360"/>
      </w:pPr>
      <w:rPr>
        <w:rFonts w:ascii="Arial" w:hAnsi="Arial" w:hint="default"/>
      </w:rPr>
    </w:lvl>
    <w:lvl w:ilvl="1" w:tplc="6710308E" w:tentative="1">
      <w:start w:val="1"/>
      <w:numFmt w:val="bullet"/>
      <w:lvlText w:val="•"/>
      <w:lvlJc w:val="left"/>
      <w:pPr>
        <w:tabs>
          <w:tab w:val="num" w:pos="1080"/>
        </w:tabs>
        <w:ind w:left="1080" w:hanging="360"/>
      </w:pPr>
      <w:rPr>
        <w:rFonts w:ascii="Arial" w:hAnsi="Arial" w:hint="default"/>
      </w:rPr>
    </w:lvl>
    <w:lvl w:ilvl="2" w:tplc="373A0120" w:tentative="1">
      <w:start w:val="1"/>
      <w:numFmt w:val="bullet"/>
      <w:lvlText w:val="•"/>
      <w:lvlJc w:val="left"/>
      <w:pPr>
        <w:tabs>
          <w:tab w:val="num" w:pos="1800"/>
        </w:tabs>
        <w:ind w:left="1800" w:hanging="360"/>
      </w:pPr>
      <w:rPr>
        <w:rFonts w:ascii="Arial" w:hAnsi="Arial" w:hint="default"/>
      </w:rPr>
    </w:lvl>
    <w:lvl w:ilvl="3" w:tplc="9814A178" w:tentative="1">
      <w:start w:val="1"/>
      <w:numFmt w:val="bullet"/>
      <w:lvlText w:val="•"/>
      <w:lvlJc w:val="left"/>
      <w:pPr>
        <w:tabs>
          <w:tab w:val="num" w:pos="2520"/>
        </w:tabs>
        <w:ind w:left="2520" w:hanging="360"/>
      </w:pPr>
      <w:rPr>
        <w:rFonts w:ascii="Arial" w:hAnsi="Arial" w:hint="default"/>
      </w:rPr>
    </w:lvl>
    <w:lvl w:ilvl="4" w:tplc="11369018" w:tentative="1">
      <w:start w:val="1"/>
      <w:numFmt w:val="bullet"/>
      <w:lvlText w:val="•"/>
      <w:lvlJc w:val="left"/>
      <w:pPr>
        <w:tabs>
          <w:tab w:val="num" w:pos="3240"/>
        </w:tabs>
        <w:ind w:left="3240" w:hanging="360"/>
      </w:pPr>
      <w:rPr>
        <w:rFonts w:ascii="Arial" w:hAnsi="Arial" w:hint="default"/>
      </w:rPr>
    </w:lvl>
    <w:lvl w:ilvl="5" w:tplc="84EE03F2" w:tentative="1">
      <w:start w:val="1"/>
      <w:numFmt w:val="bullet"/>
      <w:lvlText w:val="•"/>
      <w:lvlJc w:val="left"/>
      <w:pPr>
        <w:tabs>
          <w:tab w:val="num" w:pos="3960"/>
        </w:tabs>
        <w:ind w:left="3960" w:hanging="360"/>
      </w:pPr>
      <w:rPr>
        <w:rFonts w:ascii="Arial" w:hAnsi="Arial" w:hint="default"/>
      </w:rPr>
    </w:lvl>
    <w:lvl w:ilvl="6" w:tplc="BA4C7090" w:tentative="1">
      <w:start w:val="1"/>
      <w:numFmt w:val="bullet"/>
      <w:lvlText w:val="•"/>
      <w:lvlJc w:val="left"/>
      <w:pPr>
        <w:tabs>
          <w:tab w:val="num" w:pos="4680"/>
        </w:tabs>
        <w:ind w:left="4680" w:hanging="360"/>
      </w:pPr>
      <w:rPr>
        <w:rFonts w:ascii="Arial" w:hAnsi="Arial" w:hint="default"/>
      </w:rPr>
    </w:lvl>
    <w:lvl w:ilvl="7" w:tplc="E62CB8AC" w:tentative="1">
      <w:start w:val="1"/>
      <w:numFmt w:val="bullet"/>
      <w:lvlText w:val="•"/>
      <w:lvlJc w:val="left"/>
      <w:pPr>
        <w:tabs>
          <w:tab w:val="num" w:pos="5400"/>
        </w:tabs>
        <w:ind w:left="5400" w:hanging="360"/>
      </w:pPr>
      <w:rPr>
        <w:rFonts w:ascii="Arial" w:hAnsi="Arial" w:hint="default"/>
      </w:rPr>
    </w:lvl>
    <w:lvl w:ilvl="8" w:tplc="0E400D3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20657A7C"/>
    <w:multiLevelType w:val="hybridMultilevel"/>
    <w:tmpl w:val="952A0E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41" w15:restartNumberingAfterBreak="0">
    <w:nsid w:val="2376135B"/>
    <w:multiLevelType w:val="hybridMultilevel"/>
    <w:tmpl w:val="81D67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E70A07"/>
    <w:multiLevelType w:val="hybridMultilevel"/>
    <w:tmpl w:val="637AA6F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0732E0"/>
    <w:multiLevelType w:val="hybridMultilevel"/>
    <w:tmpl w:val="BCBC0F2A"/>
    <w:lvl w:ilvl="0" w:tplc="52B2F580">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606BE"/>
    <w:multiLevelType w:val="multilevel"/>
    <w:tmpl w:val="4CDE2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9CB0DCE"/>
    <w:multiLevelType w:val="hybridMultilevel"/>
    <w:tmpl w:val="104C7A54"/>
    <w:lvl w:ilvl="0" w:tplc="FFFFFFFF">
      <w:start w:val="3"/>
      <w:numFmt w:val="lowerLetter"/>
      <w:lvlText w:val="(%1)"/>
      <w:lvlJc w:val="left"/>
      <w:pPr>
        <w:ind w:left="1170" w:hanging="360"/>
      </w:pPr>
      <w:rPr>
        <w:rFonts w:cs="Times New Roman" w:hint="default"/>
      </w:rPr>
    </w:lvl>
    <w:lvl w:ilvl="1" w:tplc="55DAE326">
      <w:start w:val="1"/>
      <w:numFmt w:val="decimal"/>
      <w:lvlText w:val="(%2)"/>
      <w:lvlJc w:val="left"/>
      <w:pPr>
        <w:ind w:left="1890" w:hanging="360"/>
      </w:pPr>
      <w:rPr>
        <w:rFonts w:hint="default"/>
      </w:rPr>
    </w:lvl>
    <w:lvl w:ilvl="2" w:tplc="FFFFFFFF">
      <w:start w:val="1"/>
      <w:numFmt w:val="lowerRoman"/>
      <w:lvlText w:val="%3."/>
      <w:lvlJc w:val="right"/>
      <w:pPr>
        <w:ind w:left="2610" w:hanging="180"/>
      </w:pPr>
    </w:lvl>
    <w:lvl w:ilvl="3" w:tplc="0409001B">
      <w:start w:val="1"/>
      <w:numFmt w:val="lowerRoman"/>
      <w:lvlText w:val="%4."/>
      <w:lvlJc w:val="righ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7"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CF782B"/>
    <w:multiLevelType w:val="hybridMultilevel"/>
    <w:tmpl w:val="2DC44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2DAB3AF9"/>
    <w:multiLevelType w:val="hybridMultilevel"/>
    <w:tmpl w:val="56322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EBF106B"/>
    <w:multiLevelType w:val="hybridMultilevel"/>
    <w:tmpl w:val="AC6E9902"/>
    <w:lvl w:ilvl="0" w:tplc="FFFFFFFF">
      <w:start w:val="1"/>
      <w:numFmt w:val="decimal"/>
      <w:lvlText w:val="%1."/>
      <w:lvlJc w:val="left"/>
      <w:pPr>
        <w:ind w:left="549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04056E8"/>
    <w:multiLevelType w:val="hybridMultilevel"/>
    <w:tmpl w:val="A48AE7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0B82CDF"/>
    <w:multiLevelType w:val="hybridMultilevel"/>
    <w:tmpl w:val="1700A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EE46D1"/>
    <w:multiLevelType w:val="hybridMultilevel"/>
    <w:tmpl w:val="6B24E0E2"/>
    <w:lvl w:ilvl="0" w:tplc="1700A9FC">
      <w:start w:val="1"/>
      <w:numFmt w:val="decimal"/>
      <w:lvlText w:val="(%1)"/>
      <w:lvlJc w:val="left"/>
      <w:pPr>
        <w:ind w:left="1080"/>
      </w:pPr>
      <w:rPr>
        <w:rFonts w:hint="default"/>
        <w:b/>
        <w:bCs/>
        <w:i w:val="0"/>
        <w:strike w:val="0"/>
        <w:dstrike w:val="0"/>
        <w:color w:val="000000"/>
        <w:sz w:val="22"/>
        <w:szCs w:val="22"/>
        <w:u w:val="single" w:color="000000"/>
        <w:bdr w:val="none" w:sz="0" w:space="0" w:color="auto"/>
        <w:shd w:val="clear" w:color="auto" w:fill="auto"/>
        <w:vertAlign w:val="baseline"/>
      </w:rPr>
    </w:lvl>
    <w:lvl w:ilvl="1" w:tplc="65E45388">
      <w:start w:val="1"/>
      <w:numFmt w:val="lowerLetter"/>
      <w:lvlText w:val="%2"/>
      <w:lvlJc w:val="left"/>
      <w:pPr>
        <w:ind w:left="1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409000F">
      <w:start w:val="1"/>
      <w:numFmt w:val="decimal"/>
      <w:lvlText w:val="%3."/>
      <w:lvlJc w:val="left"/>
      <w:pPr>
        <w:ind w:left="810" w:hanging="360"/>
      </w:pPr>
    </w:lvl>
    <w:lvl w:ilvl="3" w:tplc="C8E0F616">
      <w:start w:val="1"/>
      <w:numFmt w:val="decimal"/>
      <w:lvlText w:val="%4"/>
      <w:lvlJc w:val="left"/>
      <w:pPr>
        <w:ind w:left="23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46C32C6">
      <w:start w:val="1"/>
      <w:numFmt w:val="lowerLetter"/>
      <w:lvlText w:val="%5"/>
      <w:lvlJc w:val="left"/>
      <w:pPr>
        <w:ind w:left="30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A18F402">
      <w:start w:val="1"/>
      <w:numFmt w:val="lowerRoman"/>
      <w:lvlText w:val="%6"/>
      <w:lvlJc w:val="left"/>
      <w:pPr>
        <w:ind w:left="38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A166014">
      <w:start w:val="1"/>
      <w:numFmt w:val="decimal"/>
      <w:lvlText w:val="%7"/>
      <w:lvlJc w:val="left"/>
      <w:pPr>
        <w:ind w:left="45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B2C753C">
      <w:start w:val="1"/>
      <w:numFmt w:val="lowerLetter"/>
      <w:lvlText w:val="%8"/>
      <w:lvlJc w:val="left"/>
      <w:pPr>
        <w:ind w:left="52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AA1D04">
      <w:start w:val="1"/>
      <w:numFmt w:val="lowerRoman"/>
      <w:lvlText w:val="%9"/>
      <w:lvlJc w:val="left"/>
      <w:pPr>
        <w:ind w:left="59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2563FC5"/>
    <w:multiLevelType w:val="hybridMultilevel"/>
    <w:tmpl w:val="37AE8A98"/>
    <w:lvl w:ilvl="0" w:tplc="13E0FF54">
      <w:start w:val="2"/>
      <w:numFmt w:val="decimal"/>
      <w:lvlText w:val="(%1)"/>
      <w:lvlJc w:val="left"/>
      <w:pPr>
        <w:ind w:left="1440" w:hanging="360"/>
      </w:pPr>
      <w:rPr>
        <w:rFonts w:hint="default"/>
        <w:b/>
        <w:bCs/>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58" w15:restartNumberingAfterBreak="0">
    <w:nsid w:val="34100B0A"/>
    <w:multiLevelType w:val="hybridMultilevel"/>
    <w:tmpl w:val="4F5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3A4112"/>
    <w:multiLevelType w:val="hybridMultilevel"/>
    <w:tmpl w:val="05F85B20"/>
    <w:lvl w:ilvl="0" w:tplc="10088384">
      <w:start w:val="1"/>
      <w:numFmt w:val="lowerRoman"/>
      <w:lvlText w:val="%1."/>
      <w:lvlJc w:val="left"/>
      <w:pPr>
        <w:ind w:left="1890" w:hanging="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0" w15:restartNumberingAfterBreak="0">
    <w:nsid w:val="353E479E"/>
    <w:multiLevelType w:val="hybridMultilevel"/>
    <w:tmpl w:val="934C557A"/>
    <w:lvl w:ilvl="0" w:tplc="0409001B">
      <w:start w:val="1"/>
      <w:numFmt w:val="lowerRoman"/>
      <w:lvlText w:val="%1."/>
      <w:lvlJc w:val="right"/>
      <w:pPr>
        <w:ind w:left="549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64231EE"/>
    <w:multiLevelType w:val="hybridMultilevel"/>
    <w:tmpl w:val="7A625F56"/>
    <w:lvl w:ilvl="0" w:tplc="A30C811C">
      <w:start w:val="1"/>
      <w:numFmt w:val="decimal"/>
      <w:lvlText w:val="(%1)"/>
      <w:lvlJc w:val="left"/>
      <w:pPr>
        <w:ind w:left="45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DB3BB0"/>
    <w:multiLevelType w:val="hybridMultilevel"/>
    <w:tmpl w:val="15CA5DDC"/>
    <w:lvl w:ilvl="0" w:tplc="1700A9FC">
      <w:start w:val="1"/>
      <w:numFmt w:val="decimal"/>
      <w:lvlText w:val="(%1)"/>
      <w:lvlJc w:val="left"/>
      <w:pPr>
        <w:ind w:left="3330" w:hanging="360"/>
      </w:pPr>
      <w:rPr>
        <w:rFonts w:hint="default"/>
        <w:u w:val="single"/>
      </w:rPr>
    </w:lvl>
    <w:lvl w:ilvl="1" w:tplc="04090019" w:tentative="1">
      <w:start w:val="1"/>
      <w:numFmt w:val="lowerLetter"/>
      <w:lvlText w:val="%2."/>
      <w:lvlJc w:val="left"/>
      <w:pPr>
        <w:ind w:left="4050" w:hanging="360"/>
      </w:pPr>
    </w:lvl>
    <w:lvl w:ilvl="2" w:tplc="0409001B">
      <w:start w:val="1"/>
      <w:numFmt w:val="lowerRoman"/>
      <w:lvlText w:val="%3."/>
      <w:lvlJc w:val="right"/>
      <w:pPr>
        <w:ind w:left="4770" w:hanging="180"/>
      </w:pPr>
    </w:lvl>
    <w:lvl w:ilvl="3" w:tplc="0409000F">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64" w15:restartNumberingAfterBreak="0">
    <w:nsid w:val="36EE79C2"/>
    <w:multiLevelType w:val="hybridMultilevel"/>
    <w:tmpl w:val="9FF289D6"/>
    <w:lvl w:ilvl="0" w:tplc="675A4360">
      <w:start w:val="1"/>
      <w:numFmt w:val="lowerLetter"/>
      <w:lvlText w:val="(%1)"/>
      <w:lvlJc w:val="left"/>
      <w:pPr>
        <w:ind w:left="5850" w:hanging="360"/>
      </w:pPr>
      <w:rPr>
        <w:rFonts w:cs="Times New Roman" w:hint="default"/>
        <w:b/>
        <w:bCs w:val="0"/>
        <w:strike w:val="0"/>
        <w:u w:val="single"/>
      </w:r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65" w15:restartNumberingAfterBreak="0">
    <w:nsid w:val="38317AB3"/>
    <w:multiLevelType w:val="hybridMultilevel"/>
    <w:tmpl w:val="FEDE4A82"/>
    <w:lvl w:ilvl="0" w:tplc="DDCEA7C2">
      <w:start w:val="1"/>
      <w:numFmt w:val="bullet"/>
      <w:lvlText w:val="•"/>
      <w:lvlJc w:val="left"/>
      <w:pPr>
        <w:tabs>
          <w:tab w:val="num" w:pos="720"/>
        </w:tabs>
        <w:ind w:left="720" w:hanging="360"/>
      </w:pPr>
      <w:rPr>
        <w:rFonts w:ascii="Arial" w:hAnsi="Arial" w:hint="default"/>
      </w:rPr>
    </w:lvl>
    <w:lvl w:ilvl="1" w:tplc="4346321C" w:tentative="1">
      <w:start w:val="1"/>
      <w:numFmt w:val="bullet"/>
      <w:lvlText w:val="•"/>
      <w:lvlJc w:val="left"/>
      <w:pPr>
        <w:tabs>
          <w:tab w:val="num" w:pos="1440"/>
        </w:tabs>
        <w:ind w:left="1440" w:hanging="360"/>
      </w:pPr>
      <w:rPr>
        <w:rFonts w:ascii="Arial" w:hAnsi="Arial" w:hint="default"/>
      </w:rPr>
    </w:lvl>
    <w:lvl w:ilvl="2" w:tplc="ACAE2552" w:tentative="1">
      <w:start w:val="1"/>
      <w:numFmt w:val="bullet"/>
      <w:lvlText w:val="•"/>
      <w:lvlJc w:val="left"/>
      <w:pPr>
        <w:tabs>
          <w:tab w:val="num" w:pos="2160"/>
        </w:tabs>
        <w:ind w:left="2160" w:hanging="360"/>
      </w:pPr>
      <w:rPr>
        <w:rFonts w:ascii="Arial" w:hAnsi="Arial" w:hint="default"/>
      </w:rPr>
    </w:lvl>
    <w:lvl w:ilvl="3" w:tplc="3140B01A" w:tentative="1">
      <w:start w:val="1"/>
      <w:numFmt w:val="bullet"/>
      <w:lvlText w:val="•"/>
      <w:lvlJc w:val="left"/>
      <w:pPr>
        <w:tabs>
          <w:tab w:val="num" w:pos="2880"/>
        </w:tabs>
        <w:ind w:left="2880" w:hanging="360"/>
      </w:pPr>
      <w:rPr>
        <w:rFonts w:ascii="Arial" w:hAnsi="Arial" w:hint="default"/>
      </w:rPr>
    </w:lvl>
    <w:lvl w:ilvl="4" w:tplc="74F66CD2" w:tentative="1">
      <w:start w:val="1"/>
      <w:numFmt w:val="bullet"/>
      <w:lvlText w:val="•"/>
      <w:lvlJc w:val="left"/>
      <w:pPr>
        <w:tabs>
          <w:tab w:val="num" w:pos="3600"/>
        </w:tabs>
        <w:ind w:left="3600" w:hanging="360"/>
      </w:pPr>
      <w:rPr>
        <w:rFonts w:ascii="Arial" w:hAnsi="Arial" w:hint="default"/>
      </w:rPr>
    </w:lvl>
    <w:lvl w:ilvl="5" w:tplc="4EB864AA" w:tentative="1">
      <w:start w:val="1"/>
      <w:numFmt w:val="bullet"/>
      <w:lvlText w:val="•"/>
      <w:lvlJc w:val="left"/>
      <w:pPr>
        <w:tabs>
          <w:tab w:val="num" w:pos="4320"/>
        </w:tabs>
        <w:ind w:left="4320" w:hanging="360"/>
      </w:pPr>
      <w:rPr>
        <w:rFonts w:ascii="Arial" w:hAnsi="Arial" w:hint="default"/>
      </w:rPr>
    </w:lvl>
    <w:lvl w:ilvl="6" w:tplc="688E7AA6" w:tentative="1">
      <w:start w:val="1"/>
      <w:numFmt w:val="bullet"/>
      <w:lvlText w:val="•"/>
      <w:lvlJc w:val="left"/>
      <w:pPr>
        <w:tabs>
          <w:tab w:val="num" w:pos="5040"/>
        </w:tabs>
        <w:ind w:left="5040" w:hanging="360"/>
      </w:pPr>
      <w:rPr>
        <w:rFonts w:ascii="Arial" w:hAnsi="Arial" w:hint="default"/>
      </w:rPr>
    </w:lvl>
    <w:lvl w:ilvl="7" w:tplc="CD7E12A4" w:tentative="1">
      <w:start w:val="1"/>
      <w:numFmt w:val="bullet"/>
      <w:lvlText w:val="•"/>
      <w:lvlJc w:val="left"/>
      <w:pPr>
        <w:tabs>
          <w:tab w:val="num" w:pos="5760"/>
        </w:tabs>
        <w:ind w:left="5760" w:hanging="360"/>
      </w:pPr>
      <w:rPr>
        <w:rFonts w:ascii="Arial" w:hAnsi="Arial" w:hint="default"/>
      </w:rPr>
    </w:lvl>
    <w:lvl w:ilvl="8" w:tplc="A37C34C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DA3AA8"/>
    <w:multiLevelType w:val="multilevel"/>
    <w:tmpl w:val="23F0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9426A37"/>
    <w:multiLevelType w:val="hybridMultilevel"/>
    <w:tmpl w:val="2A22A33A"/>
    <w:lvl w:ilvl="0" w:tplc="6748D6C4">
      <w:start w:val="1"/>
      <w:numFmt w:val="bullet"/>
      <w:lvlText w:val="•"/>
      <w:lvlJc w:val="left"/>
      <w:pPr>
        <w:tabs>
          <w:tab w:val="num" w:pos="720"/>
        </w:tabs>
        <w:ind w:left="720" w:hanging="360"/>
      </w:pPr>
      <w:rPr>
        <w:rFonts w:ascii="Arial" w:hAnsi="Arial" w:hint="default"/>
      </w:rPr>
    </w:lvl>
    <w:lvl w:ilvl="1" w:tplc="9C94730E" w:tentative="1">
      <w:start w:val="1"/>
      <w:numFmt w:val="bullet"/>
      <w:lvlText w:val="•"/>
      <w:lvlJc w:val="left"/>
      <w:pPr>
        <w:tabs>
          <w:tab w:val="num" w:pos="1440"/>
        </w:tabs>
        <w:ind w:left="1440" w:hanging="360"/>
      </w:pPr>
      <w:rPr>
        <w:rFonts w:ascii="Arial" w:hAnsi="Arial" w:hint="default"/>
      </w:rPr>
    </w:lvl>
    <w:lvl w:ilvl="2" w:tplc="47C8341C" w:tentative="1">
      <w:start w:val="1"/>
      <w:numFmt w:val="bullet"/>
      <w:lvlText w:val="•"/>
      <w:lvlJc w:val="left"/>
      <w:pPr>
        <w:tabs>
          <w:tab w:val="num" w:pos="2160"/>
        </w:tabs>
        <w:ind w:left="2160" w:hanging="360"/>
      </w:pPr>
      <w:rPr>
        <w:rFonts w:ascii="Arial" w:hAnsi="Arial" w:hint="default"/>
      </w:rPr>
    </w:lvl>
    <w:lvl w:ilvl="3" w:tplc="8A2C3DAC" w:tentative="1">
      <w:start w:val="1"/>
      <w:numFmt w:val="bullet"/>
      <w:lvlText w:val="•"/>
      <w:lvlJc w:val="left"/>
      <w:pPr>
        <w:tabs>
          <w:tab w:val="num" w:pos="2880"/>
        </w:tabs>
        <w:ind w:left="2880" w:hanging="360"/>
      </w:pPr>
      <w:rPr>
        <w:rFonts w:ascii="Arial" w:hAnsi="Arial" w:hint="default"/>
      </w:rPr>
    </w:lvl>
    <w:lvl w:ilvl="4" w:tplc="59E048BE" w:tentative="1">
      <w:start w:val="1"/>
      <w:numFmt w:val="bullet"/>
      <w:lvlText w:val="•"/>
      <w:lvlJc w:val="left"/>
      <w:pPr>
        <w:tabs>
          <w:tab w:val="num" w:pos="3600"/>
        </w:tabs>
        <w:ind w:left="3600" w:hanging="360"/>
      </w:pPr>
      <w:rPr>
        <w:rFonts w:ascii="Arial" w:hAnsi="Arial" w:hint="default"/>
      </w:rPr>
    </w:lvl>
    <w:lvl w:ilvl="5" w:tplc="2FC29F0C" w:tentative="1">
      <w:start w:val="1"/>
      <w:numFmt w:val="bullet"/>
      <w:lvlText w:val="•"/>
      <w:lvlJc w:val="left"/>
      <w:pPr>
        <w:tabs>
          <w:tab w:val="num" w:pos="4320"/>
        </w:tabs>
        <w:ind w:left="4320" w:hanging="360"/>
      </w:pPr>
      <w:rPr>
        <w:rFonts w:ascii="Arial" w:hAnsi="Arial" w:hint="default"/>
      </w:rPr>
    </w:lvl>
    <w:lvl w:ilvl="6" w:tplc="16424616" w:tentative="1">
      <w:start w:val="1"/>
      <w:numFmt w:val="bullet"/>
      <w:lvlText w:val="•"/>
      <w:lvlJc w:val="left"/>
      <w:pPr>
        <w:tabs>
          <w:tab w:val="num" w:pos="5040"/>
        </w:tabs>
        <w:ind w:left="5040" w:hanging="360"/>
      </w:pPr>
      <w:rPr>
        <w:rFonts w:ascii="Arial" w:hAnsi="Arial" w:hint="default"/>
      </w:rPr>
    </w:lvl>
    <w:lvl w:ilvl="7" w:tplc="1354E812" w:tentative="1">
      <w:start w:val="1"/>
      <w:numFmt w:val="bullet"/>
      <w:lvlText w:val="•"/>
      <w:lvlJc w:val="left"/>
      <w:pPr>
        <w:tabs>
          <w:tab w:val="num" w:pos="5760"/>
        </w:tabs>
        <w:ind w:left="5760" w:hanging="360"/>
      </w:pPr>
      <w:rPr>
        <w:rFonts w:ascii="Arial" w:hAnsi="Arial" w:hint="default"/>
      </w:rPr>
    </w:lvl>
    <w:lvl w:ilvl="8" w:tplc="82A471D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396505C9"/>
    <w:multiLevelType w:val="hybridMultilevel"/>
    <w:tmpl w:val="637AA6F8"/>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A371305"/>
    <w:multiLevelType w:val="hybridMultilevel"/>
    <w:tmpl w:val="B5CA9920"/>
    <w:lvl w:ilvl="0" w:tplc="FFFFFFFF">
      <w:start w:val="1"/>
      <w:numFmt w:val="decimal"/>
      <w:lvlText w:val="(%1)"/>
      <w:lvlJc w:val="left"/>
      <w:pPr>
        <w:ind w:left="1440" w:hanging="360"/>
      </w:pPr>
      <w:rPr>
        <w:rFonts w:ascii="Times New Roman" w:eastAsia="Times New Roman" w:hAnsi="Times New Roman" w:cs="Times New Roman" w:hint="default"/>
        <w:b/>
        <w:strike w:val="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3B172223"/>
    <w:multiLevelType w:val="hybridMultilevel"/>
    <w:tmpl w:val="F3084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C1B1216"/>
    <w:multiLevelType w:val="hybridMultilevel"/>
    <w:tmpl w:val="028C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721712"/>
    <w:multiLevelType w:val="hybridMultilevel"/>
    <w:tmpl w:val="9DBCD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0943E1B"/>
    <w:multiLevelType w:val="hybridMultilevel"/>
    <w:tmpl w:val="817625E8"/>
    <w:lvl w:ilvl="0" w:tplc="A8D2EA10">
      <w:start w:val="1"/>
      <w:numFmt w:val="lowerLetter"/>
      <w:lvlText w:val="(%1)"/>
      <w:lvlJc w:val="left"/>
      <w:pPr>
        <w:ind w:left="720" w:hanging="360"/>
      </w:pPr>
      <w:rPr>
        <w:rFonts w:cs="Times New Roman" w:hint="default"/>
        <w:strik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0BF1E90"/>
    <w:multiLevelType w:val="hybridMultilevel"/>
    <w:tmpl w:val="8FB69C7E"/>
    <w:lvl w:ilvl="0" w:tplc="FA8A1EF8">
      <w:start w:val="1"/>
      <w:numFmt w:val="lowerLetter"/>
      <w:lvlText w:val="(%1)"/>
      <w:lvlJc w:val="left"/>
      <w:pPr>
        <w:ind w:left="1440" w:hanging="360"/>
      </w:pPr>
      <w:rPr>
        <w:rFonts w:cs="Times New Roman" w:hint="default"/>
        <w:b/>
        <w:bCs w:val="0"/>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E81337"/>
    <w:multiLevelType w:val="hybridMultilevel"/>
    <w:tmpl w:val="E4786332"/>
    <w:lvl w:ilvl="0" w:tplc="F8A2145C">
      <w:start w:val="1"/>
      <w:numFmt w:val="bullet"/>
      <w:lvlText w:val="•"/>
      <w:lvlJc w:val="left"/>
      <w:pPr>
        <w:tabs>
          <w:tab w:val="num" w:pos="720"/>
        </w:tabs>
        <w:ind w:left="720" w:hanging="360"/>
      </w:pPr>
      <w:rPr>
        <w:rFonts w:ascii="Arial" w:hAnsi="Arial" w:hint="default"/>
      </w:rPr>
    </w:lvl>
    <w:lvl w:ilvl="1" w:tplc="540806BE" w:tentative="1">
      <w:start w:val="1"/>
      <w:numFmt w:val="bullet"/>
      <w:lvlText w:val="•"/>
      <w:lvlJc w:val="left"/>
      <w:pPr>
        <w:tabs>
          <w:tab w:val="num" w:pos="1440"/>
        </w:tabs>
        <w:ind w:left="1440" w:hanging="360"/>
      </w:pPr>
      <w:rPr>
        <w:rFonts w:ascii="Arial" w:hAnsi="Arial" w:hint="default"/>
      </w:rPr>
    </w:lvl>
    <w:lvl w:ilvl="2" w:tplc="03EE1908" w:tentative="1">
      <w:start w:val="1"/>
      <w:numFmt w:val="bullet"/>
      <w:lvlText w:val="•"/>
      <w:lvlJc w:val="left"/>
      <w:pPr>
        <w:tabs>
          <w:tab w:val="num" w:pos="2160"/>
        </w:tabs>
        <w:ind w:left="2160" w:hanging="360"/>
      </w:pPr>
      <w:rPr>
        <w:rFonts w:ascii="Arial" w:hAnsi="Arial" w:hint="default"/>
      </w:rPr>
    </w:lvl>
    <w:lvl w:ilvl="3" w:tplc="D1B6D7C2" w:tentative="1">
      <w:start w:val="1"/>
      <w:numFmt w:val="bullet"/>
      <w:lvlText w:val="•"/>
      <w:lvlJc w:val="left"/>
      <w:pPr>
        <w:tabs>
          <w:tab w:val="num" w:pos="2880"/>
        </w:tabs>
        <w:ind w:left="2880" w:hanging="360"/>
      </w:pPr>
      <w:rPr>
        <w:rFonts w:ascii="Arial" w:hAnsi="Arial" w:hint="default"/>
      </w:rPr>
    </w:lvl>
    <w:lvl w:ilvl="4" w:tplc="A8CAC3D2" w:tentative="1">
      <w:start w:val="1"/>
      <w:numFmt w:val="bullet"/>
      <w:lvlText w:val="•"/>
      <w:lvlJc w:val="left"/>
      <w:pPr>
        <w:tabs>
          <w:tab w:val="num" w:pos="3600"/>
        </w:tabs>
        <w:ind w:left="3600" w:hanging="360"/>
      </w:pPr>
      <w:rPr>
        <w:rFonts w:ascii="Arial" w:hAnsi="Arial" w:hint="default"/>
      </w:rPr>
    </w:lvl>
    <w:lvl w:ilvl="5" w:tplc="CE1ED074" w:tentative="1">
      <w:start w:val="1"/>
      <w:numFmt w:val="bullet"/>
      <w:lvlText w:val="•"/>
      <w:lvlJc w:val="left"/>
      <w:pPr>
        <w:tabs>
          <w:tab w:val="num" w:pos="4320"/>
        </w:tabs>
        <w:ind w:left="4320" w:hanging="360"/>
      </w:pPr>
      <w:rPr>
        <w:rFonts w:ascii="Arial" w:hAnsi="Arial" w:hint="default"/>
      </w:rPr>
    </w:lvl>
    <w:lvl w:ilvl="6" w:tplc="6C22E95C" w:tentative="1">
      <w:start w:val="1"/>
      <w:numFmt w:val="bullet"/>
      <w:lvlText w:val="•"/>
      <w:lvlJc w:val="left"/>
      <w:pPr>
        <w:tabs>
          <w:tab w:val="num" w:pos="5040"/>
        </w:tabs>
        <w:ind w:left="5040" w:hanging="360"/>
      </w:pPr>
      <w:rPr>
        <w:rFonts w:ascii="Arial" w:hAnsi="Arial" w:hint="default"/>
      </w:rPr>
    </w:lvl>
    <w:lvl w:ilvl="7" w:tplc="1408E3B8" w:tentative="1">
      <w:start w:val="1"/>
      <w:numFmt w:val="bullet"/>
      <w:lvlText w:val="•"/>
      <w:lvlJc w:val="left"/>
      <w:pPr>
        <w:tabs>
          <w:tab w:val="num" w:pos="5760"/>
        </w:tabs>
        <w:ind w:left="5760" w:hanging="360"/>
      </w:pPr>
      <w:rPr>
        <w:rFonts w:ascii="Arial" w:hAnsi="Arial" w:hint="default"/>
      </w:rPr>
    </w:lvl>
    <w:lvl w:ilvl="8" w:tplc="CFE4189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27D6FB1"/>
    <w:multiLevelType w:val="hybridMultilevel"/>
    <w:tmpl w:val="2EAE4D76"/>
    <w:lvl w:ilvl="0" w:tplc="3D2044E4">
      <w:start w:val="1"/>
      <w:numFmt w:val="bullet"/>
      <w:lvlText w:val="•"/>
      <w:lvlJc w:val="left"/>
      <w:pPr>
        <w:tabs>
          <w:tab w:val="num" w:pos="360"/>
        </w:tabs>
        <w:ind w:left="360" w:hanging="360"/>
      </w:pPr>
      <w:rPr>
        <w:rFonts w:ascii="Arial" w:hAnsi="Arial" w:hint="default"/>
      </w:rPr>
    </w:lvl>
    <w:lvl w:ilvl="1" w:tplc="63A8B8C2">
      <w:start w:val="1"/>
      <w:numFmt w:val="bullet"/>
      <w:lvlText w:val="•"/>
      <w:lvlJc w:val="left"/>
      <w:pPr>
        <w:tabs>
          <w:tab w:val="num" w:pos="1080"/>
        </w:tabs>
        <w:ind w:left="1080" w:hanging="360"/>
      </w:pPr>
      <w:rPr>
        <w:rFonts w:ascii="Arial" w:hAnsi="Arial" w:hint="default"/>
      </w:rPr>
    </w:lvl>
    <w:lvl w:ilvl="2" w:tplc="6DA01F7A" w:tentative="1">
      <w:start w:val="1"/>
      <w:numFmt w:val="bullet"/>
      <w:lvlText w:val="•"/>
      <w:lvlJc w:val="left"/>
      <w:pPr>
        <w:tabs>
          <w:tab w:val="num" w:pos="1800"/>
        </w:tabs>
        <w:ind w:left="1800" w:hanging="360"/>
      </w:pPr>
      <w:rPr>
        <w:rFonts w:ascii="Arial" w:hAnsi="Arial" w:hint="default"/>
      </w:rPr>
    </w:lvl>
    <w:lvl w:ilvl="3" w:tplc="10943B12" w:tentative="1">
      <w:start w:val="1"/>
      <w:numFmt w:val="bullet"/>
      <w:lvlText w:val="•"/>
      <w:lvlJc w:val="left"/>
      <w:pPr>
        <w:tabs>
          <w:tab w:val="num" w:pos="2520"/>
        </w:tabs>
        <w:ind w:left="2520" w:hanging="360"/>
      </w:pPr>
      <w:rPr>
        <w:rFonts w:ascii="Arial" w:hAnsi="Arial" w:hint="default"/>
      </w:rPr>
    </w:lvl>
    <w:lvl w:ilvl="4" w:tplc="81287638" w:tentative="1">
      <w:start w:val="1"/>
      <w:numFmt w:val="bullet"/>
      <w:lvlText w:val="•"/>
      <w:lvlJc w:val="left"/>
      <w:pPr>
        <w:tabs>
          <w:tab w:val="num" w:pos="3240"/>
        </w:tabs>
        <w:ind w:left="3240" w:hanging="360"/>
      </w:pPr>
      <w:rPr>
        <w:rFonts w:ascii="Arial" w:hAnsi="Arial" w:hint="default"/>
      </w:rPr>
    </w:lvl>
    <w:lvl w:ilvl="5" w:tplc="C7EAFC62" w:tentative="1">
      <w:start w:val="1"/>
      <w:numFmt w:val="bullet"/>
      <w:lvlText w:val="•"/>
      <w:lvlJc w:val="left"/>
      <w:pPr>
        <w:tabs>
          <w:tab w:val="num" w:pos="3960"/>
        </w:tabs>
        <w:ind w:left="3960" w:hanging="360"/>
      </w:pPr>
      <w:rPr>
        <w:rFonts w:ascii="Arial" w:hAnsi="Arial" w:hint="default"/>
      </w:rPr>
    </w:lvl>
    <w:lvl w:ilvl="6" w:tplc="F9B2BE82" w:tentative="1">
      <w:start w:val="1"/>
      <w:numFmt w:val="bullet"/>
      <w:lvlText w:val="•"/>
      <w:lvlJc w:val="left"/>
      <w:pPr>
        <w:tabs>
          <w:tab w:val="num" w:pos="4680"/>
        </w:tabs>
        <w:ind w:left="4680" w:hanging="360"/>
      </w:pPr>
      <w:rPr>
        <w:rFonts w:ascii="Arial" w:hAnsi="Arial" w:hint="default"/>
      </w:rPr>
    </w:lvl>
    <w:lvl w:ilvl="7" w:tplc="06181210" w:tentative="1">
      <w:start w:val="1"/>
      <w:numFmt w:val="bullet"/>
      <w:lvlText w:val="•"/>
      <w:lvlJc w:val="left"/>
      <w:pPr>
        <w:tabs>
          <w:tab w:val="num" w:pos="5400"/>
        </w:tabs>
        <w:ind w:left="5400" w:hanging="360"/>
      </w:pPr>
      <w:rPr>
        <w:rFonts w:ascii="Arial" w:hAnsi="Arial" w:hint="default"/>
      </w:rPr>
    </w:lvl>
    <w:lvl w:ilvl="8" w:tplc="3170F1F0"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437C2B62"/>
    <w:multiLevelType w:val="hybridMultilevel"/>
    <w:tmpl w:val="FFC84248"/>
    <w:lvl w:ilvl="0" w:tplc="330C98C8">
      <w:start w:val="1"/>
      <w:numFmt w:val="bullet"/>
      <w:lvlText w:val="•"/>
      <w:lvlJc w:val="left"/>
      <w:pPr>
        <w:tabs>
          <w:tab w:val="num" w:pos="720"/>
        </w:tabs>
        <w:ind w:left="720" w:hanging="360"/>
      </w:pPr>
      <w:rPr>
        <w:rFonts w:ascii="Arial" w:hAnsi="Arial" w:hint="default"/>
      </w:rPr>
    </w:lvl>
    <w:lvl w:ilvl="1" w:tplc="DA743A1E" w:tentative="1">
      <w:start w:val="1"/>
      <w:numFmt w:val="bullet"/>
      <w:lvlText w:val="•"/>
      <w:lvlJc w:val="left"/>
      <w:pPr>
        <w:tabs>
          <w:tab w:val="num" w:pos="1440"/>
        </w:tabs>
        <w:ind w:left="1440" w:hanging="360"/>
      </w:pPr>
      <w:rPr>
        <w:rFonts w:ascii="Arial" w:hAnsi="Arial" w:hint="default"/>
      </w:rPr>
    </w:lvl>
    <w:lvl w:ilvl="2" w:tplc="19F89176" w:tentative="1">
      <w:start w:val="1"/>
      <w:numFmt w:val="bullet"/>
      <w:lvlText w:val="•"/>
      <w:lvlJc w:val="left"/>
      <w:pPr>
        <w:tabs>
          <w:tab w:val="num" w:pos="2160"/>
        </w:tabs>
        <w:ind w:left="2160" w:hanging="360"/>
      </w:pPr>
      <w:rPr>
        <w:rFonts w:ascii="Arial" w:hAnsi="Arial" w:hint="default"/>
      </w:rPr>
    </w:lvl>
    <w:lvl w:ilvl="3" w:tplc="D786B430" w:tentative="1">
      <w:start w:val="1"/>
      <w:numFmt w:val="bullet"/>
      <w:lvlText w:val="•"/>
      <w:lvlJc w:val="left"/>
      <w:pPr>
        <w:tabs>
          <w:tab w:val="num" w:pos="2880"/>
        </w:tabs>
        <w:ind w:left="2880" w:hanging="360"/>
      </w:pPr>
      <w:rPr>
        <w:rFonts w:ascii="Arial" w:hAnsi="Arial" w:hint="default"/>
      </w:rPr>
    </w:lvl>
    <w:lvl w:ilvl="4" w:tplc="1D10769C" w:tentative="1">
      <w:start w:val="1"/>
      <w:numFmt w:val="bullet"/>
      <w:lvlText w:val="•"/>
      <w:lvlJc w:val="left"/>
      <w:pPr>
        <w:tabs>
          <w:tab w:val="num" w:pos="3600"/>
        </w:tabs>
        <w:ind w:left="3600" w:hanging="360"/>
      </w:pPr>
      <w:rPr>
        <w:rFonts w:ascii="Arial" w:hAnsi="Arial" w:hint="default"/>
      </w:rPr>
    </w:lvl>
    <w:lvl w:ilvl="5" w:tplc="9C32B606" w:tentative="1">
      <w:start w:val="1"/>
      <w:numFmt w:val="bullet"/>
      <w:lvlText w:val="•"/>
      <w:lvlJc w:val="left"/>
      <w:pPr>
        <w:tabs>
          <w:tab w:val="num" w:pos="4320"/>
        </w:tabs>
        <w:ind w:left="4320" w:hanging="360"/>
      </w:pPr>
      <w:rPr>
        <w:rFonts w:ascii="Arial" w:hAnsi="Arial" w:hint="default"/>
      </w:rPr>
    </w:lvl>
    <w:lvl w:ilvl="6" w:tplc="B20C22D6" w:tentative="1">
      <w:start w:val="1"/>
      <w:numFmt w:val="bullet"/>
      <w:lvlText w:val="•"/>
      <w:lvlJc w:val="left"/>
      <w:pPr>
        <w:tabs>
          <w:tab w:val="num" w:pos="5040"/>
        </w:tabs>
        <w:ind w:left="5040" w:hanging="360"/>
      </w:pPr>
      <w:rPr>
        <w:rFonts w:ascii="Arial" w:hAnsi="Arial" w:hint="default"/>
      </w:rPr>
    </w:lvl>
    <w:lvl w:ilvl="7" w:tplc="C3BA4850" w:tentative="1">
      <w:start w:val="1"/>
      <w:numFmt w:val="bullet"/>
      <w:lvlText w:val="•"/>
      <w:lvlJc w:val="left"/>
      <w:pPr>
        <w:tabs>
          <w:tab w:val="num" w:pos="5760"/>
        </w:tabs>
        <w:ind w:left="5760" w:hanging="360"/>
      </w:pPr>
      <w:rPr>
        <w:rFonts w:ascii="Arial" w:hAnsi="Arial" w:hint="default"/>
      </w:rPr>
    </w:lvl>
    <w:lvl w:ilvl="8" w:tplc="8DC4153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43AF5057"/>
    <w:multiLevelType w:val="hybridMultilevel"/>
    <w:tmpl w:val="1A7A1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6853270"/>
    <w:multiLevelType w:val="hybridMultilevel"/>
    <w:tmpl w:val="42FAE7FA"/>
    <w:lvl w:ilvl="0" w:tplc="F91E9856">
      <w:start w:val="1"/>
      <w:numFmt w:val="bullet"/>
      <w:lvlText w:val="•"/>
      <w:lvlJc w:val="left"/>
      <w:pPr>
        <w:tabs>
          <w:tab w:val="num" w:pos="720"/>
        </w:tabs>
        <w:ind w:left="720" w:hanging="360"/>
      </w:pPr>
      <w:rPr>
        <w:rFonts w:ascii="Arial" w:hAnsi="Arial" w:hint="default"/>
      </w:rPr>
    </w:lvl>
    <w:lvl w:ilvl="1" w:tplc="C63228B8" w:tentative="1">
      <w:start w:val="1"/>
      <w:numFmt w:val="bullet"/>
      <w:lvlText w:val="•"/>
      <w:lvlJc w:val="left"/>
      <w:pPr>
        <w:tabs>
          <w:tab w:val="num" w:pos="1440"/>
        </w:tabs>
        <w:ind w:left="1440" w:hanging="360"/>
      </w:pPr>
      <w:rPr>
        <w:rFonts w:ascii="Arial" w:hAnsi="Arial" w:hint="default"/>
      </w:rPr>
    </w:lvl>
    <w:lvl w:ilvl="2" w:tplc="6DD0310E" w:tentative="1">
      <w:start w:val="1"/>
      <w:numFmt w:val="bullet"/>
      <w:lvlText w:val="•"/>
      <w:lvlJc w:val="left"/>
      <w:pPr>
        <w:tabs>
          <w:tab w:val="num" w:pos="2160"/>
        </w:tabs>
        <w:ind w:left="2160" w:hanging="360"/>
      </w:pPr>
      <w:rPr>
        <w:rFonts w:ascii="Arial" w:hAnsi="Arial" w:hint="default"/>
      </w:rPr>
    </w:lvl>
    <w:lvl w:ilvl="3" w:tplc="6F8A95DA" w:tentative="1">
      <w:start w:val="1"/>
      <w:numFmt w:val="bullet"/>
      <w:lvlText w:val="•"/>
      <w:lvlJc w:val="left"/>
      <w:pPr>
        <w:tabs>
          <w:tab w:val="num" w:pos="2880"/>
        </w:tabs>
        <w:ind w:left="2880" w:hanging="360"/>
      </w:pPr>
      <w:rPr>
        <w:rFonts w:ascii="Arial" w:hAnsi="Arial" w:hint="default"/>
      </w:rPr>
    </w:lvl>
    <w:lvl w:ilvl="4" w:tplc="42C2A31E" w:tentative="1">
      <w:start w:val="1"/>
      <w:numFmt w:val="bullet"/>
      <w:lvlText w:val="•"/>
      <w:lvlJc w:val="left"/>
      <w:pPr>
        <w:tabs>
          <w:tab w:val="num" w:pos="3600"/>
        </w:tabs>
        <w:ind w:left="3600" w:hanging="360"/>
      </w:pPr>
      <w:rPr>
        <w:rFonts w:ascii="Arial" w:hAnsi="Arial" w:hint="default"/>
      </w:rPr>
    </w:lvl>
    <w:lvl w:ilvl="5" w:tplc="390041E8" w:tentative="1">
      <w:start w:val="1"/>
      <w:numFmt w:val="bullet"/>
      <w:lvlText w:val="•"/>
      <w:lvlJc w:val="left"/>
      <w:pPr>
        <w:tabs>
          <w:tab w:val="num" w:pos="4320"/>
        </w:tabs>
        <w:ind w:left="4320" w:hanging="360"/>
      </w:pPr>
      <w:rPr>
        <w:rFonts w:ascii="Arial" w:hAnsi="Arial" w:hint="default"/>
      </w:rPr>
    </w:lvl>
    <w:lvl w:ilvl="6" w:tplc="D0F00308" w:tentative="1">
      <w:start w:val="1"/>
      <w:numFmt w:val="bullet"/>
      <w:lvlText w:val="•"/>
      <w:lvlJc w:val="left"/>
      <w:pPr>
        <w:tabs>
          <w:tab w:val="num" w:pos="5040"/>
        </w:tabs>
        <w:ind w:left="5040" w:hanging="360"/>
      </w:pPr>
      <w:rPr>
        <w:rFonts w:ascii="Arial" w:hAnsi="Arial" w:hint="default"/>
      </w:rPr>
    </w:lvl>
    <w:lvl w:ilvl="7" w:tplc="C4020362" w:tentative="1">
      <w:start w:val="1"/>
      <w:numFmt w:val="bullet"/>
      <w:lvlText w:val="•"/>
      <w:lvlJc w:val="left"/>
      <w:pPr>
        <w:tabs>
          <w:tab w:val="num" w:pos="5760"/>
        </w:tabs>
        <w:ind w:left="5760" w:hanging="360"/>
      </w:pPr>
      <w:rPr>
        <w:rFonts w:ascii="Arial" w:hAnsi="Arial" w:hint="default"/>
      </w:rPr>
    </w:lvl>
    <w:lvl w:ilvl="8" w:tplc="3C2E263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6CD5796"/>
    <w:multiLevelType w:val="hybridMultilevel"/>
    <w:tmpl w:val="C9EC1BDC"/>
    <w:lvl w:ilvl="0" w:tplc="26028292">
      <w:start w:val="1"/>
      <w:numFmt w:val="bullet"/>
      <w:lvlText w:val="•"/>
      <w:lvlJc w:val="left"/>
      <w:pPr>
        <w:tabs>
          <w:tab w:val="num" w:pos="360"/>
        </w:tabs>
        <w:ind w:left="360" w:hanging="360"/>
      </w:pPr>
      <w:rPr>
        <w:rFonts w:ascii="Arial" w:hAnsi="Arial" w:hint="default"/>
      </w:rPr>
    </w:lvl>
    <w:lvl w:ilvl="1" w:tplc="84B82986">
      <w:numFmt w:val="bullet"/>
      <w:lvlText w:val="•"/>
      <w:lvlJc w:val="left"/>
      <w:pPr>
        <w:tabs>
          <w:tab w:val="num" w:pos="1080"/>
        </w:tabs>
        <w:ind w:left="1080" w:hanging="360"/>
      </w:pPr>
      <w:rPr>
        <w:rFonts w:ascii="Arial" w:hAnsi="Arial" w:hint="default"/>
      </w:rPr>
    </w:lvl>
    <w:lvl w:ilvl="2" w:tplc="619625F2" w:tentative="1">
      <w:start w:val="1"/>
      <w:numFmt w:val="bullet"/>
      <w:lvlText w:val="•"/>
      <w:lvlJc w:val="left"/>
      <w:pPr>
        <w:tabs>
          <w:tab w:val="num" w:pos="1800"/>
        </w:tabs>
        <w:ind w:left="1800" w:hanging="360"/>
      </w:pPr>
      <w:rPr>
        <w:rFonts w:ascii="Arial" w:hAnsi="Arial" w:hint="default"/>
      </w:rPr>
    </w:lvl>
    <w:lvl w:ilvl="3" w:tplc="07CA189E" w:tentative="1">
      <w:start w:val="1"/>
      <w:numFmt w:val="bullet"/>
      <w:lvlText w:val="•"/>
      <w:lvlJc w:val="left"/>
      <w:pPr>
        <w:tabs>
          <w:tab w:val="num" w:pos="2520"/>
        </w:tabs>
        <w:ind w:left="2520" w:hanging="360"/>
      </w:pPr>
      <w:rPr>
        <w:rFonts w:ascii="Arial" w:hAnsi="Arial" w:hint="default"/>
      </w:rPr>
    </w:lvl>
    <w:lvl w:ilvl="4" w:tplc="B76EA5D6" w:tentative="1">
      <w:start w:val="1"/>
      <w:numFmt w:val="bullet"/>
      <w:lvlText w:val="•"/>
      <w:lvlJc w:val="left"/>
      <w:pPr>
        <w:tabs>
          <w:tab w:val="num" w:pos="3240"/>
        </w:tabs>
        <w:ind w:left="3240" w:hanging="360"/>
      </w:pPr>
      <w:rPr>
        <w:rFonts w:ascii="Arial" w:hAnsi="Arial" w:hint="default"/>
      </w:rPr>
    </w:lvl>
    <w:lvl w:ilvl="5" w:tplc="95E020BE" w:tentative="1">
      <w:start w:val="1"/>
      <w:numFmt w:val="bullet"/>
      <w:lvlText w:val="•"/>
      <w:lvlJc w:val="left"/>
      <w:pPr>
        <w:tabs>
          <w:tab w:val="num" w:pos="3960"/>
        </w:tabs>
        <w:ind w:left="3960" w:hanging="360"/>
      </w:pPr>
      <w:rPr>
        <w:rFonts w:ascii="Arial" w:hAnsi="Arial" w:hint="default"/>
      </w:rPr>
    </w:lvl>
    <w:lvl w:ilvl="6" w:tplc="846EECAA" w:tentative="1">
      <w:start w:val="1"/>
      <w:numFmt w:val="bullet"/>
      <w:lvlText w:val="•"/>
      <w:lvlJc w:val="left"/>
      <w:pPr>
        <w:tabs>
          <w:tab w:val="num" w:pos="4680"/>
        </w:tabs>
        <w:ind w:left="4680" w:hanging="360"/>
      </w:pPr>
      <w:rPr>
        <w:rFonts w:ascii="Arial" w:hAnsi="Arial" w:hint="default"/>
      </w:rPr>
    </w:lvl>
    <w:lvl w:ilvl="7" w:tplc="F698D202" w:tentative="1">
      <w:start w:val="1"/>
      <w:numFmt w:val="bullet"/>
      <w:lvlText w:val="•"/>
      <w:lvlJc w:val="left"/>
      <w:pPr>
        <w:tabs>
          <w:tab w:val="num" w:pos="5400"/>
        </w:tabs>
        <w:ind w:left="5400" w:hanging="360"/>
      </w:pPr>
      <w:rPr>
        <w:rFonts w:ascii="Arial" w:hAnsi="Arial" w:hint="default"/>
      </w:rPr>
    </w:lvl>
    <w:lvl w:ilvl="8" w:tplc="50A665D8" w:tentative="1">
      <w:start w:val="1"/>
      <w:numFmt w:val="bullet"/>
      <w:lvlText w:val="•"/>
      <w:lvlJc w:val="left"/>
      <w:pPr>
        <w:tabs>
          <w:tab w:val="num" w:pos="6120"/>
        </w:tabs>
        <w:ind w:left="6120" w:hanging="360"/>
      </w:pPr>
      <w:rPr>
        <w:rFonts w:ascii="Arial" w:hAnsi="Arial" w:hint="default"/>
      </w:rPr>
    </w:lvl>
  </w:abstractNum>
  <w:abstractNum w:abstractNumId="86" w15:restartNumberingAfterBreak="0">
    <w:nsid w:val="47A004FA"/>
    <w:multiLevelType w:val="hybridMultilevel"/>
    <w:tmpl w:val="3B74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434A19"/>
    <w:multiLevelType w:val="hybridMultilevel"/>
    <w:tmpl w:val="DD98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F613D2"/>
    <w:multiLevelType w:val="hybridMultilevel"/>
    <w:tmpl w:val="2178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08193D"/>
    <w:multiLevelType w:val="hybridMultilevel"/>
    <w:tmpl w:val="31DC455C"/>
    <w:lvl w:ilvl="0" w:tplc="0409001B">
      <w:start w:val="1"/>
      <w:numFmt w:val="lowerRoman"/>
      <w:lvlText w:val="%1."/>
      <w:lvlJc w:val="right"/>
      <w:pPr>
        <w:ind w:left="1980" w:hanging="360"/>
      </w:pPr>
    </w:lvl>
    <w:lvl w:ilvl="1" w:tplc="0409000F">
      <w:start w:val="1"/>
      <w:numFmt w:val="decimal"/>
      <w:lvlText w:val="%2."/>
      <w:lvlJc w:val="left"/>
      <w:pPr>
        <w:ind w:left="234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0"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1" w15:restartNumberingAfterBreak="0">
    <w:nsid w:val="4C4E1A92"/>
    <w:multiLevelType w:val="multilevel"/>
    <w:tmpl w:val="2DDC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D5A458E"/>
    <w:multiLevelType w:val="hybridMultilevel"/>
    <w:tmpl w:val="59581A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456FBC"/>
    <w:multiLevelType w:val="hybridMultilevel"/>
    <w:tmpl w:val="9C1E9120"/>
    <w:lvl w:ilvl="0" w:tplc="3174964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128360B"/>
    <w:multiLevelType w:val="hybridMultilevel"/>
    <w:tmpl w:val="232EE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514F14DA"/>
    <w:multiLevelType w:val="hybridMultilevel"/>
    <w:tmpl w:val="409643E4"/>
    <w:lvl w:ilvl="0" w:tplc="FFFFFFFF">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51E74E29"/>
    <w:multiLevelType w:val="hybridMultilevel"/>
    <w:tmpl w:val="5F9C812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42C5D3F"/>
    <w:multiLevelType w:val="hybridMultilevel"/>
    <w:tmpl w:val="16CA9E0A"/>
    <w:lvl w:ilvl="0" w:tplc="8098D672">
      <w:start w:val="1"/>
      <w:numFmt w:val="bullet"/>
      <w:lvlText w:val="•"/>
      <w:lvlJc w:val="left"/>
      <w:pPr>
        <w:tabs>
          <w:tab w:val="num" w:pos="720"/>
        </w:tabs>
        <w:ind w:left="720" w:hanging="360"/>
      </w:pPr>
      <w:rPr>
        <w:rFonts w:ascii="Arial" w:hAnsi="Arial" w:hint="default"/>
      </w:rPr>
    </w:lvl>
    <w:lvl w:ilvl="1" w:tplc="73A4BC7A" w:tentative="1">
      <w:start w:val="1"/>
      <w:numFmt w:val="bullet"/>
      <w:lvlText w:val="•"/>
      <w:lvlJc w:val="left"/>
      <w:pPr>
        <w:tabs>
          <w:tab w:val="num" w:pos="1440"/>
        </w:tabs>
        <w:ind w:left="1440" w:hanging="360"/>
      </w:pPr>
      <w:rPr>
        <w:rFonts w:ascii="Arial" w:hAnsi="Arial" w:hint="default"/>
      </w:rPr>
    </w:lvl>
    <w:lvl w:ilvl="2" w:tplc="0A50E804" w:tentative="1">
      <w:start w:val="1"/>
      <w:numFmt w:val="bullet"/>
      <w:lvlText w:val="•"/>
      <w:lvlJc w:val="left"/>
      <w:pPr>
        <w:tabs>
          <w:tab w:val="num" w:pos="2160"/>
        </w:tabs>
        <w:ind w:left="2160" w:hanging="360"/>
      </w:pPr>
      <w:rPr>
        <w:rFonts w:ascii="Arial" w:hAnsi="Arial" w:hint="default"/>
      </w:rPr>
    </w:lvl>
    <w:lvl w:ilvl="3" w:tplc="94249772" w:tentative="1">
      <w:start w:val="1"/>
      <w:numFmt w:val="bullet"/>
      <w:lvlText w:val="•"/>
      <w:lvlJc w:val="left"/>
      <w:pPr>
        <w:tabs>
          <w:tab w:val="num" w:pos="2880"/>
        </w:tabs>
        <w:ind w:left="2880" w:hanging="360"/>
      </w:pPr>
      <w:rPr>
        <w:rFonts w:ascii="Arial" w:hAnsi="Arial" w:hint="default"/>
      </w:rPr>
    </w:lvl>
    <w:lvl w:ilvl="4" w:tplc="884EB1C2" w:tentative="1">
      <w:start w:val="1"/>
      <w:numFmt w:val="bullet"/>
      <w:lvlText w:val="•"/>
      <w:lvlJc w:val="left"/>
      <w:pPr>
        <w:tabs>
          <w:tab w:val="num" w:pos="3600"/>
        </w:tabs>
        <w:ind w:left="3600" w:hanging="360"/>
      </w:pPr>
      <w:rPr>
        <w:rFonts w:ascii="Arial" w:hAnsi="Arial" w:hint="default"/>
      </w:rPr>
    </w:lvl>
    <w:lvl w:ilvl="5" w:tplc="F32EBC3C" w:tentative="1">
      <w:start w:val="1"/>
      <w:numFmt w:val="bullet"/>
      <w:lvlText w:val="•"/>
      <w:lvlJc w:val="left"/>
      <w:pPr>
        <w:tabs>
          <w:tab w:val="num" w:pos="4320"/>
        </w:tabs>
        <w:ind w:left="4320" w:hanging="360"/>
      </w:pPr>
      <w:rPr>
        <w:rFonts w:ascii="Arial" w:hAnsi="Arial" w:hint="default"/>
      </w:rPr>
    </w:lvl>
    <w:lvl w:ilvl="6" w:tplc="E3EA4004" w:tentative="1">
      <w:start w:val="1"/>
      <w:numFmt w:val="bullet"/>
      <w:lvlText w:val="•"/>
      <w:lvlJc w:val="left"/>
      <w:pPr>
        <w:tabs>
          <w:tab w:val="num" w:pos="5040"/>
        </w:tabs>
        <w:ind w:left="5040" w:hanging="360"/>
      </w:pPr>
      <w:rPr>
        <w:rFonts w:ascii="Arial" w:hAnsi="Arial" w:hint="default"/>
      </w:rPr>
    </w:lvl>
    <w:lvl w:ilvl="7" w:tplc="5C26AD4C" w:tentative="1">
      <w:start w:val="1"/>
      <w:numFmt w:val="bullet"/>
      <w:lvlText w:val="•"/>
      <w:lvlJc w:val="left"/>
      <w:pPr>
        <w:tabs>
          <w:tab w:val="num" w:pos="5760"/>
        </w:tabs>
        <w:ind w:left="5760" w:hanging="360"/>
      </w:pPr>
      <w:rPr>
        <w:rFonts w:ascii="Arial" w:hAnsi="Arial" w:hint="default"/>
      </w:rPr>
    </w:lvl>
    <w:lvl w:ilvl="8" w:tplc="BB1EDF1C"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5747C55"/>
    <w:multiLevelType w:val="hybridMultilevel"/>
    <w:tmpl w:val="1C70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591506D"/>
    <w:multiLevelType w:val="hybridMultilevel"/>
    <w:tmpl w:val="572A6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5DF0A1D"/>
    <w:multiLevelType w:val="hybridMultilevel"/>
    <w:tmpl w:val="49189D5E"/>
    <w:lvl w:ilvl="0" w:tplc="FFFFFFFF">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569E3301"/>
    <w:multiLevelType w:val="hybridMultilevel"/>
    <w:tmpl w:val="1700A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2158D1"/>
    <w:multiLevelType w:val="hybridMultilevel"/>
    <w:tmpl w:val="D00E5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83D6DDA"/>
    <w:multiLevelType w:val="hybridMultilevel"/>
    <w:tmpl w:val="0D56EE7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15:restartNumberingAfterBreak="0">
    <w:nsid w:val="59B23F11"/>
    <w:multiLevelType w:val="hybridMultilevel"/>
    <w:tmpl w:val="1700A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472890"/>
    <w:multiLevelType w:val="hybridMultilevel"/>
    <w:tmpl w:val="BAF0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107" w15:restartNumberingAfterBreak="0">
    <w:nsid w:val="5DAC4BBE"/>
    <w:multiLevelType w:val="hybridMultilevel"/>
    <w:tmpl w:val="17D255B0"/>
    <w:lvl w:ilvl="0" w:tplc="A30C8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9" w15:restartNumberingAfterBreak="0">
    <w:nsid w:val="63FF77FF"/>
    <w:multiLevelType w:val="hybridMultilevel"/>
    <w:tmpl w:val="647C5A22"/>
    <w:lvl w:ilvl="0" w:tplc="5254BD76">
      <w:start w:val="1"/>
      <w:numFmt w:val="bullet"/>
      <w:lvlText w:val="•"/>
      <w:lvlJc w:val="left"/>
      <w:pPr>
        <w:tabs>
          <w:tab w:val="num" w:pos="720"/>
        </w:tabs>
        <w:ind w:left="720" w:hanging="360"/>
      </w:pPr>
      <w:rPr>
        <w:rFonts w:ascii="Arial" w:hAnsi="Arial" w:hint="default"/>
      </w:rPr>
    </w:lvl>
    <w:lvl w:ilvl="1" w:tplc="D58CE6A4">
      <w:start w:val="1"/>
      <w:numFmt w:val="bullet"/>
      <w:lvlText w:val="•"/>
      <w:lvlJc w:val="left"/>
      <w:pPr>
        <w:tabs>
          <w:tab w:val="num" w:pos="1440"/>
        </w:tabs>
        <w:ind w:left="1440" w:hanging="360"/>
      </w:pPr>
      <w:rPr>
        <w:rFonts w:ascii="Arial" w:hAnsi="Arial" w:hint="default"/>
      </w:rPr>
    </w:lvl>
    <w:lvl w:ilvl="2" w:tplc="CBCE4238">
      <w:numFmt w:val="bullet"/>
      <w:lvlText w:val="•"/>
      <w:lvlJc w:val="left"/>
      <w:pPr>
        <w:tabs>
          <w:tab w:val="num" w:pos="2160"/>
        </w:tabs>
        <w:ind w:left="2160" w:hanging="360"/>
      </w:pPr>
      <w:rPr>
        <w:rFonts w:ascii="Arial" w:hAnsi="Arial" w:hint="default"/>
      </w:rPr>
    </w:lvl>
    <w:lvl w:ilvl="3" w:tplc="DC648592" w:tentative="1">
      <w:start w:val="1"/>
      <w:numFmt w:val="bullet"/>
      <w:lvlText w:val="•"/>
      <w:lvlJc w:val="left"/>
      <w:pPr>
        <w:tabs>
          <w:tab w:val="num" w:pos="2880"/>
        </w:tabs>
        <w:ind w:left="2880" w:hanging="360"/>
      </w:pPr>
      <w:rPr>
        <w:rFonts w:ascii="Arial" w:hAnsi="Arial" w:hint="default"/>
      </w:rPr>
    </w:lvl>
    <w:lvl w:ilvl="4" w:tplc="9FE47216" w:tentative="1">
      <w:start w:val="1"/>
      <w:numFmt w:val="bullet"/>
      <w:lvlText w:val="•"/>
      <w:lvlJc w:val="left"/>
      <w:pPr>
        <w:tabs>
          <w:tab w:val="num" w:pos="3600"/>
        </w:tabs>
        <w:ind w:left="3600" w:hanging="360"/>
      </w:pPr>
      <w:rPr>
        <w:rFonts w:ascii="Arial" w:hAnsi="Arial" w:hint="default"/>
      </w:rPr>
    </w:lvl>
    <w:lvl w:ilvl="5" w:tplc="314C92BC" w:tentative="1">
      <w:start w:val="1"/>
      <w:numFmt w:val="bullet"/>
      <w:lvlText w:val="•"/>
      <w:lvlJc w:val="left"/>
      <w:pPr>
        <w:tabs>
          <w:tab w:val="num" w:pos="4320"/>
        </w:tabs>
        <w:ind w:left="4320" w:hanging="360"/>
      </w:pPr>
      <w:rPr>
        <w:rFonts w:ascii="Arial" w:hAnsi="Arial" w:hint="default"/>
      </w:rPr>
    </w:lvl>
    <w:lvl w:ilvl="6" w:tplc="CCBE44DC" w:tentative="1">
      <w:start w:val="1"/>
      <w:numFmt w:val="bullet"/>
      <w:lvlText w:val="•"/>
      <w:lvlJc w:val="left"/>
      <w:pPr>
        <w:tabs>
          <w:tab w:val="num" w:pos="5040"/>
        </w:tabs>
        <w:ind w:left="5040" w:hanging="360"/>
      </w:pPr>
      <w:rPr>
        <w:rFonts w:ascii="Arial" w:hAnsi="Arial" w:hint="default"/>
      </w:rPr>
    </w:lvl>
    <w:lvl w:ilvl="7" w:tplc="3A402F72" w:tentative="1">
      <w:start w:val="1"/>
      <w:numFmt w:val="bullet"/>
      <w:lvlText w:val="•"/>
      <w:lvlJc w:val="left"/>
      <w:pPr>
        <w:tabs>
          <w:tab w:val="num" w:pos="5760"/>
        </w:tabs>
        <w:ind w:left="5760" w:hanging="360"/>
      </w:pPr>
      <w:rPr>
        <w:rFonts w:ascii="Arial" w:hAnsi="Arial" w:hint="default"/>
      </w:rPr>
    </w:lvl>
    <w:lvl w:ilvl="8" w:tplc="B66CEB62"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55B28CC"/>
    <w:multiLevelType w:val="hybridMultilevel"/>
    <w:tmpl w:val="58B6962E"/>
    <w:lvl w:ilvl="0" w:tplc="E14E073A">
      <w:start w:val="3"/>
      <w:numFmt w:val="lowerLetter"/>
      <w:lvlText w:val="(%1)"/>
      <w:lvlJc w:val="left"/>
      <w:pPr>
        <w:ind w:left="1170" w:hanging="360"/>
      </w:pPr>
      <w:rPr>
        <w:rFonts w:cs="Times New Roman" w:hint="default"/>
      </w:rPr>
    </w:lvl>
    <w:lvl w:ilvl="1" w:tplc="D022588E">
      <w:start w:val="1"/>
      <w:numFmt w:val="decimal"/>
      <w:lvlText w:val="(%2)"/>
      <w:lvlJc w:val="left"/>
      <w:pPr>
        <w:ind w:left="1890" w:hanging="360"/>
      </w:pPr>
      <w:rPr>
        <w:rFonts w:hint="default"/>
      </w:rPr>
    </w:lvl>
    <w:lvl w:ilvl="2" w:tplc="0409001B">
      <w:start w:val="1"/>
      <w:numFmt w:val="lowerRoman"/>
      <w:lvlText w:val="%3."/>
      <w:lvlJc w:val="right"/>
      <w:pPr>
        <w:ind w:left="2610" w:hanging="180"/>
      </w:pPr>
    </w:lvl>
    <w:lvl w:ilvl="3" w:tplc="1700A9FC">
      <w:start w:val="1"/>
      <w:numFmt w:val="decimal"/>
      <w:lvlText w:val="(%4)"/>
      <w:lvlJc w:val="left"/>
      <w:pPr>
        <w:ind w:left="3330" w:hanging="360"/>
      </w:pPr>
      <w:rPr>
        <w:rFonts w:hint="default"/>
        <w:u w:val="single"/>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1" w15:restartNumberingAfterBreak="0">
    <w:nsid w:val="698E304A"/>
    <w:multiLevelType w:val="hybridMultilevel"/>
    <w:tmpl w:val="7F76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C6A71B0"/>
    <w:multiLevelType w:val="hybridMultilevel"/>
    <w:tmpl w:val="952A0EF4"/>
    <w:lvl w:ilvl="0" w:tplc="A30C811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712D1ABC"/>
    <w:multiLevelType w:val="hybridMultilevel"/>
    <w:tmpl w:val="B5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BD2F8A"/>
    <w:multiLevelType w:val="hybridMultilevel"/>
    <w:tmpl w:val="F8CEB2C8"/>
    <w:lvl w:ilvl="0" w:tplc="B4D25BE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524222"/>
    <w:multiLevelType w:val="hybridMultilevel"/>
    <w:tmpl w:val="C8981618"/>
    <w:lvl w:ilvl="0" w:tplc="10088384">
      <w:start w:val="1"/>
      <w:numFmt w:val="lowerRoman"/>
      <w:lvlRestart w:val="0"/>
      <w:lvlText w:val="%1."/>
      <w:lvlJc w:val="left"/>
      <w:pPr>
        <w:ind w:left="18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9C45D0"/>
    <w:multiLevelType w:val="hybridMultilevel"/>
    <w:tmpl w:val="FBC0B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9C67838"/>
    <w:multiLevelType w:val="hybridMultilevel"/>
    <w:tmpl w:val="C3F66C94"/>
    <w:lvl w:ilvl="0" w:tplc="E4B816C4">
      <w:start w:val="1"/>
      <w:numFmt w:val="lowerLetter"/>
      <w:lvlText w:val="(%1)"/>
      <w:lvlJc w:val="left"/>
      <w:pPr>
        <w:ind w:left="1440" w:hanging="360"/>
      </w:pPr>
      <w:rPr>
        <w:rFonts w:cs="Times New Roman" w:hint="default"/>
        <w:b/>
        <w:bCs w:val="0"/>
        <w:strike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D697AC0"/>
    <w:multiLevelType w:val="hybridMultilevel"/>
    <w:tmpl w:val="6F603CC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7DE16ECA"/>
    <w:multiLevelType w:val="hybridMultilevel"/>
    <w:tmpl w:val="FBE0455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5267EE"/>
    <w:multiLevelType w:val="hybridMultilevel"/>
    <w:tmpl w:val="C19E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A76C8A"/>
    <w:multiLevelType w:val="hybridMultilevel"/>
    <w:tmpl w:val="409643E4"/>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34664699">
    <w:abstractNumId w:val="79"/>
  </w:num>
  <w:num w:numId="2" w16cid:durableId="792096288">
    <w:abstractNumId w:val="72"/>
  </w:num>
  <w:num w:numId="3" w16cid:durableId="772554643">
    <w:abstractNumId w:val="119"/>
  </w:num>
  <w:num w:numId="4" w16cid:durableId="382145484">
    <w:abstractNumId w:val="49"/>
  </w:num>
  <w:num w:numId="5" w16cid:durableId="641084342">
    <w:abstractNumId w:val="45"/>
  </w:num>
  <w:num w:numId="6" w16cid:durableId="241062720">
    <w:abstractNumId w:val="106"/>
  </w:num>
  <w:num w:numId="7" w16cid:durableId="16557975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176574">
    <w:abstractNumId w:val="13"/>
  </w:num>
  <w:num w:numId="9" w16cid:durableId="1542282417">
    <w:abstractNumId w:val="108"/>
  </w:num>
  <w:num w:numId="10" w16cid:durableId="1591937033">
    <w:abstractNumId w:val="9"/>
  </w:num>
  <w:num w:numId="11" w16cid:durableId="130681791">
    <w:abstractNumId w:val="90"/>
  </w:num>
  <w:num w:numId="12" w16cid:durableId="727143829">
    <w:abstractNumId w:val="8"/>
  </w:num>
  <w:num w:numId="13" w16cid:durableId="1314992952">
    <w:abstractNumId w:val="7"/>
  </w:num>
  <w:num w:numId="14" w16cid:durableId="554896617">
    <w:abstractNumId w:val="6"/>
  </w:num>
  <w:num w:numId="15" w16cid:durableId="1726905613">
    <w:abstractNumId w:val="5"/>
  </w:num>
  <w:num w:numId="16" w16cid:durableId="221866601">
    <w:abstractNumId w:val="4"/>
  </w:num>
  <w:num w:numId="17" w16cid:durableId="511574841">
    <w:abstractNumId w:val="3"/>
  </w:num>
  <w:num w:numId="18" w16cid:durableId="1093864006">
    <w:abstractNumId w:val="2"/>
  </w:num>
  <w:num w:numId="19" w16cid:durableId="808547271">
    <w:abstractNumId w:val="1"/>
  </w:num>
  <w:num w:numId="20" w16cid:durableId="211159788">
    <w:abstractNumId w:val="56"/>
  </w:num>
  <w:num w:numId="21" w16cid:durableId="193856006">
    <w:abstractNumId w:val="76"/>
  </w:num>
  <w:num w:numId="22" w16cid:durableId="1012758472">
    <w:abstractNumId w:val="112"/>
  </w:num>
  <w:num w:numId="23" w16cid:durableId="247665771">
    <w:abstractNumId w:val="57"/>
  </w:num>
  <w:num w:numId="24" w16cid:durableId="1760591067">
    <w:abstractNumId w:val="22"/>
  </w:num>
  <w:num w:numId="25" w16cid:durableId="1427578917">
    <w:abstractNumId w:val="114"/>
  </w:num>
  <w:num w:numId="26" w16cid:durableId="1682856729">
    <w:abstractNumId w:val="35"/>
  </w:num>
  <w:num w:numId="27" w16cid:durableId="253980131">
    <w:abstractNumId w:val="28"/>
  </w:num>
  <w:num w:numId="28" w16cid:durableId="1250651762">
    <w:abstractNumId w:val="61"/>
  </w:num>
  <w:num w:numId="29" w16cid:durableId="516384838">
    <w:abstractNumId w:val="120"/>
  </w:num>
  <w:num w:numId="30" w16cid:durableId="12341461">
    <w:abstractNumId w:val="18"/>
  </w:num>
  <w:num w:numId="31" w16cid:durableId="204491158">
    <w:abstractNumId w:val="40"/>
  </w:num>
  <w:num w:numId="32" w16cid:durableId="1614701994">
    <w:abstractNumId w:val="123"/>
  </w:num>
  <w:num w:numId="33" w16cid:durableId="1448967777">
    <w:abstractNumId w:val="22"/>
    <w:lvlOverride w:ilvl="0">
      <w:lvl w:ilvl="0" w:tplc="04090001">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tplc="04090003">
        <w:start w:val="1"/>
        <w:numFmt w:val="decimal"/>
        <w:lvlText w:val="%1.%2."/>
        <w:lvlJc w:val="left"/>
        <w:pPr>
          <w:ind w:left="720" w:hanging="720"/>
        </w:pPr>
        <w:rPr>
          <w:rFonts w:ascii="Times New Roman Bold" w:hAnsi="Times New Roman Bold" w:hint="default"/>
          <w:b/>
          <w:i w:val="0"/>
          <w:sz w:val="24"/>
        </w:rPr>
      </w:lvl>
    </w:lvlOverride>
    <w:lvlOverride w:ilvl="2">
      <w:lvl w:ilvl="2" w:tplc="04090005">
        <w:start w:val="1"/>
        <w:numFmt w:val="decimal"/>
        <w:lvlText w:val="%1.%2.%3."/>
        <w:lvlJc w:val="left"/>
        <w:pPr>
          <w:ind w:left="3006" w:hanging="936"/>
        </w:pPr>
        <w:rPr>
          <w:rFonts w:ascii="Times New Roman Bold" w:hAnsi="Times New Roman Bold" w:hint="default"/>
          <w:b/>
          <w:i w:val="0"/>
          <w:sz w:val="22"/>
          <w:szCs w:val="22"/>
        </w:rPr>
      </w:lvl>
    </w:lvlOverride>
    <w:lvlOverride w:ilvl="3">
      <w:lvl w:ilvl="3" w:tplc="04090001">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tplc="04090003">
        <w:start w:val="1"/>
        <w:numFmt w:val="decimal"/>
        <w:lvlText w:val="%1.%2.%3.%4.%5."/>
        <w:lvlJc w:val="left"/>
        <w:pPr>
          <w:ind w:left="2592" w:hanging="1512"/>
        </w:pPr>
        <w:rPr>
          <w:rFonts w:ascii="Times New Roman Bold" w:hAnsi="Times New Roman Bold" w:hint="default"/>
          <w:b/>
          <w:i w:val="0"/>
          <w:sz w:val="22"/>
        </w:rPr>
      </w:lvl>
    </w:lvlOverride>
    <w:lvlOverride w:ilvl="5">
      <w:lvl w:ilvl="5" w:tplc="04090005">
        <w:start w:val="1"/>
        <w:numFmt w:val="none"/>
        <w:lvlText w:val="%1.%2.%3.%4.%5."/>
        <w:lvlJc w:val="left"/>
        <w:pPr>
          <w:ind w:left="2880" w:hanging="1440"/>
        </w:pPr>
        <w:rPr>
          <w:rFonts w:ascii="Times New Roman Bold" w:hAnsi="Times New Roman Bold" w:hint="default"/>
          <w:b/>
          <w:i w:val="0"/>
          <w:sz w:val="22"/>
        </w:rPr>
      </w:lvl>
    </w:lvlOverride>
    <w:lvlOverride w:ilvl="6">
      <w:lvl w:ilvl="6" w:tplc="04090001">
        <w:start w:val="1"/>
        <w:numFmt w:val="decimal"/>
        <w:lvlText w:val="%7.%1.%2.%3.%4.%5.%6."/>
        <w:lvlJc w:val="left"/>
        <w:pPr>
          <w:ind w:left="3816" w:hanging="2016"/>
        </w:pPr>
        <w:rPr>
          <w:rFonts w:ascii="Times New Roman Bold" w:hAnsi="Times New Roman Bold" w:hint="default"/>
          <w:b/>
          <w:i w:val="0"/>
          <w:sz w:val="20"/>
        </w:rPr>
      </w:lvl>
    </w:lvlOverride>
    <w:lvlOverride w:ilvl="7">
      <w:lvl w:ilvl="7" w:tplc="04090003">
        <w:start w:val="1"/>
        <w:numFmt w:val="decimal"/>
        <w:lvlText w:val="%1.%2.%3.%4.%5.%6.%7.%8."/>
        <w:lvlJc w:val="left"/>
        <w:pPr>
          <w:ind w:left="4896" w:hanging="2736"/>
        </w:pPr>
        <w:rPr>
          <w:rFonts w:hint="default"/>
        </w:rPr>
      </w:lvl>
    </w:lvlOverride>
    <w:lvlOverride w:ilvl="8">
      <w:lvl w:ilvl="8" w:tplc="04090005">
        <w:start w:val="1"/>
        <w:numFmt w:val="none"/>
        <w:lvlText w:val=""/>
        <w:lvlJc w:val="left"/>
        <w:pPr>
          <w:ind w:left="3240" w:hanging="360"/>
        </w:pPr>
        <w:rPr>
          <w:rFonts w:hint="default"/>
        </w:rPr>
      </w:lvl>
    </w:lvlOverride>
  </w:num>
  <w:num w:numId="34" w16cid:durableId="1577785722">
    <w:abstractNumId w:val="26"/>
  </w:num>
  <w:num w:numId="35" w16cid:durableId="891116562">
    <w:abstractNumId w:val="14"/>
  </w:num>
  <w:num w:numId="36" w16cid:durableId="1074428594">
    <w:abstractNumId w:val="64"/>
  </w:num>
  <w:num w:numId="37" w16cid:durableId="1355493828">
    <w:abstractNumId w:val="25"/>
  </w:num>
  <w:num w:numId="38" w16cid:durableId="1360231677">
    <w:abstractNumId w:val="78"/>
  </w:num>
  <w:num w:numId="39" w16cid:durableId="920717103">
    <w:abstractNumId w:val="34"/>
  </w:num>
  <w:num w:numId="40" w16cid:durableId="1510098777">
    <w:abstractNumId w:val="62"/>
  </w:num>
  <w:num w:numId="41" w16cid:durableId="1948923701">
    <w:abstractNumId w:val="121"/>
  </w:num>
  <w:num w:numId="42" w16cid:durableId="871041114">
    <w:abstractNumId w:val="93"/>
  </w:num>
  <w:num w:numId="43" w16cid:durableId="834222016">
    <w:abstractNumId w:val="30"/>
  </w:num>
  <w:num w:numId="44" w16cid:durableId="2120560095">
    <w:abstractNumId w:val="41"/>
  </w:num>
  <w:num w:numId="45" w16cid:durableId="1472701">
    <w:abstractNumId w:val="115"/>
  </w:num>
  <w:num w:numId="46" w16cid:durableId="2029061338">
    <w:abstractNumId w:val="54"/>
  </w:num>
  <w:num w:numId="47" w16cid:durableId="2132281033">
    <w:abstractNumId w:val="32"/>
  </w:num>
  <w:num w:numId="48" w16cid:durableId="1159809824">
    <w:abstractNumId w:val="122"/>
  </w:num>
  <w:num w:numId="49" w16cid:durableId="340395331">
    <w:abstractNumId w:val="77"/>
  </w:num>
  <w:num w:numId="50" w16cid:durableId="914170978">
    <w:abstractNumId w:val="67"/>
  </w:num>
  <w:num w:numId="51" w16cid:durableId="1875773383">
    <w:abstractNumId w:val="70"/>
  </w:num>
  <w:num w:numId="52" w16cid:durableId="106125391">
    <w:abstractNumId w:val="107"/>
  </w:num>
  <w:num w:numId="53" w16cid:durableId="64377412">
    <w:abstractNumId w:val="47"/>
  </w:num>
  <w:num w:numId="54" w16cid:durableId="1216431598">
    <w:abstractNumId w:val="124"/>
  </w:num>
  <w:num w:numId="55" w16cid:durableId="1496534773">
    <w:abstractNumId w:val="0"/>
  </w:num>
  <w:num w:numId="56" w16cid:durableId="1932156074">
    <w:abstractNumId w:val="91"/>
  </w:num>
  <w:num w:numId="57" w16cid:durableId="862086279">
    <w:abstractNumId w:val="109"/>
  </w:num>
  <w:num w:numId="58" w16cid:durableId="10277519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575160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8286329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24803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0221064">
    <w:abstractNumId w:val="35"/>
  </w:num>
  <w:num w:numId="63" w16cid:durableId="1337419178">
    <w:abstractNumId w:val="28"/>
  </w:num>
  <w:num w:numId="64" w16cid:durableId="598031214">
    <w:abstractNumId w:val="11"/>
  </w:num>
  <w:num w:numId="65" w16cid:durableId="1142885902">
    <w:abstractNumId w:val="99"/>
  </w:num>
  <w:num w:numId="66" w16cid:durableId="268125040">
    <w:abstractNumId w:val="117"/>
  </w:num>
  <w:num w:numId="67" w16cid:durableId="2065828157">
    <w:abstractNumId w:val="103"/>
  </w:num>
  <w:num w:numId="68" w16cid:durableId="1681467095">
    <w:abstractNumId w:val="12"/>
  </w:num>
  <w:num w:numId="69" w16cid:durableId="2042894440">
    <w:abstractNumId w:val="55"/>
  </w:num>
  <w:num w:numId="70" w16cid:durableId="935089578">
    <w:abstractNumId w:val="89"/>
  </w:num>
  <w:num w:numId="71" w16cid:durableId="1972250168">
    <w:abstractNumId w:val="59"/>
  </w:num>
  <w:num w:numId="72" w16cid:durableId="461534990">
    <w:abstractNumId w:val="37"/>
  </w:num>
  <w:num w:numId="73" w16cid:durableId="2036887110">
    <w:abstractNumId w:val="105"/>
  </w:num>
  <w:num w:numId="74" w16cid:durableId="1749155874">
    <w:abstractNumId w:val="111"/>
  </w:num>
  <w:num w:numId="75" w16cid:durableId="603609650">
    <w:abstractNumId w:val="94"/>
  </w:num>
  <w:num w:numId="76" w16cid:durableId="874198741">
    <w:abstractNumId w:val="87"/>
  </w:num>
  <w:num w:numId="77" w16cid:durableId="1695570369">
    <w:abstractNumId w:val="71"/>
  </w:num>
  <w:num w:numId="78" w16cid:durableId="43406633">
    <w:abstractNumId w:val="27"/>
  </w:num>
  <w:num w:numId="79" w16cid:durableId="1429930150">
    <w:abstractNumId w:val="46"/>
  </w:num>
  <w:num w:numId="80" w16cid:durableId="1973439337">
    <w:abstractNumId w:val="63"/>
  </w:num>
  <w:num w:numId="81" w16cid:durableId="677344389">
    <w:abstractNumId w:val="110"/>
  </w:num>
  <w:num w:numId="82" w16cid:durableId="1954245802">
    <w:abstractNumId w:val="4"/>
    <w:lvlOverride w:ilvl="0">
      <w:startOverride w:val="1"/>
    </w:lvlOverride>
  </w:num>
  <w:num w:numId="83" w16cid:durableId="1808354797">
    <w:abstractNumId w:val="60"/>
  </w:num>
  <w:num w:numId="84" w16cid:durableId="2060351609">
    <w:abstractNumId w:val="10"/>
  </w:num>
  <w:num w:numId="85" w16cid:durableId="423654217">
    <w:abstractNumId w:val="17"/>
  </w:num>
  <w:num w:numId="86" w16cid:durableId="121114623">
    <w:abstractNumId w:val="51"/>
  </w:num>
  <w:num w:numId="87" w16cid:durableId="15604339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79183346">
    <w:abstractNumId w:val="126"/>
  </w:num>
  <w:num w:numId="89" w16cid:durableId="1120298391">
    <w:abstractNumId w:val="39"/>
  </w:num>
  <w:num w:numId="90" w16cid:durableId="1514881973">
    <w:abstractNumId w:val="42"/>
  </w:num>
  <w:num w:numId="91" w16cid:durableId="1763138965">
    <w:abstractNumId w:val="80"/>
  </w:num>
  <w:num w:numId="92" w16cid:durableId="482157159">
    <w:abstractNumId w:val="65"/>
  </w:num>
  <w:num w:numId="93" w16cid:durableId="1778333053">
    <w:abstractNumId w:val="69"/>
  </w:num>
  <w:num w:numId="94" w16cid:durableId="1245143906">
    <w:abstractNumId w:val="97"/>
  </w:num>
  <w:num w:numId="95" w16cid:durableId="1049303111">
    <w:abstractNumId w:val="82"/>
  </w:num>
  <w:num w:numId="96" w16cid:durableId="1799640937">
    <w:abstractNumId w:val="21"/>
  </w:num>
  <w:num w:numId="97" w16cid:durableId="329792414">
    <w:abstractNumId w:val="84"/>
  </w:num>
  <w:num w:numId="98" w16cid:durableId="2073769964">
    <w:abstractNumId w:val="33"/>
  </w:num>
  <w:num w:numId="99" w16cid:durableId="663051055">
    <w:abstractNumId w:val="88"/>
  </w:num>
  <w:num w:numId="100" w16cid:durableId="1847356184">
    <w:abstractNumId w:val="58"/>
  </w:num>
  <w:num w:numId="101" w16cid:durableId="207113032">
    <w:abstractNumId w:val="125"/>
  </w:num>
  <w:num w:numId="102" w16cid:durableId="1886209950">
    <w:abstractNumId w:val="116"/>
  </w:num>
  <w:num w:numId="103" w16cid:durableId="647318265">
    <w:abstractNumId w:val="23"/>
  </w:num>
  <w:num w:numId="104" w16cid:durableId="679432106">
    <w:abstractNumId w:val="101"/>
  </w:num>
  <w:num w:numId="105" w16cid:durableId="1145395249">
    <w:abstractNumId w:val="104"/>
  </w:num>
  <w:num w:numId="106" w16cid:durableId="882254340">
    <w:abstractNumId w:val="53"/>
  </w:num>
  <w:num w:numId="107" w16cid:durableId="632716152">
    <w:abstractNumId w:val="15"/>
  </w:num>
  <w:num w:numId="108" w16cid:durableId="139857518">
    <w:abstractNumId w:val="68"/>
  </w:num>
  <w:num w:numId="109" w16cid:durableId="941258760">
    <w:abstractNumId w:val="29"/>
  </w:num>
  <w:num w:numId="110" w16cid:durableId="1377854774">
    <w:abstractNumId w:val="44"/>
  </w:num>
  <w:num w:numId="111" w16cid:durableId="893931677">
    <w:abstractNumId w:val="50"/>
  </w:num>
  <w:num w:numId="112" w16cid:durableId="32459929">
    <w:abstractNumId w:val="75"/>
  </w:num>
  <w:num w:numId="113" w16cid:durableId="391513203">
    <w:abstractNumId w:val="74"/>
  </w:num>
  <w:num w:numId="114" w16cid:durableId="2048984990">
    <w:abstractNumId w:val="20"/>
  </w:num>
  <w:num w:numId="115" w16cid:durableId="932123833">
    <w:abstractNumId w:val="19"/>
  </w:num>
  <w:num w:numId="116" w16cid:durableId="381634457">
    <w:abstractNumId w:val="98"/>
  </w:num>
  <w:num w:numId="117" w16cid:durableId="531386796">
    <w:abstractNumId w:val="86"/>
  </w:num>
  <w:num w:numId="118" w16cid:durableId="1265842294">
    <w:abstractNumId w:val="31"/>
  </w:num>
  <w:num w:numId="119" w16cid:durableId="1121001688">
    <w:abstractNumId w:val="48"/>
  </w:num>
  <w:num w:numId="120" w16cid:durableId="1186989302">
    <w:abstractNumId w:val="102"/>
  </w:num>
  <w:num w:numId="121" w16cid:durableId="1499885343">
    <w:abstractNumId w:val="118"/>
  </w:num>
  <w:num w:numId="122" w16cid:durableId="1178234704">
    <w:abstractNumId w:val="36"/>
  </w:num>
  <w:num w:numId="123" w16cid:durableId="15692264">
    <w:abstractNumId w:val="43"/>
  </w:num>
  <w:num w:numId="124" w16cid:durableId="1345473095">
    <w:abstractNumId w:val="16"/>
  </w:num>
  <w:num w:numId="125" w16cid:durableId="1459183642">
    <w:abstractNumId w:val="73"/>
  </w:num>
  <w:num w:numId="126" w16cid:durableId="662322747">
    <w:abstractNumId w:val="92"/>
  </w:num>
  <w:num w:numId="127" w16cid:durableId="883954377">
    <w:abstractNumId w:val="85"/>
  </w:num>
  <w:num w:numId="128" w16cid:durableId="220558572">
    <w:abstractNumId w:val="81"/>
  </w:num>
  <w:num w:numId="129" w16cid:durableId="1302734111">
    <w:abstractNumId w:val="38"/>
  </w:num>
  <w:num w:numId="130" w16cid:durableId="1925841298">
    <w:abstractNumId w:val="83"/>
  </w:num>
  <w:num w:numId="131" w16cid:durableId="1057165941">
    <w:abstractNumId w:val="52"/>
  </w:num>
  <w:num w:numId="132" w16cid:durableId="1099915241">
    <w:abstractNumId w:val="96"/>
  </w:num>
  <w:num w:numId="133" w16cid:durableId="1670331007">
    <w:abstractNumId w:val="24"/>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Guire, John T. Mr. (Fed)">
    <w15:presenceInfo w15:providerId="AD" w15:userId="S::jtm8@NIST.GOV::c6773785-b84c-432c-84ad-9007e4f840e2"/>
  </w15:person>
  <w15:person w15:author="Juroch, Zina">
    <w15:presenceInfo w15:providerId="AD" w15:userId="S::Z.JUROCH@tcu.edu::63788cc2-7143-4949-b345-d757f7ec422d"/>
  </w15:person>
  <w15:person w15:author="Smith, Michael (AGRICULTURE)">
    <w15:presenceInfo w15:providerId="AD" w15:userId="S::Michael.Smith@agriculture.ny.gov::835b39c5-57f5-412c-a850-821fa9d3ff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6sFAKHSzN8tAAAA"/>
  </w:docVars>
  <w:rsids>
    <w:rsidRoot w:val="00A12E0D"/>
    <w:rsid w:val="0000008F"/>
    <w:rsid w:val="0000032F"/>
    <w:rsid w:val="000006B8"/>
    <w:rsid w:val="00000979"/>
    <w:rsid w:val="00000F3D"/>
    <w:rsid w:val="00000F89"/>
    <w:rsid w:val="000010C1"/>
    <w:rsid w:val="00001340"/>
    <w:rsid w:val="000018B0"/>
    <w:rsid w:val="0000193D"/>
    <w:rsid w:val="00001C32"/>
    <w:rsid w:val="00001FE0"/>
    <w:rsid w:val="000023DC"/>
    <w:rsid w:val="00002773"/>
    <w:rsid w:val="00002BF1"/>
    <w:rsid w:val="00002D2C"/>
    <w:rsid w:val="000036B8"/>
    <w:rsid w:val="00003C73"/>
    <w:rsid w:val="00003E9C"/>
    <w:rsid w:val="00003F53"/>
    <w:rsid w:val="00004298"/>
    <w:rsid w:val="00004304"/>
    <w:rsid w:val="0000443B"/>
    <w:rsid w:val="000044CE"/>
    <w:rsid w:val="0000465C"/>
    <w:rsid w:val="00004803"/>
    <w:rsid w:val="00004950"/>
    <w:rsid w:val="0000543A"/>
    <w:rsid w:val="00005779"/>
    <w:rsid w:val="00005885"/>
    <w:rsid w:val="00005A0C"/>
    <w:rsid w:val="00005B3F"/>
    <w:rsid w:val="00005EC3"/>
    <w:rsid w:val="00006175"/>
    <w:rsid w:val="00006761"/>
    <w:rsid w:val="00006AF9"/>
    <w:rsid w:val="00006B0C"/>
    <w:rsid w:val="00006D7F"/>
    <w:rsid w:val="00006FCD"/>
    <w:rsid w:val="000074C0"/>
    <w:rsid w:val="000074F7"/>
    <w:rsid w:val="000076D9"/>
    <w:rsid w:val="0000772E"/>
    <w:rsid w:val="0000792B"/>
    <w:rsid w:val="00007BDC"/>
    <w:rsid w:val="00007C01"/>
    <w:rsid w:val="00007DC0"/>
    <w:rsid w:val="00007E3C"/>
    <w:rsid w:val="000102C9"/>
    <w:rsid w:val="00010309"/>
    <w:rsid w:val="00010F22"/>
    <w:rsid w:val="0001154E"/>
    <w:rsid w:val="000115B8"/>
    <w:rsid w:val="0001166D"/>
    <w:rsid w:val="0001178B"/>
    <w:rsid w:val="000119A9"/>
    <w:rsid w:val="00011BC1"/>
    <w:rsid w:val="0001228C"/>
    <w:rsid w:val="000122F0"/>
    <w:rsid w:val="000123D3"/>
    <w:rsid w:val="000125E9"/>
    <w:rsid w:val="000126FA"/>
    <w:rsid w:val="0001283A"/>
    <w:rsid w:val="00012A49"/>
    <w:rsid w:val="00012C79"/>
    <w:rsid w:val="00012E40"/>
    <w:rsid w:val="000132BC"/>
    <w:rsid w:val="00013593"/>
    <w:rsid w:val="0001381E"/>
    <w:rsid w:val="00013D11"/>
    <w:rsid w:val="00013F63"/>
    <w:rsid w:val="0001432E"/>
    <w:rsid w:val="00014605"/>
    <w:rsid w:val="0001466E"/>
    <w:rsid w:val="00014FF3"/>
    <w:rsid w:val="0001515B"/>
    <w:rsid w:val="0001538E"/>
    <w:rsid w:val="000154EB"/>
    <w:rsid w:val="00015D26"/>
    <w:rsid w:val="00015DB8"/>
    <w:rsid w:val="00015E81"/>
    <w:rsid w:val="00016304"/>
    <w:rsid w:val="00016494"/>
    <w:rsid w:val="000167F6"/>
    <w:rsid w:val="00016E46"/>
    <w:rsid w:val="000170CD"/>
    <w:rsid w:val="00017394"/>
    <w:rsid w:val="000176F1"/>
    <w:rsid w:val="000177CC"/>
    <w:rsid w:val="000178E3"/>
    <w:rsid w:val="000179CC"/>
    <w:rsid w:val="000179F8"/>
    <w:rsid w:val="00017BB3"/>
    <w:rsid w:val="00017F3A"/>
    <w:rsid w:val="00017F75"/>
    <w:rsid w:val="000202D1"/>
    <w:rsid w:val="000208ED"/>
    <w:rsid w:val="00020A63"/>
    <w:rsid w:val="00020AFA"/>
    <w:rsid w:val="00021045"/>
    <w:rsid w:val="00021370"/>
    <w:rsid w:val="0002151B"/>
    <w:rsid w:val="0002165E"/>
    <w:rsid w:val="000218BC"/>
    <w:rsid w:val="00021AC8"/>
    <w:rsid w:val="000224E8"/>
    <w:rsid w:val="00022A1A"/>
    <w:rsid w:val="00022AE7"/>
    <w:rsid w:val="00022BA2"/>
    <w:rsid w:val="00022DF5"/>
    <w:rsid w:val="00022ED8"/>
    <w:rsid w:val="00022F3C"/>
    <w:rsid w:val="00022F42"/>
    <w:rsid w:val="00022FCB"/>
    <w:rsid w:val="000231AE"/>
    <w:rsid w:val="000234D0"/>
    <w:rsid w:val="00023C2A"/>
    <w:rsid w:val="00023D2E"/>
    <w:rsid w:val="00023E63"/>
    <w:rsid w:val="00023E87"/>
    <w:rsid w:val="000244AC"/>
    <w:rsid w:val="00024A4A"/>
    <w:rsid w:val="00024B16"/>
    <w:rsid w:val="00024E52"/>
    <w:rsid w:val="000250E8"/>
    <w:rsid w:val="000251D2"/>
    <w:rsid w:val="000252CF"/>
    <w:rsid w:val="00025374"/>
    <w:rsid w:val="0002547A"/>
    <w:rsid w:val="00025579"/>
    <w:rsid w:val="000255D4"/>
    <w:rsid w:val="000257D4"/>
    <w:rsid w:val="000257F7"/>
    <w:rsid w:val="00025C12"/>
    <w:rsid w:val="00025FB9"/>
    <w:rsid w:val="000262CA"/>
    <w:rsid w:val="00026722"/>
    <w:rsid w:val="0002685D"/>
    <w:rsid w:val="00026A66"/>
    <w:rsid w:val="00026E33"/>
    <w:rsid w:val="00026E93"/>
    <w:rsid w:val="00026EFE"/>
    <w:rsid w:val="00026F55"/>
    <w:rsid w:val="0002719B"/>
    <w:rsid w:val="00027266"/>
    <w:rsid w:val="00027A39"/>
    <w:rsid w:val="00027B2A"/>
    <w:rsid w:val="00027D05"/>
    <w:rsid w:val="00030834"/>
    <w:rsid w:val="00030FAB"/>
    <w:rsid w:val="00031160"/>
    <w:rsid w:val="000312A9"/>
    <w:rsid w:val="00031353"/>
    <w:rsid w:val="00031A34"/>
    <w:rsid w:val="000320D7"/>
    <w:rsid w:val="000328C1"/>
    <w:rsid w:val="00032971"/>
    <w:rsid w:val="00032A72"/>
    <w:rsid w:val="0003330D"/>
    <w:rsid w:val="0003331E"/>
    <w:rsid w:val="00033358"/>
    <w:rsid w:val="00033390"/>
    <w:rsid w:val="00033524"/>
    <w:rsid w:val="00033965"/>
    <w:rsid w:val="00033D89"/>
    <w:rsid w:val="00033E53"/>
    <w:rsid w:val="000340AC"/>
    <w:rsid w:val="000340BF"/>
    <w:rsid w:val="00034572"/>
    <w:rsid w:val="00034772"/>
    <w:rsid w:val="00034A56"/>
    <w:rsid w:val="00034AE8"/>
    <w:rsid w:val="00034FC4"/>
    <w:rsid w:val="000350CA"/>
    <w:rsid w:val="000352D7"/>
    <w:rsid w:val="000356D4"/>
    <w:rsid w:val="000357B1"/>
    <w:rsid w:val="00035942"/>
    <w:rsid w:val="00035B0B"/>
    <w:rsid w:val="00035C2D"/>
    <w:rsid w:val="00035CE8"/>
    <w:rsid w:val="00035DB9"/>
    <w:rsid w:val="000363DA"/>
    <w:rsid w:val="000365BA"/>
    <w:rsid w:val="000366C8"/>
    <w:rsid w:val="00036902"/>
    <w:rsid w:val="00036BB4"/>
    <w:rsid w:val="00036C53"/>
    <w:rsid w:val="00037076"/>
    <w:rsid w:val="000370E4"/>
    <w:rsid w:val="00037A39"/>
    <w:rsid w:val="00037B89"/>
    <w:rsid w:val="00037BE0"/>
    <w:rsid w:val="000401A0"/>
    <w:rsid w:val="000401D1"/>
    <w:rsid w:val="00040792"/>
    <w:rsid w:val="00040840"/>
    <w:rsid w:val="00040B1E"/>
    <w:rsid w:val="00040B3D"/>
    <w:rsid w:val="00041225"/>
    <w:rsid w:val="0004139D"/>
    <w:rsid w:val="00041766"/>
    <w:rsid w:val="00041957"/>
    <w:rsid w:val="00041E04"/>
    <w:rsid w:val="000428B4"/>
    <w:rsid w:val="00042A1F"/>
    <w:rsid w:val="00042AAE"/>
    <w:rsid w:val="00042B5F"/>
    <w:rsid w:val="00042D99"/>
    <w:rsid w:val="00043120"/>
    <w:rsid w:val="000431ED"/>
    <w:rsid w:val="00043B43"/>
    <w:rsid w:val="00044217"/>
    <w:rsid w:val="00044F27"/>
    <w:rsid w:val="0004540F"/>
    <w:rsid w:val="00045805"/>
    <w:rsid w:val="00045AB6"/>
    <w:rsid w:val="00045EBF"/>
    <w:rsid w:val="000467E8"/>
    <w:rsid w:val="00046A43"/>
    <w:rsid w:val="00046F68"/>
    <w:rsid w:val="00047127"/>
    <w:rsid w:val="00047442"/>
    <w:rsid w:val="000477D4"/>
    <w:rsid w:val="00047DB7"/>
    <w:rsid w:val="0005013E"/>
    <w:rsid w:val="0005052B"/>
    <w:rsid w:val="00050CBB"/>
    <w:rsid w:val="00051186"/>
    <w:rsid w:val="00051199"/>
    <w:rsid w:val="0005121F"/>
    <w:rsid w:val="00051BE7"/>
    <w:rsid w:val="0005226B"/>
    <w:rsid w:val="000522C1"/>
    <w:rsid w:val="00052354"/>
    <w:rsid w:val="00052428"/>
    <w:rsid w:val="0005249C"/>
    <w:rsid w:val="00052688"/>
    <w:rsid w:val="00052A5C"/>
    <w:rsid w:val="00052B10"/>
    <w:rsid w:val="00052C7A"/>
    <w:rsid w:val="000530E4"/>
    <w:rsid w:val="000535CA"/>
    <w:rsid w:val="0005397E"/>
    <w:rsid w:val="00053D3F"/>
    <w:rsid w:val="000540E4"/>
    <w:rsid w:val="00054372"/>
    <w:rsid w:val="000548CC"/>
    <w:rsid w:val="00054F06"/>
    <w:rsid w:val="0005507D"/>
    <w:rsid w:val="00055D56"/>
    <w:rsid w:val="000560E6"/>
    <w:rsid w:val="000561DB"/>
    <w:rsid w:val="00056203"/>
    <w:rsid w:val="00056780"/>
    <w:rsid w:val="00056BDE"/>
    <w:rsid w:val="00056C78"/>
    <w:rsid w:val="00057007"/>
    <w:rsid w:val="0005721A"/>
    <w:rsid w:val="00057229"/>
    <w:rsid w:val="00057246"/>
    <w:rsid w:val="000573DB"/>
    <w:rsid w:val="00057AB1"/>
    <w:rsid w:val="00060085"/>
    <w:rsid w:val="000600E5"/>
    <w:rsid w:val="000600ED"/>
    <w:rsid w:val="0006045C"/>
    <w:rsid w:val="000607B0"/>
    <w:rsid w:val="00060CCE"/>
    <w:rsid w:val="000610B5"/>
    <w:rsid w:val="000614DC"/>
    <w:rsid w:val="000614F4"/>
    <w:rsid w:val="00061729"/>
    <w:rsid w:val="00061891"/>
    <w:rsid w:val="00061B95"/>
    <w:rsid w:val="00062007"/>
    <w:rsid w:val="00062274"/>
    <w:rsid w:val="0006236E"/>
    <w:rsid w:val="00062681"/>
    <w:rsid w:val="00062699"/>
    <w:rsid w:val="0006274F"/>
    <w:rsid w:val="000629F6"/>
    <w:rsid w:val="00062ABA"/>
    <w:rsid w:val="000636EC"/>
    <w:rsid w:val="00063DA2"/>
    <w:rsid w:val="00063F7E"/>
    <w:rsid w:val="0006419F"/>
    <w:rsid w:val="000642C9"/>
    <w:rsid w:val="00064545"/>
    <w:rsid w:val="00064682"/>
    <w:rsid w:val="00064FC8"/>
    <w:rsid w:val="000652D3"/>
    <w:rsid w:val="0006536C"/>
    <w:rsid w:val="00065683"/>
    <w:rsid w:val="00065A05"/>
    <w:rsid w:val="00065B9F"/>
    <w:rsid w:val="000668E1"/>
    <w:rsid w:val="00066901"/>
    <w:rsid w:val="00066951"/>
    <w:rsid w:val="00066986"/>
    <w:rsid w:val="00066AD9"/>
    <w:rsid w:val="00066C69"/>
    <w:rsid w:val="00066D8E"/>
    <w:rsid w:val="000670DD"/>
    <w:rsid w:val="000674C0"/>
    <w:rsid w:val="000675D8"/>
    <w:rsid w:val="000676C8"/>
    <w:rsid w:val="00067AF4"/>
    <w:rsid w:val="00067BE2"/>
    <w:rsid w:val="00067E4C"/>
    <w:rsid w:val="00067F21"/>
    <w:rsid w:val="00067F80"/>
    <w:rsid w:val="0007015D"/>
    <w:rsid w:val="000703BB"/>
    <w:rsid w:val="000703DF"/>
    <w:rsid w:val="0007064E"/>
    <w:rsid w:val="00070851"/>
    <w:rsid w:val="00070D52"/>
    <w:rsid w:val="00070EFD"/>
    <w:rsid w:val="00071104"/>
    <w:rsid w:val="00071240"/>
    <w:rsid w:val="000714DD"/>
    <w:rsid w:val="0007152D"/>
    <w:rsid w:val="00071572"/>
    <w:rsid w:val="00071B09"/>
    <w:rsid w:val="0007231D"/>
    <w:rsid w:val="0007232B"/>
    <w:rsid w:val="000725EB"/>
    <w:rsid w:val="000726C1"/>
    <w:rsid w:val="000728BF"/>
    <w:rsid w:val="00072C64"/>
    <w:rsid w:val="00072DBA"/>
    <w:rsid w:val="00073641"/>
    <w:rsid w:val="00073E2E"/>
    <w:rsid w:val="000744C7"/>
    <w:rsid w:val="000745A9"/>
    <w:rsid w:val="0007511E"/>
    <w:rsid w:val="0007536B"/>
    <w:rsid w:val="00075392"/>
    <w:rsid w:val="00075398"/>
    <w:rsid w:val="000754CD"/>
    <w:rsid w:val="00076012"/>
    <w:rsid w:val="00076427"/>
    <w:rsid w:val="00076503"/>
    <w:rsid w:val="00076640"/>
    <w:rsid w:val="000766C0"/>
    <w:rsid w:val="000768E8"/>
    <w:rsid w:val="00076A1F"/>
    <w:rsid w:val="00076D34"/>
    <w:rsid w:val="00076E4F"/>
    <w:rsid w:val="000771B7"/>
    <w:rsid w:val="0007726F"/>
    <w:rsid w:val="0007743B"/>
    <w:rsid w:val="00077527"/>
    <w:rsid w:val="00077A1A"/>
    <w:rsid w:val="00077B5C"/>
    <w:rsid w:val="00077CC5"/>
    <w:rsid w:val="00077DEB"/>
    <w:rsid w:val="0008014E"/>
    <w:rsid w:val="000802E7"/>
    <w:rsid w:val="00080310"/>
    <w:rsid w:val="0008033C"/>
    <w:rsid w:val="0008035C"/>
    <w:rsid w:val="000803DF"/>
    <w:rsid w:val="000808AB"/>
    <w:rsid w:val="00080C30"/>
    <w:rsid w:val="00080EAD"/>
    <w:rsid w:val="000813DF"/>
    <w:rsid w:val="0008151A"/>
    <w:rsid w:val="00081654"/>
    <w:rsid w:val="0008190B"/>
    <w:rsid w:val="00081A94"/>
    <w:rsid w:val="000822AD"/>
    <w:rsid w:val="00082695"/>
    <w:rsid w:val="00083146"/>
    <w:rsid w:val="00083183"/>
    <w:rsid w:val="000831D1"/>
    <w:rsid w:val="000835DD"/>
    <w:rsid w:val="0008366F"/>
    <w:rsid w:val="00083B65"/>
    <w:rsid w:val="00083EA0"/>
    <w:rsid w:val="0008410C"/>
    <w:rsid w:val="00084373"/>
    <w:rsid w:val="000845DB"/>
    <w:rsid w:val="00084640"/>
    <w:rsid w:val="000848AC"/>
    <w:rsid w:val="00084BC4"/>
    <w:rsid w:val="00084CB2"/>
    <w:rsid w:val="00084D42"/>
    <w:rsid w:val="00084E2D"/>
    <w:rsid w:val="00085352"/>
    <w:rsid w:val="0008553F"/>
    <w:rsid w:val="0008567B"/>
    <w:rsid w:val="000857CD"/>
    <w:rsid w:val="00085B12"/>
    <w:rsid w:val="00085BDB"/>
    <w:rsid w:val="00085F6D"/>
    <w:rsid w:val="000868A0"/>
    <w:rsid w:val="00086CCA"/>
    <w:rsid w:val="00086CE3"/>
    <w:rsid w:val="0008701C"/>
    <w:rsid w:val="000872C0"/>
    <w:rsid w:val="000873EF"/>
    <w:rsid w:val="0008792D"/>
    <w:rsid w:val="00087FDA"/>
    <w:rsid w:val="0009019E"/>
    <w:rsid w:val="000902A6"/>
    <w:rsid w:val="000903D8"/>
    <w:rsid w:val="00090920"/>
    <w:rsid w:val="00090C32"/>
    <w:rsid w:val="000911EC"/>
    <w:rsid w:val="00091684"/>
    <w:rsid w:val="00091792"/>
    <w:rsid w:val="0009179E"/>
    <w:rsid w:val="0009191C"/>
    <w:rsid w:val="00091A49"/>
    <w:rsid w:val="000921EC"/>
    <w:rsid w:val="00092496"/>
    <w:rsid w:val="000924C2"/>
    <w:rsid w:val="0009251F"/>
    <w:rsid w:val="00092E46"/>
    <w:rsid w:val="00093296"/>
    <w:rsid w:val="000937B8"/>
    <w:rsid w:val="000938F6"/>
    <w:rsid w:val="00093D9F"/>
    <w:rsid w:val="0009402A"/>
    <w:rsid w:val="00094450"/>
    <w:rsid w:val="000946F4"/>
    <w:rsid w:val="00094824"/>
    <w:rsid w:val="00094D1D"/>
    <w:rsid w:val="00095079"/>
    <w:rsid w:val="000953B4"/>
    <w:rsid w:val="000953F0"/>
    <w:rsid w:val="00095590"/>
    <w:rsid w:val="0009560F"/>
    <w:rsid w:val="000958CF"/>
    <w:rsid w:val="00095AA6"/>
    <w:rsid w:val="00095DE0"/>
    <w:rsid w:val="00096176"/>
    <w:rsid w:val="00096185"/>
    <w:rsid w:val="00096662"/>
    <w:rsid w:val="00096736"/>
    <w:rsid w:val="00096AC5"/>
    <w:rsid w:val="00096B4C"/>
    <w:rsid w:val="00096CC5"/>
    <w:rsid w:val="00096D70"/>
    <w:rsid w:val="00097609"/>
    <w:rsid w:val="00097850"/>
    <w:rsid w:val="000978F5"/>
    <w:rsid w:val="00097CFE"/>
    <w:rsid w:val="00097D7B"/>
    <w:rsid w:val="000A02E9"/>
    <w:rsid w:val="000A0448"/>
    <w:rsid w:val="000A04D3"/>
    <w:rsid w:val="000A0DF3"/>
    <w:rsid w:val="000A1062"/>
    <w:rsid w:val="000A1210"/>
    <w:rsid w:val="000A1280"/>
    <w:rsid w:val="000A12E3"/>
    <w:rsid w:val="000A18B4"/>
    <w:rsid w:val="000A1C46"/>
    <w:rsid w:val="000A2712"/>
    <w:rsid w:val="000A2A7F"/>
    <w:rsid w:val="000A2DF5"/>
    <w:rsid w:val="000A382C"/>
    <w:rsid w:val="000A385A"/>
    <w:rsid w:val="000A3A18"/>
    <w:rsid w:val="000A3B22"/>
    <w:rsid w:val="000A3DCE"/>
    <w:rsid w:val="000A3E79"/>
    <w:rsid w:val="000A42A0"/>
    <w:rsid w:val="000A43C5"/>
    <w:rsid w:val="000A441F"/>
    <w:rsid w:val="000A4637"/>
    <w:rsid w:val="000A4716"/>
    <w:rsid w:val="000A4EA2"/>
    <w:rsid w:val="000A5345"/>
    <w:rsid w:val="000A5E4A"/>
    <w:rsid w:val="000A60A5"/>
    <w:rsid w:val="000A6268"/>
    <w:rsid w:val="000A6363"/>
    <w:rsid w:val="000A653B"/>
    <w:rsid w:val="000A6602"/>
    <w:rsid w:val="000A67C7"/>
    <w:rsid w:val="000A6C4B"/>
    <w:rsid w:val="000A6D8B"/>
    <w:rsid w:val="000A6EB5"/>
    <w:rsid w:val="000A6EDD"/>
    <w:rsid w:val="000A74C9"/>
    <w:rsid w:val="000A756A"/>
    <w:rsid w:val="000A7592"/>
    <w:rsid w:val="000A7B00"/>
    <w:rsid w:val="000A7B7F"/>
    <w:rsid w:val="000A7DB4"/>
    <w:rsid w:val="000B006C"/>
    <w:rsid w:val="000B0082"/>
    <w:rsid w:val="000B01B2"/>
    <w:rsid w:val="000B02E1"/>
    <w:rsid w:val="000B0412"/>
    <w:rsid w:val="000B0507"/>
    <w:rsid w:val="000B0823"/>
    <w:rsid w:val="000B092E"/>
    <w:rsid w:val="000B0D04"/>
    <w:rsid w:val="000B0DA7"/>
    <w:rsid w:val="000B0DC5"/>
    <w:rsid w:val="000B0ED3"/>
    <w:rsid w:val="000B1024"/>
    <w:rsid w:val="000B1141"/>
    <w:rsid w:val="000B16D9"/>
    <w:rsid w:val="000B1B57"/>
    <w:rsid w:val="000B1D83"/>
    <w:rsid w:val="000B201F"/>
    <w:rsid w:val="000B2416"/>
    <w:rsid w:val="000B2692"/>
    <w:rsid w:val="000B2CB1"/>
    <w:rsid w:val="000B2CBE"/>
    <w:rsid w:val="000B2F6B"/>
    <w:rsid w:val="000B32A5"/>
    <w:rsid w:val="000B3329"/>
    <w:rsid w:val="000B3405"/>
    <w:rsid w:val="000B359B"/>
    <w:rsid w:val="000B3677"/>
    <w:rsid w:val="000B3B5C"/>
    <w:rsid w:val="000B3E16"/>
    <w:rsid w:val="000B3EAA"/>
    <w:rsid w:val="000B4116"/>
    <w:rsid w:val="000B4621"/>
    <w:rsid w:val="000B46D3"/>
    <w:rsid w:val="000B4B16"/>
    <w:rsid w:val="000B5096"/>
    <w:rsid w:val="000B5242"/>
    <w:rsid w:val="000B554A"/>
    <w:rsid w:val="000B5718"/>
    <w:rsid w:val="000B573D"/>
    <w:rsid w:val="000B58AD"/>
    <w:rsid w:val="000B5DBF"/>
    <w:rsid w:val="000B5ED1"/>
    <w:rsid w:val="000B6225"/>
    <w:rsid w:val="000B6387"/>
    <w:rsid w:val="000B667D"/>
    <w:rsid w:val="000B66FE"/>
    <w:rsid w:val="000B6B3D"/>
    <w:rsid w:val="000B6CF2"/>
    <w:rsid w:val="000B7564"/>
    <w:rsid w:val="000B761D"/>
    <w:rsid w:val="000B7AC6"/>
    <w:rsid w:val="000B7E95"/>
    <w:rsid w:val="000B7F42"/>
    <w:rsid w:val="000B7F8D"/>
    <w:rsid w:val="000B7FE8"/>
    <w:rsid w:val="000C1167"/>
    <w:rsid w:val="000C14A0"/>
    <w:rsid w:val="000C1D81"/>
    <w:rsid w:val="000C247F"/>
    <w:rsid w:val="000C2F06"/>
    <w:rsid w:val="000C3052"/>
    <w:rsid w:val="000C30D7"/>
    <w:rsid w:val="000C3250"/>
    <w:rsid w:val="000C35A4"/>
    <w:rsid w:val="000C366E"/>
    <w:rsid w:val="000C36D4"/>
    <w:rsid w:val="000C397F"/>
    <w:rsid w:val="000C3D2E"/>
    <w:rsid w:val="000C451F"/>
    <w:rsid w:val="000C465B"/>
    <w:rsid w:val="000C46A2"/>
    <w:rsid w:val="000C4707"/>
    <w:rsid w:val="000C474E"/>
    <w:rsid w:val="000C49A7"/>
    <w:rsid w:val="000C4A53"/>
    <w:rsid w:val="000C526A"/>
    <w:rsid w:val="000C53DE"/>
    <w:rsid w:val="000C5776"/>
    <w:rsid w:val="000C57A1"/>
    <w:rsid w:val="000C5C9E"/>
    <w:rsid w:val="000C6181"/>
    <w:rsid w:val="000C619C"/>
    <w:rsid w:val="000C649B"/>
    <w:rsid w:val="000C64EE"/>
    <w:rsid w:val="000C6CC5"/>
    <w:rsid w:val="000C74C0"/>
    <w:rsid w:val="000C753E"/>
    <w:rsid w:val="000C7629"/>
    <w:rsid w:val="000C788C"/>
    <w:rsid w:val="000C7B7D"/>
    <w:rsid w:val="000D020A"/>
    <w:rsid w:val="000D0418"/>
    <w:rsid w:val="000D04A3"/>
    <w:rsid w:val="000D08F9"/>
    <w:rsid w:val="000D0AE3"/>
    <w:rsid w:val="000D0B97"/>
    <w:rsid w:val="000D0C44"/>
    <w:rsid w:val="000D0C7F"/>
    <w:rsid w:val="000D0D89"/>
    <w:rsid w:val="000D0DC2"/>
    <w:rsid w:val="000D0DDB"/>
    <w:rsid w:val="000D0F2A"/>
    <w:rsid w:val="000D0F60"/>
    <w:rsid w:val="000D0F6F"/>
    <w:rsid w:val="000D1555"/>
    <w:rsid w:val="000D1BEC"/>
    <w:rsid w:val="000D2550"/>
    <w:rsid w:val="000D29D7"/>
    <w:rsid w:val="000D2B3D"/>
    <w:rsid w:val="000D2C5B"/>
    <w:rsid w:val="000D2CEE"/>
    <w:rsid w:val="000D3017"/>
    <w:rsid w:val="000D3042"/>
    <w:rsid w:val="000D3417"/>
    <w:rsid w:val="000D3520"/>
    <w:rsid w:val="000D3679"/>
    <w:rsid w:val="000D3B86"/>
    <w:rsid w:val="000D3C0E"/>
    <w:rsid w:val="000D3D7C"/>
    <w:rsid w:val="000D4268"/>
    <w:rsid w:val="000D4386"/>
    <w:rsid w:val="000D469A"/>
    <w:rsid w:val="000D46E3"/>
    <w:rsid w:val="000D4AB2"/>
    <w:rsid w:val="000D4ADC"/>
    <w:rsid w:val="000D4BE2"/>
    <w:rsid w:val="000D4CF3"/>
    <w:rsid w:val="000D4E47"/>
    <w:rsid w:val="000D544D"/>
    <w:rsid w:val="000D5560"/>
    <w:rsid w:val="000D5CDD"/>
    <w:rsid w:val="000D5F8F"/>
    <w:rsid w:val="000D60A5"/>
    <w:rsid w:val="000D61CB"/>
    <w:rsid w:val="000D6264"/>
    <w:rsid w:val="000D67CE"/>
    <w:rsid w:val="000D6B70"/>
    <w:rsid w:val="000D6E0B"/>
    <w:rsid w:val="000D7062"/>
    <w:rsid w:val="000D7174"/>
    <w:rsid w:val="000D77CF"/>
    <w:rsid w:val="000D77D0"/>
    <w:rsid w:val="000D7EE9"/>
    <w:rsid w:val="000E0139"/>
    <w:rsid w:val="000E01A2"/>
    <w:rsid w:val="000E0201"/>
    <w:rsid w:val="000E02AA"/>
    <w:rsid w:val="000E0717"/>
    <w:rsid w:val="000E0941"/>
    <w:rsid w:val="000E0AE4"/>
    <w:rsid w:val="000E106C"/>
    <w:rsid w:val="000E15B6"/>
    <w:rsid w:val="000E180E"/>
    <w:rsid w:val="000E19CF"/>
    <w:rsid w:val="000E1B48"/>
    <w:rsid w:val="000E1C6A"/>
    <w:rsid w:val="000E1D4C"/>
    <w:rsid w:val="000E1F2C"/>
    <w:rsid w:val="000E1FA2"/>
    <w:rsid w:val="000E216C"/>
    <w:rsid w:val="000E2214"/>
    <w:rsid w:val="000E22A0"/>
    <w:rsid w:val="000E23FB"/>
    <w:rsid w:val="000E250C"/>
    <w:rsid w:val="000E27D3"/>
    <w:rsid w:val="000E2972"/>
    <w:rsid w:val="000E29DA"/>
    <w:rsid w:val="000E2DB3"/>
    <w:rsid w:val="000E2DC0"/>
    <w:rsid w:val="000E2EB3"/>
    <w:rsid w:val="000E2EDB"/>
    <w:rsid w:val="000E304E"/>
    <w:rsid w:val="000E3196"/>
    <w:rsid w:val="000E38A4"/>
    <w:rsid w:val="000E38EB"/>
    <w:rsid w:val="000E3A74"/>
    <w:rsid w:val="000E4239"/>
    <w:rsid w:val="000E424F"/>
    <w:rsid w:val="000E4B8E"/>
    <w:rsid w:val="000E4C99"/>
    <w:rsid w:val="000E548B"/>
    <w:rsid w:val="000E54C6"/>
    <w:rsid w:val="000E5AC1"/>
    <w:rsid w:val="000E5C64"/>
    <w:rsid w:val="000E5CC5"/>
    <w:rsid w:val="000E5E04"/>
    <w:rsid w:val="000E5F8F"/>
    <w:rsid w:val="000E639C"/>
    <w:rsid w:val="000E657F"/>
    <w:rsid w:val="000E65C2"/>
    <w:rsid w:val="000E6636"/>
    <w:rsid w:val="000E691E"/>
    <w:rsid w:val="000E6C85"/>
    <w:rsid w:val="000E7496"/>
    <w:rsid w:val="000E7C78"/>
    <w:rsid w:val="000F02B3"/>
    <w:rsid w:val="000F035D"/>
    <w:rsid w:val="000F0417"/>
    <w:rsid w:val="000F0A27"/>
    <w:rsid w:val="000F0E76"/>
    <w:rsid w:val="000F1092"/>
    <w:rsid w:val="000F1208"/>
    <w:rsid w:val="000F177D"/>
    <w:rsid w:val="000F17C2"/>
    <w:rsid w:val="000F1858"/>
    <w:rsid w:val="000F18BE"/>
    <w:rsid w:val="000F1BE1"/>
    <w:rsid w:val="000F1CF3"/>
    <w:rsid w:val="000F1EDF"/>
    <w:rsid w:val="000F2269"/>
    <w:rsid w:val="000F28AE"/>
    <w:rsid w:val="000F2B14"/>
    <w:rsid w:val="000F2B3E"/>
    <w:rsid w:val="000F2B55"/>
    <w:rsid w:val="000F2D78"/>
    <w:rsid w:val="000F2FCE"/>
    <w:rsid w:val="000F316D"/>
    <w:rsid w:val="000F31CD"/>
    <w:rsid w:val="000F3230"/>
    <w:rsid w:val="000F3359"/>
    <w:rsid w:val="000F3361"/>
    <w:rsid w:val="000F37F8"/>
    <w:rsid w:val="000F384B"/>
    <w:rsid w:val="000F3DA0"/>
    <w:rsid w:val="000F3F21"/>
    <w:rsid w:val="000F3F5E"/>
    <w:rsid w:val="000F4189"/>
    <w:rsid w:val="000F432B"/>
    <w:rsid w:val="000F44F5"/>
    <w:rsid w:val="000F4EB7"/>
    <w:rsid w:val="000F5016"/>
    <w:rsid w:val="000F55B3"/>
    <w:rsid w:val="000F5F40"/>
    <w:rsid w:val="000F61CE"/>
    <w:rsid w:val="000F696F"/>
    <w:rsid w:val="000F69D2"/>
    <w:rsid w:val="000F6E08"/>
    <w:rsid w:val="000F6F55"/>
    <w:rsid w:val="000F6F57"/>
    <w:rsid w:val="000F740D"/>
    <w:rsid w:val="000F7953"/>
    <w:rsid w:val="000F7957"/>
    <w:rsid w:val="000F7AE5"/>
    <w:rsid w:val="000F7B11"/>
    <w:rsid w:val="00100945"/>
    <w:rsid w:val="0010152A"/>
    <w:rsid w:val="00101594"/>
    <w:rsid w:val="001016F7"/>
    <w:rsid w:val="00101893"/>
    <w:rsid w:val="00101CBE"/>
    <w:rsid w:val="00101F45"/>
    <w:rsid w:val="00102074"/>
    <w:rsid w:val="0010223A"/>
    <w:rsid w:val="001024D7"/>
    <w:rsid w:val="0010263A"/>
    <w:rsid w:val="00102AAC"/>
    <w:rsid w:val="00102FDA"/>
    <w:rsid w:val="00103114"/>
    <w:rsid w:val="0010351A"/>
    <w:rsid w:val="001038EB"/>
    <w:rsid w:val="00103CAB"/>
    <w:rsid w:val="00104305"/>
    <w:rsid w:val="00104AF6"/>
    <w:rsid w:val="001052C4"/>
    <w:rsid w:val="0010561A"/>
    <w:rsid w:val="00105655"/>
    <w:rsid w:val="001056B0"/>
    <w:rsid w:val="001059E9"/>
    <w:rsid w:val="00105A2C"/>
    <w:rsid w:val="00105E26"/>
    <w:rsid w:val="00105E2E"/>
    <w:rsid w:val="00105EC6"/>
    <w:rsid w:val="001063FA"/>
    <w:rsid w:val="00106538"/>
    <w:rsid w:val="0010688F"/>
    <w:rsid w:val="00106AB5"/>
    <w:rsid w:val="00106D4B"/>
    <w:rsid w:val="00106F58"/>
    <w:rsid w:val="00107013"/>
    <w:rsid w:val="001070BE"/>
    <w:rsid w:val="00107825"/>
    <w:rsid w:val="00107923"/>
    <w:rsid w:val="00107993"/>
    <w:rsid w:val="00107DC0"/>
    <w:rsid w:val="00107E07"/>
    <w:rsid w:val="00110129"/>
    <w:rsid w:val="001103F8"/>
    <w:rsid w:val="00110723"/>
    <w:rsid w:val="00110849"/>
    <w:rsid w:val="0011085D"/>
    <w:rsid w:val="00110949"/>
    <w:rsid w:val="00110B20"/>
    <w:rsid w:val="00110D86"/>
    <w:rsid w:val="00110E84"/>
    <w:rsid w:val="00110EE5"/>
    <w:rsid w:val="001110E0"/>
    <w:rsid w:val="0011146E"/>
    <w:rsid w:val="00111737"/>
    <w:rsid w:val="0011174A"/>
    <w:rsid w:val="00111824"/>
    <w:rsid w:val="00111EAB"/>
    <w:rsid w:val="001127CC"/>
    <w:rsid w:val="00112D81"/>
    <w:rsid w:val="00112E54"/>
    <w:rsid w:val="00113157"/>
    <w:rsid w:val="0011315C"/>
    <w:rsid w:val="00113272"/>
    <w:rsid w:val="0011335F"/>
    <w:rsid w:val="0011345D"/>
    <w:rsid w:val="001136BA"/>
    <w:rsid w:val="00113A67"/>
    <w:rsid w:val="00113C73"/>
    <w:rsid w:val="001142A5"/>
    <w:rsid w:val="00114792"/>
    <w:rsid w:val="00114967"/>
    <w:rsid w:val="001154BC"/>
    <w:rsid w:val="001155B7"/>
    <w:rsid w:val="001157A1"/>
    <w:rsid w:val="0011595C"/>
    <w:rsid w:val="00115C9E"/>
    <w:rsid w:val="00116107"/>
    <w:rsid w:val="0011638F"/>
    <w:rsid w:val="00116536"/>
    <w:rsid w:val="00116778"/>
    <w:rsid w:val="001169E7"/>
    <w:rsid w:val="00116A15"/>
    <w:rsid w:val="00116C91"/>
    <w:rsid w:val="00116D89"/>
    <w:rsid w:val="00116F76"/>
    <w:rsid w:val="00116F96"/>
    <w:rsid w:val="00117011"/>
    <w:rsid w:val="00117871"/>
    <w:rsid w:val="0011799C"/>
    <w:rsid w:val="00117BD7"/>
    <w:rsid w:val="00117C42"/>
    <w:rsid w:val="001201EE"/>
    <w:rsid w:val="0012032B"/>
    <w:rsid w:val="00120477"/>
    <w:rsid w:val="00120543"/>
    <w:rsid w:val="00120547"/>
    <w:rsid w:val="001205DB"/>
    <w:rsid w:val="0012085A"/>
    <w:rsid w:val="001208BC"/>
    <w:rsid w:val="00120AB4"/>
    <w:rsid w:val="00120CA6"/>
    <w:rsid w:val="00120D8A"/>
    <w:rsid w:val="001212F8"/>
    <w:rsid w:val="00121624"/>
    <w:rsid w:val="00121937"/>
    <w:rsid w:val="00121994"/>
    <w:rsid w:val="00121B31"/>
    <w:rsid w:val="00121D2E"/>
    <w:rsid w:val="00122110"/>
    <w:rsid w:val="00122464"/>
    <w:rsid w:val="001224CF"/>
    <w:rsid w:val="00122612"/>
    <w:rsid w:val="00122ABE"/>
    <w:rsid w:val="00122B88"/>
    <w:rsid w:val="00122D54"/>
    <w:rsid w:val="00122E2E"/>
    <w:rsid w:val="00122F75"/>
    <w:rsid w:val="00123198"/>
    <w:rsid w:val="00123454"/>
    <w:rsid w:val="0012376B"/>
    <w:rsid w:val="00123E2B"/>
    <w:rsid w:val="00123EC8"/>
    <w:rsid w:val="00124220"/>
    <w:rsid w:val="00124827"/>
    <w:rsid w:val="0012484C"/>
    <w:rsid w:val="00124B7D"/>
    <w:rsid w:val="00124EA4"/>
    <w:rsid w:val="00125018"/>
    <w:rsid w:val="0012505F"/>
    <w:rsid w:val="00125727"/>
    <w:rsid w:val="00125DB7"/>
    <w:rsid w:val="00125FA7"/>
    <w:rsid w:val="0012601D"/>
    <w:rsid w:val="00126165"/>
    <w:rsid w:val="001262E2"/>
    <w:rsid w:val="00126464"/>
    <w:rsid w:val="0012648F"/>
    <w:rsid w:val="00126681"/>
    <w:rsid w:val="00126726"/>
    <w:rsid w:val="001267DD"/>
    <w:rsid w:val="00126D59"/>
    <w:rsid w:val="00127108"/>
    <w:rsid w:val="00127285"/>
    <w:rsid w:val="00127BED"/>
    <w:rsid w:val="00127CD1"/>
    <w:rsid w:val="00130446"/>
    <w:rsid w:val="00130729"/>
    <w:rsid w:val="00130A63"/>
    <w:rsid w:val="00130C0C"/>
    <w:rsid w:val="001313A9"/>
    <w:rsid w:val="0013172A"/>
    <w:rsid w:val="00131799"/>
    <w:rsid w:val="001317E7"/>
    <w:rsid w:val="001318C1"/>
    <w:rsid w:val="00132053"/>
    <w:rsid w:val="001320E4"/>
    <w:rsid w:val="001322D2"/>
    <w:rsid w:val="00132329"/>
    <w:rsid w:val="001324B9"/>
    <w:rsid w:val="001326AB"/>
    <w:rsid w:val="0013285B"/>
    <w:rsid w:val="00132886"/>
    <w:rsid w:val="00132E3F"/>
    <w:rsid w:val="0013309A"/>
    <w:rsid w:val="0013329B"/>
    <w:rsid w:val="00133389"/>
    <w:rsid w:val="00133849"/>
    <w:rsid w:val="001339FB"/>
    <w:rsid w:val="00133AA5"/>
    <w:rsid w:val="00133B86"/>
    <w:rsid w:val="00133C60"/>
    <w:rsid w:val="001340C3"/>
    <w:rsid w:val="0013443E"/>
    <w:rsid w:val="00134A98"/>
    <w:rsid w:val="0013524A"/>
    <w:rsid w:val="0013577A"/>
    <w:rsid w:val="00135A96"/>
    <w:rsid w:val="00135B2B"/>
    <w:rsid w:val="00135B5F"/>
    <w:rsid w:val="00135F91"/>
    <w:rsid w:val="00136009"/>
    <w:rsid w:val="001362BD"/>
    <w:rsid w:val="0013647F"/>
    <w:rsid w:val="0013662E"/>
    <w:rsid w:val="001368FD"/>
    <w:rsid w:val="00136B86"/>
    <w:rsid w:val="00136D0D"/>
    <w:rsid w:val="00136EB7"/>
    <w:rsid w:val="00136F7F"/>
    <w:rsid w:val="001371FF"/>
    <w:rsid w:val="00137245"/>
    <w:rsid w:val="001375E8"/>
    <w:rsid w:val="00137653"/>
    <w:rsid w:val="001377CD"/>
    <w:rsid w:val="00137BDF"/>
    <w:rsid w:val="00137C2D"/>
    <w:rsid w:val="00140588"/>
    <w:rsid w:val="001405B0"/>
    <w:rsid w:val="00140A53"/>
    <w:rsid w:val="00140B35"/>
    <w:rsid w:val="00140B3E"/>
    <w:rsid w:val="00140D1B"/>
    <w:rsid w:val="001410C0"/>
    <w:rsid w:val="001411DE"/>
    <w:rsid w:val="001415E1"/>
    <w:rsid w:val="00141ACE"/>
    <w:rsid w:val="00141BCF"/>
    <w:rsid w:val="00141D7F"/>
    <w:rsid w:val="00141DAF"/>
    <w:rsid w:val="00141E71"/>
    <w:rsid w:val="00141F4A"/>
    <w:rsid w:val="001420B6"/>
    <w:rsid w:val="0014231E"/>
    <w:rsid w:val="001424F8"/>
    <w:rsid w:val="001426C0"/>
    <w:rsid w:val="00142A60"/>
    <w:rsid w:val="00142A9B"/>
    <w:rsid w:val="00142C4E"/>
    <w:rsid w:val="00142CF3"/>
    <w:rsid w:val="00142E41"/>
    <w:rsid w:val="0014320B"/>
    <w:rsid w:val="00143212"/>
    <w:rsid w:val="0014335B"/>
    <w:rsid w:val="00143507"/>
    <w:rsid w:val="00143773"/>
    <w:rsid w:val="00144339"/>
    <w:rsid w:val="00144365"/>
    <w:rsid w:val="0014458C"/>
    <w:rsid w:val="00144934"/>
    <w:rsid w:val="00144ACF"/>
    <w:rsid w:val="00144B79"/>
    <w:rsid w:val="00144D09"/>
    <w:rsid w:val="00144EBA"/>
    <w:rsid w:val="00145614"/>
    <w:rsid w:val="00145B45"/>
    <w:rsid w:val="00146199"/>
    <w:rsid w:val="00146402"/>
    <w:rsid w:val="0014652A"/>
    <w:rsid w:val="001469F6"/>
    <w:rsid w:val="00146AE6"/>
    <w:rsid w:val="00146BC9"/>
    <w:rsid w:val="00146DF3"/>
    <w:rsid w:val="001471AF"/>
    <w:rsid w:val="001474EA"/>
    <w:rsid w:val="001475E9"/>
    <w:rsid w:val="001477A3"/>
    <w:rsid w:val="00147896"/>
    <w:rsid w:val="00147C5B"/>
    <w:rsid w:val="00147ECA"/>
    <w:rsid w:val="00150212"/>
    <w:rsid w:val="001508E8"/>
    <w:rsid w:val="00150BA6"/>
    <w:rsid w:val="00150FBF"/>
    <w:rsid w:val="00151271"/>
    <w:rsid w:val="001512A3"/>
    <w:rsid w:val="00151371"/>
    <w:rsid w:val="001513F5"/>
    <w:rsid w:val="00151474"/>
    <w:rsid w:val="0015193F"/>
    <w:rsid w:val="00151D4E"/>
    <w:rsid w:val="00152216"/>
    <w:rsid w:val="00152452"/>
    <w:rsid w:val="00152496"/>
    <w:rsid w:val="00152652"/>
    <w:rsid w:val="001529DD"/>
    <w:rsid w:val="00152AB5"/>
    <w:rsid w:val="00152AF0"/>
    <w:rsid w:val="00152C01"/>
    <w:rsid w:val="00152EBA"/>
    <w:rsid w:val="0015300D"/>
    <w:rsid w:val="001530D1"/>
    <w:rsid w:val="001532D7"/>
    <w:rsid w:val="00153657"/>
    <w:rsid w:val="001537F4"/>
    <w:rsid w:val="00153A36"/>
    <w:rsid w:val="00153E70"/>
    <w:rsid w:val="00154399"/>
    <w:rsid w:val="001546EB"/>
    <w:rsid w:val="00154756"/>
    <w:rsid w:val="001548BE"/>
    <w:rsid w:val="00154A06"/>
    <w:rsid w:val="00154A30"/>
    <w:rsid w:val="00154D4B"/>
    <w:rsid w:val="00154E55"/>
    <w:rsid w:val="001554E1"/>
    <w:rsid w:val="001556F3"/>
    <w:rsid w:val="0015570F"/>
    <w:rsid w:val="001557C9"/>
    <w:rsid w:val="0015582D"/>
    <w:rsid w:val="00155929"/>
    <w:rsid w:val="001559AA"/>
    <w:rsid w:val="001562B7"/>
    <w:rsid w:val="0015642E"/>
    <w:rsid w:val="001565BA"/>
    <w:rsid w:val="001573D4"/>
    <w:rsid w:val="001575AD"/>
    <w:rsid w:val="001606F0"/>
    <w:rsid w:val="001606FE"/>
    <w:rsid w:val="00160F0D"/>
    <w:rsid w:val="00161010"/>
    <w:rsid w:val="0016167C"/>
    <w:rsid w:val="00161AB1"/>
    <w:rsid w:val="00161BD8"/>
    <w:rsid w:val="00161CA1"/>
    <w:rsid w:val="0016205E"/>
    <w:rsid w:val="00162310"/>
    <w:rsid w:val="00162367"/>
    <w:rsid w:val="001624D3"/>
    <w:rsid w:val="00162674"/>
    <w:rsid w:val="0016274D"/>
    <w:rsid w:val="00162CCD"/>
    <w:rsid w:val="00162DF3"/>
    <w:rsid w:val="0016322C"/>
    <w:rsid w:val="0016337C"/>
    <w:rsid w:val="0016350F"/>
    <w:rsid w:val="00163563"/>
    <w:rsid w:val="001638F0"/>
    <w:rsid w:val="00163ED8"/>
    <w:rsid w:val="00164473"/>
    <w:rsid w:val="00164530"/>
    <w:rsid w:val="001646FF"/>
    <w:rsid w:val="001648B0"/>
    <w:rsid w:val="00165152"/>
    <w:rsid w:val="001651EF"/>
    <w:rsid w:val="00165A81"/>
    <w:rsid w:val="00165BCA"/>
    <w:rsid w:val="00165C1D"/>
    <w:rsid w:val="00165CE0"/>
    <w:rsid w:val="001662AF"/>
    <w:rsid w:val="00166396"/>
    <w:rsid w:val="00166844"/>
    <w:rsid w:val="0016688C"/>
    <w:rsid w:val="00166B2F"/>
    <w:rsid w:val="00166C3F"/>
    <w:rsid w:val="001671FA"/>
    <w:rsid w:val="001672C6"/>
    <w:rsid w:val="001673C6"/>
    <w:rsid w:val="0016749B"/>
    <w:rsid w:val="001675E8"/>
    <w:rsid w:val="0016777D"/>
    <w:rsid w:val="00167820"/>
    <w:rsid w:val="00167A5A"/>
    <w:rsid w:val="00167D56"/>
    <w:rsid w:val="00167F12"/>
    <w:rsid w:val="00167F76"/>
    <w:rsid w:val="00167FF3"/>
    <w:rsid w:val="00170092"/>
    <w:rsid w:val="0017016B"/>
    <w:rsid w:val="001703EE"/>
    <w:rsid w:val="001706B2"/>
    <w:rsid w:val="00170DDA"/>
    <w:rsid w:val="00171260"/>
    <w:rsid w:val="00171867"/>
    <w:rsid w:val="00171AF2"/>
    <w:rsid w:val="00171EA9"/>
    <w:rsid w:val="00172050"/>
    <w:rsid w:val="001724AF"/>
    <w:rsid w:val="0017266C"/>
    <w:rsid w:val="001727D9"/>
    <w:rsid w:val="001729F3"/>
    <w:rsid w:val="00172A25"/>
    <w:rsid w:val="00172AC7"/>
    <w:rsid w:val="00172D9B"/>
    <w:rsid w:val="00172FA4"/>
    <w:rsid w:val="00173069"/>
    <w:rsid w:val="001732BD"/>
    <w:rsid w:val="00173A20"/>
    <w:rsid w:val="00173C19"/>
    <w:rsid w:val="00173D59"/>
    <w:rsid w:val="00173D8B"/>
    <w:rsid w:val="00173E17"/>
    <w:rsid w:val="00174137"/>
    <w:rsid w:val="0017488E"/>
    <w:rsid w:val="00174B48"/>
    <w:rsid w:val="00174DA6"/>
    <w:rsid w:val="00174E0D"/>
    <w:rsid w:val="00174FB8"/>
    <w:rsid w:val="00175061"/>
    <w:rsid w:val="0017509D"/>
    <w:rsid w:val="001750C0"/>
    <w:rsid w:val="001750E4"/>
    <w:rsid w:val="00175107"/>
    <w:rsid w:val="00175154"/>
    <w:rsid w:val="00175265"/>
    <w:rsid w:val="001757AF"/>
    <w:rsid w:val="0017595C"/>
    <w:rsid w:val="00175DAC"/>
    <w:rsid w:val="00175DB0"/>
    <w:rsid w:val="00175F57"/>
    <w:rsid w:val="00175FFD"/>
    <w:rsid w:val="00176002"/>
    <w:rsid w:val="001761ED"/>
    <w:rsid w:val="00176405"/>
    <w:rsid w:val="0017659D"/>
    <w:rsid w:val="001765B9"/>
    <w:rsid w:val="0017667D"/>
    <w:rsid w:val="00176C18"/>
    <w:rsid w:val="00176F80"/>
    <w:rsid w:val="00177363"/>
    <w:rsid w:val="00177388"/>
    <w:rsid w:val="00177A17"/>
    <w:rsid w:val="00177EE9"/>
    <w:rsid w:val="0018046C"/>
    <w:rsid w:val="00180559"/>
    <w:rsid w:val="0018064D"/>
    <w:rsid w:val="00181147"/>
    <w:rsid w:val="00181481"/>
    <w:rsid w:val="001815A1"/>
    <w:rsid w:val="00181D7D"/>
    <w:rsid w:val="00181F04"/>
    <w:rsid w:val="00181F6B"/>
    <w:rsid w:val="0018208A"/>
    <w:rsid w:val="00182189"/>
    <w:rsid w:val="0018232C"/>
    <w:rsid w:val="001824CB"/>
    <w:rsid w:val="0018284A"/>
    <w:rsid w:val="00182937"/>
    <w:rsid w:val="0018299E"/>
    <w:rsid w:val="00182BC5"/>
    <w:rsid w:val="00182BEE"/>
    <w:rsid w:val="001830FA"/>
    <w:rsid w:val="001831D9"/>
    <w:rsid w:val="0018357A"/>
    <w:rsid w:val="0018372F"/>
    <w:rsid w:val="0018396C"/>
    <w:rsid w:val="00183B9E"/>
    <w:rsid w:val="00183D25"/>
    <w:rsid w:val="00183D44"/>
    <w:rsid w:val="00183F7B"/>
    <w:rsid w:val="00183FB7"/>
    <w:rsid w:val="00184052"/>
    <w:rsid w:val="00184C63"/>
    <w:rsid w:val="0018525F"/>
    <w:rsid w:val="00185357"/>
    <w:rsid w:val="00185462"/>
    <w:rsid w:val="001858F7"/>
    <w:rsid w:val="00185ACF"/>
    <w:rsid w:val="00185AE5"/>
    <w:rsid w:val="00185BC1"/>
    <w:rsid w:val="00185BFD"/>
    <w:rsid w:val="00185D8F"/>
    <w:rsid w:val="00185FAC"/>
    <w:rsid w:val="001861C9"/>
    <w:rsid w:val="001862DC"/>
    <w:rsid w:val="0018694A"/>
    <w:rsid w:val="00186BE9"/>
    <w:rsid w:val="00186C22"/>
    <w:rsid w:val="00186CB6"/>
    <w:rsid w:val="00186E0F"/>
    <w:rsid w:val="001871E7"/>
    <w:rsid w:val="00187201"/>
    <w:rsid w:val="00187322"/>
    <w:rsid w:val="0018733A"/>
    <w:rsid w:val="001879BA"/>
    <w:rsid w:val="00187D1A"/>
    <w:rsid w:val="001903E1"/>
    <w:rsid w:val="00190520"/>
    <w:rsid w:val="00190533"/>
    <w:rsid w:val="0019080A"/>
    <w:rsid w:val="001908CA"/>
    <w:rsid w:val="001908FC"/>
    <w:rsid w:val="00190FB8"/>
    <w:rsid w:val="0019164C"/>
    <w:rsid w:val="00191BBE"/>
    <w:rsid w:val="00191BCF"/>
    <w:rsid w:val="00191FF9"/>
    <w:rsid w:val="0019237A"/>
    <w:rsid w:val="001924C0"/>
    <w:rsid w:val="0019279A"/>
    <w:rsid w:val="00192973"/>
    <w:rsid w:val="00193114"/>
    <w:rsid w:val="00193F2A"/>
    <w:rsid w:val="00194550"/>
    <w:rsid w:val="001947CA"/>
    <w:rsid w:val="0019488F"/>
    <w:rsid w:val="00194B8F"/>
    <w:rsid w:val="00194CFF"/>
    <w:rsid w:val="00194F66"/>
    <w:rsid w:val="00195193"/>
    <w:rsid w:val="001956A7"/>
    <w:rsid w:val="00195DBC"/>
    <w:rsid w:val="00195E26"/>
    <w:rsid w:val="00195E9F"/>
    <w:rsid w:val="00195EB5"/>
    <w:rsid w:val="001960DB"/>
    <w:rsid w:val="001965C5"/>
    <w:rsid w:val="00196736"/>
    <w:rsid w:val="00196878"/>
    <w:rsid w:val="00196926"/>
    <w:rsid w:val="00197548"/>
    <w:rsid w:val="00197D3B"/>
    <w:rsid w:val="00197F52"/>
    <w:rsid w:val="001A0039"/>
    <w:rsid w:val="001A027F"/>
    <w:rsid w:val="001A02A6"/>
    <w:rsid w:val="001A03F1"/>
    <w:rsid w:val="001A0470"/>
    <w:rsid w:val="001A0621"/>
    <w:rsid w:val="001A072F"/>
    <w:rsid w:val="001A07BB"/>
    <w:rsid w:val="001A09D3"/>
    <w:rsid w:val="001A0E60"/>
    <w:rsid w:val="001A11BC"/>
    <w:rsid w:val="001A124E"/>
    <w:rsid w:val="001A170C"/>
    <w:rsid w:val="001A19E5"/>
    <w:rsid w:val="001A1F70"/>
    <w:rsid w:val="001A21D6"/>
    <w:rsid w:val="001A23B5"/>
    <w:rsid w:val="001A27AB"/>
    <w:rsid w:val="001A2A6E"/>
    <w:rsid w:val="001A3111"/>
    <w:rsid w:val="001A322C"/>
    <w:rsid w:val="001A36A7"/>
    <w:rsid w:val="001A3A91"/>
    <w:rsid w:val="001A3BC6"/>
    <w:rsid w:val="001A4397"/>
    <w:rsid w:val="001A473F"/>
    <w:rsid w:val="001A49C7"/>
    <w:rsid w:val="001A4B67"/>
    <w:rsid w:val="001A5315"/>
    <w:rsid w:val="001A537A"/>
    <w:rsid w:val="001A53D0"/>
    <w:rsid w:val="001A5900"/>
    <w:rsid w:val="001A59AD"/>
    <w:rsid w:val="001A5A3A"/>
    <w:rsid w:val="001A5C55"/>
    <w:rsid w:val="001A610A"/>
    <w:rsid w:val="001A67AE"/>
    <w:rsid w:val="001A695C"/>
    <w:rsid w:val="001A6F10"/>
    <w:rsid w:val="001A7151"/>
    <w:rsid w:val="001A754C"/>
    <w:rsid w:val="001A755F"/>
    <w:rsid w:val="001A75B0"/>
    <w:rsid w:val="001A7788"/>
    <w:rsid w:val="001A78EF"/>
    <w:rsid w:val="001A7984"/>
    <w:rsid w:val="001A7C53"/>
    <w:rsid w:val="001B0136"/>
    <w:rsid w:val="001B05B0"/>
    <w:rsid w:val="001B0710"/>
    <w:rsid w:val="001B09EA"/>
    <w:rsid w:val="001B0D92"/>
    <w:rsid w:val="001B1102"/>
    <w:rsid w:val="001B120F"/>
    <w:rsid w:val="001B13DF"/>
    <w:rsid w:val="001B14A2"/>
    <w:rsid w:val="001B1DBD"/>
    <w:rsid w:val="001B1F61"/>
    <w:rsid w:val="001B2032"/>
    <w:rsid w:val="001B2167"/>
    <w:rsid w:val="001B23AE"/>
    <w:rsid w:val="001B249C"/>
    <w:rsid w:val="001B2575"/>
    <w:rsid w:val="001B26A5"/>
    <w:rsid w:val="001B29F9"/>
    <w:rsid w:val="001B2E80"/>
    <w:rsid w:val="001B3407"/>
    <w:rsid w:val="001B3709"/>
    <w:rsid w:val="001B3A14"/>
    <w:rsid w:val="001B3FB3"/>
    <w:rsid w:val="001B49E2"/>
    <w:rsid w:val="001B4BE0"/>
    <w:rsid w:val="001B4D58"/>
    <w:rsid w:val="001B4EB6"/>
    <w:rsid w:val="001B4F05"/>
    <w:rsid w:val="001B50AE"/>
    <w:rsid w:val="001B5628"/>
    <w:rsid w:val="001B5CB7"/>
    <w:rsid w:val="001B5CCF"/>
    <w:rsid w:val="001B5CE8"/>
    <w:rsid w:val="001B5DBA"/>
    <w:rsid w:val="001B641A"/>
    <w:rsid w:val="001B71F0"/>
    <w:rsid w:val="001B7C4A"/>
    <w:rsid w:val="001B7DC5"/>
    <w:rsid w:val="001C03E7"/>
    <w:rsid w:val="001C0674"/>
    <w:rsid w:val="001C06FF"/>
    <w:rsid w:val="001C0BF8"/>
    <w:rsid w:val="001C0D05"/>
    <w:rsid w:val="001C1004"/>
    <w:rsid w:val="001C1194"/>
    <w:rsid w:val="001C1249"/>
    <w:rsid w:val="001C13CD"/>
    <w:rsid w:val="001C1B73"/>
    <w:rsid w:val="001C1E0C"/>
    <w:rsid w:val="001C2180"/>
    <w:rsid w:val="001C2489"/>
    <w:rsid w:val="001C2A19"/>
    <w:rsid w:val="001C2ED1"/>
    <w:rsid w:val="001C2FDA"/>
    <w:rsid w:val="001C307F"/>
    <w:rsid w:val="001C3171"/>
    <w:rsid w:val="001C35CA"/>
    <w:rsid w:val="001C3A4A"/>
    <w:rsid w:val="001C3A6B"/>
    <w:rsid w:val="001C3F3F"/>
    <w:rsid w:val="001C428A"/>
    <w:rsid w:val="001C492D"/>
    <w:rsid w:val="001C49F0"/>
    <w:rsid w:val="001C4A86"/>
    <w:rsid w:val="001C4FC0"/>
    <w:rsid w:val="001C51BF"/>
    <w:rsid w:val="001C526E"/>
    <w:rsid w:val="001C56CD"/>
    <w:rsid w:val="001C56EE"/>
    <w:rsid w:val="001C5950"/>
    <w:rsid w:val="001C5989"/>
    <w:rsid w:val="001C5A81"/>
    <w:rsid w:val="001C5E70"/>
    <w:rsid w:val="001C5EBD"/>
    <w:rsid w:val="001C60FB"/>
    <w:rsid w:val="001C6320"/>
    <w:rsid w:val="001C676D"/>
    <w:rsid w:val="001C6E96"/>
    <w:rsid w:val="001C72C9"/>
    <w:rsid w:val="001C740C"/>
    <w:rsid w:val="001C749A"/>
    <w:rsid w:val="001C7602"/>
    <w:rsid w:val="001C774F"/>
    <w:rsid w:val="001C77E5"/>
    <w:rsid w:val="001C78A4"/>
    <w:rsid w:val="001C7B94"/>
    <w:rsid w:val="001C7CB7"/>
    <w:rsid w:val="001C7DBD"/>
    <w:rsid w:val="001C7F14"/>
    <w:rsid w:val="001C7FB7"/>
    <w:rsid w:val="001D013E"/>
    <w:rsid w:val="001D0979"/>
    <w:rsid w:val="001D0E12"/>
    <w:rsid w:val="001D0EE0"/>
    <w:rsid w:val="001D0F5C"/>
    <w:rsid w:val="001D116F"/>
    <w:rsid w:val="001D17EC"/>
    <w:rsid w:val="001D19BF"/>
    <w:rsid w:val="001D1F6D"/>
    <w:rsid w:val="001D2109"/>
    <w:rsid w:val="001D21CD"/>
    <w:rsid w:val="001D2ABC"/>
    <w:rsid w:val="001D35CF"/>
    <w:rsid w:val="001D37E9"/>
    <w:rsid w:val="001D38E5"/>
    <w:rsid w:val="001D3C68"/>
    <w:rsid w:val="001D4156"/>
    <w:rsid w:val="001D42F3"/>
    <w:rsid w:val="001D47C3"/>
    <w:rsid w:val="001D4AC8"/>
    <w:rsid w:val="001D5109"/>
    <w:rsid w:val="001D57AD"/>
    <w:rsid w:val="001D5A27"/>
    <w:rsid w:val="001D600B"/>
    <w:rsid w:val="001D6374"/>
    <w:rsid w:val="001D677F"/>
    <w:rsid w:val="001D7396"/>
    <w:rsid w:val="001D78C5"/>
    <w:rsid w:val="001D7A29"/>
    <w:rsid w:val="001E01A5"/>
    <w:rsid w:val="001E0639"/>
    <w:rsid w:val="001E0690"/>
    <w:rsid w:val="001E0B99"/>
    <w:rsid w:val="001E0D5A"/>
    <w:rsid w:val="001E0DDB"/>
    <w:rsid w:val="001E10B4"/>
    <w:rsid w:val="001E14C6"/>
    <w:rsid w:val="001E1623"/>
    <w:rsid w:val="001E1626"/>
    <w:rsid w:val="001E1A02"/>
    <w:rsid w:val="001E1D87"/>
    <w:rsid w:val="001E1DE5"/>
    <w:rsid w:val="001E1F14"/>
    <w:rsid w:val="001E2485"/>
    <w:rsid w:val="001E260F"/>
    <w:rsid w:val="001E297F"/>
    <w:rsid w:val="001E2A52"/>
    <w:rsid w:val="001E2C78"/>
    <w:rsid w:val="001E2CA1"/>
    <w:rsid w:val="001E2DD0"/>
    <w:rsid w:val="001E35EE"/>
    <w:rsid w:val="001E379B"/>
    <w:rsid w:val="001E3B27"/>
    <w:rsid w:val="001E3C0E"/>
    <w:rsid w:val="001E4635"/>
    <w:rsid w:val="001E495F"/>
    <w:rsid w:val="001E499E"/>
    <w:rsid w:val="001E4B81"/>
    <w:rsid w:val="001E4E5C"/>
    <w:rsid w:val="001E571C"/>
    <w:rsid w:val="001E587E"/>
    <w:rsid w:val="001E5B41"/>
    <w:rsid w:val="001E5F46"/>
    <w:rsid w:val="001E6271"/>
    <w:rsid w:val="001E6315"/>
    <w:rsid w:val="001E6E7F"/>
    <w:rsid w:val="001E6EAF"/>
    <w:rsid w:val="001E6F1D"/>
    <w:rsid w:val="001E72EA"/>
    <w:rsid w:val="001E738D"/>
    <w:rsid w:val="001E742E"/>
    <w:rsid w:val="001E758B"/>
    <w:rsid w:val="001E784E"/>
    <w:rsid w:val="001E7E3D"/>
    <w:rsid w:val="001F00F6"/>
    <w:rsid w:val="001F0181"/>
    <w:rsid w:val="001F058E"/>
    <w:rsid w:val="001F0BA7"/>
    <w:rsid w:val="001F0C51"/>
    <w:rsid w:val="001F0F8C"/>
    <w:rsid w:val="001F0FF1"/>
    <w:rsid w:val="001F14ED"/>
    <w:rsid w:val="001F1614"/>
    <w:rsid w:val="001F173B"/>
    <w:rsid w:val="001F1B00"/>
    <w:rsid w:val="001F2079"/>
    <w:rsid w:val="001F20A8"/>
    <w:rsid w:val="001F2B85"/>
    <w:rsid w:val="001F33AC"/>
    <w:rsid w:val="001F35FE"/>
    <w:rsid w:val="001F37CC"/>
    <w:rsid w:val="001F3A38"/>
    <w:rsid w:val="001F3C23"/>
    <w:rsid w:val="001F3C85"/>
    <w:rsid w:val="001F3CC5"/>
    <w:rsid w:val="001F3E3F"/>
    <w:rsid w:val="001F3F7F"/>
    <w:rsid w:val="001F4665"/>
    <w:rsid w:val="001F491D"/>
    <w:rsid w:val="001F49B6"/>
    <w:rsid w:val="001F4A10"/>
    <w:rsid w:val="001F4B9D"/>
    <w:rsid w:val="001F4C04"/>
    <w:rsid w:val="001F4C65"/>
    <w:rsid w:val="001F4DA1"/>
    <w:rsid w:val="001F4DCA"/>
    <w:rsid w:val="001F53EB"/>
    <w:rsid w:val="001F5590"/>
    <w:rsid w:val="001F55F9"/>
    <w:rsid w:val="001F57CF"/>
    <w:rsid w:val="001F5B03"/>
    <w:rsid w:val="001F5B57"/>
    <w:rsid w:val="001F5BC2"/>
    <w:rsid w:val="001F5BEE"/>
    <w:rsid w:val="001F5ECE"/>
    <w:rsid w:val="001F6362"/>
    <w:rsid w:val="001F6670"/>
    <w:rsid w:val="001F67D6"/>
    <w:rsid w:val="001F69F6"/>
    <w:rsid w:val="001F76DF"/>
    <w:rsid w:val="001F785F"/>
    <w:rsid w:val="001F78D0"/>
    <w:rsid w:val="001F7B3F"/>
    <w:rsid w:val="001F7DD0"/>
    <w:rsid w:val="0020033C"/>
    <w:rsid w:val="00200891"/>
    <w:rsid w:val="00200912"/>
    <w:rsid w:val="00200B32"/>
    <w:rsid w:val="00200DED"/>
    <w:rsid w:val="0020108B"/>
    <w:rsid w:val="00201259"/>
    <w:rsid w:val="00201369"/>
    <w:rsid w:val="0020152B"/>
    <w:rsid w:val="00201637"/>
    <w:rsid w:val="00201653"/>
    <w:rsid w:val="002016A9"/>
    <w:rsid w:val="002017B0"/>
    <w:rsid w:val="002019B0"/>
    <w:rsid w:val="00201CCB"/>
    <w:rsid w:val="0020200A"/>
    <w:rsid w:val="0020204D"/>
    <w:rsid w:val="002020DF"/>
    <w:rsid w:val="002022F1"/>
    <w:rsid w:val="00202369"/>
    <w:rsid w:val="00202501"/>
    <w:rsid w:val="002026A6"/>
    <w:rsid w:val="00202D8D"/>
    <w:rsid w:val="00202EE2"/>
    <w:rsid w:val="0020319D"/>
    <w:rsid w:val="0020357E"/>
    <w:rsid w:val="00203764"/>
    <w:rsid w:val="002040B3"/>
    <w:rsid w:val="00204DD0"/>
    <w:rsid w:val="00204E09"/>
    <w:rsid w:val="002052F0"/>
    <w:rsid w:val="00205900"/>
    <w:rsid w:val="00205D84"/>
    <w:rsid w:val="00205E4A"/>
    <w:rsid w:val="00205E87"/>
    <w:rsid w:val="002060FB"/>
    <w:rsid w:val="00206136"/>
    <w:rsid w:val="002065D5"/>
    <w:rsid w:val="00206774"/>
    <w:rsid w:val="002069A0"/>
    <w:rsid w:val="00206D60"/>
    <w:rsid w:val="0020701E"/>
    <w:rsid w:val="002075E0"/>
    <w:rsid w:val="00207C24"/>
    <w:rsid w:val="00207D4B"/>
    <w:rsid w:val="00207E03"/>
    <w:rsid w:val="0021010C"/>
    <w:rsid w:val="002106E1"/>
    <w:rsid w:val="00210981"/>
    <w:rsid w:val="00210AC1"/>
    <w:rsid w:val="00210C46"/>
    <w:rsid w:val="00210FBC"/>
    <w:rsid w:val="00211289"/>
    <w:rsid w:val="002117BA"/>
    <w:rsid w:val="002118C8"/>
    <w:rsid w:val="0021191E"/>
    <w:rsid w:val="00211D9B"/>
    <w:rsid w:val="00211E30"/>
    <w:rsid w:val="00212203"/>
    <w:rsid w:val="00212590"/>
    <w:rsid w:val="0021279F"/>
    <w:rsid w:val="00212800"/>
    <w:rsid w:val="002135B0"/>
    <w:rsid w:val="00213BE8"/>
    <w:rsid w:val="00213C57"/>
    <w:rsid w:val="00213E78"/>
    <w:rsid w:val="00213F8F"/>
    <w:rsid w:val="00213F9B"/>
    <w:rsid w:val="002140F8"/>
    <w:rsid w:val="00214662"/>
    <w:rsid w:val="00214738"/>
    <w:rsid w:val="002148B0"/>
    <w:rsid w:val="002149C1"/>
    <w:rsid w:val="00214A02"/>
    <w:rsid w:val="00214A24"/>
    <w:rsid w:val="00214C38"/>
    <w:rsid w:val="00214DE8"/>
    <w:rsid w:val="00214FCB"/>
    <w:rsid w:val="00215123"/>
    <w:rsid w:val="0021546A"/>
    <w:rsid w:val="002156B0"/>
    <w:rsid w:val="00215960"/>
    <w:rsid w:val="00216273"/>
    <w:rsid w:val="00216722"/>
    <w:rsid w:val="0021687B"/>
    <w:rsid w:val="00216A47"/>
    <w:rsid w:val="00217352"/>
    <w:rsid w:val="00217B29"/>
    <w:rsid w:val="00217CAF"/>
    <w:rsid w:val="00217CC0"/>
    <w:rsid w:val="00217E22"/>
    <w:rsid w:val="00217F8D"/>
    <w:rsid w:val="00217FDE"/>
    <w:rsid w:val="002204C1"/>
    <w:rsid w:val="00220504"/>
    <w:rsid w:val="00220538"/>
    <w:rsid w:val="00220618"/>
    <w:rsid w:val="00220D4D"/>
    <w:rsid w:val="00220F59"/>
    <w:rsid w:val="002213F5"/>
    <w:rsid w:val="002216FE"/>
    <w:rsid w:val="002223D7"/>
    <w:rsid w:val="00222587"/>
    <w:rsid w:val="00222750"/>
    <w:rsid w:val="002229CB"/>
    <w:rsid w:val="00222ACD"/>
    <w:rsid w:val="00222B31"/>
    <w:rsid w:val="00222C0C"/>
    <w:rsid w:val="00222C91"/>
    <w:rsid w:val="002233DB"/>
    <w:rsid w:val="002236CE"/>
    <w:rsid w:val="00223C39"/>
    <w:rsid w:val="00224247"/>
    <w:rsid w:val="002242EF"/>
    <w:rsid w:val="00224DE0"/>
    <w:rsid w:val="00224EAA"/>
    <w:rsid w:val="00225B12"/>
    <w:rsid w:val="00225E26"/>
    <w:rsid w:val="00225FC4"/>
    <w:rsid w:val="00226048"/>
    <w:rsid w:val="002263F1"/>
    <w:rsid w:val="00226472"/>
    <w:rsid w:val="002264FB"/>
    <w:rsid w:val="0022672C"/>
    <w:rsid w:val="00226777"/>
    <w:rsid w:val="00226950"/>
    <w:rsid w:val="00226CF1"/>
    <w:rsid w:val="0022712E"/>
    <w:rsid w:val="00227309"/>
    <w:rsid w:val="002275D8"/>
    <w:rsid w:val="002279F2"/>
    <w:rsid w:val="00227A56"/>
    <w:rsid w:val="00227E59"/>
    <w:rsid w:val="00230424"/>
    <w:rsid w:val="002304B4"/>
    <w:rsid w:val="002308C0"/>
    <w:rsid w:val="00230A62"/>
    <w:rsid w:val="00230DBA"/>
    <w:rsid w:val="00231400"/>
    <w:rsid w:val="00231C3E"/>
    <w:rsid w:val="00232135"/>
    <w:rsid w:val="002325C8"/>
    <w:rsid w:val="0023275E"/>
    <w:rsid w:val="00232946"/>
    <w:rsid w:val="00232955"/>
    <w:rsid w:val="00232A7C"/>
    <w:rsid w:val="00232CF9"/>
    <w:rsid w:val="00232DAB"/>
    <w:rsid w:val="00232FF4"/>
    <w:rsid w:val="002333E0"/>
    <w:rsid w:val="00233506"/>
    <w:rsid w:val="002339AF"/>
    <w:rsid w:val="00233C4C"/>
    <w:rsid w:val="00233CEC"/>
    <w:rsid w:val="00233F03"/>
    <w:rsid w:val="00234798"/>
    <w:rsid w:val="00234ABC"/>
    <w:rsid w:val="00234BE6"/>
    <w:rsid w:val="00234C19"/>
    <w:rsid w:val="0023523A"/>
    <w:rsid w:val="0023561B"/>
    <w:rsid w:val="00235E29"/>
    <w:rsid w:val="00235FE5"/>
    <w:rsid w:val="00236222"/>
    <w:rsid w:val="00236643"/>
    <w:rsid w:val="0023665D"/>
    <w:rsid w:val="0023665E"/>
    <w:rsid w:val="00236F97"/>
    <w:rsid w:val="00237245"/>
    <w:rsid w:val="00237397"/>
    <w:rsid w:val="00237534"/>
    <w:rsid w:val="002375DD"/>
    <w:rsid w:val="0023763C"/>
    <w:rsid w:val="00237659"/>
    <w:rsid w:val="0024008E"/>
    <w:rsid w:val="00240175"/>
    <w:rsid w:val="002401F5"/>
    <w:rsid w:val="002405C3"/>
    <w:rsid w:val="002407EB"/>
    <w:rsid w:val="0024081F"/>
    <w:rsid w:val="00240FD3"/>
    <w:rsid w:val="0024121A"/>
    <w:rsid w:val="002419A6"/>
    <w:rsid w:val="00241A7C"/>
    <w:rsid w:val="00241D9B"/>
    <w:rsid w:val="00241F03"/>
    <w:rsid w:val="002423F2"/>
    <w:rsid w:val="0024285B"/>
    <w:rsid w:val="00242A75"/>
    <w:rsid w:val="00242C3E"/>
    <w:rsid w:val="00242DF0"/>
    <w:rsid w:val="00243176"/>
    <w:rsid w:val="00243600"/>
    <w:rsid w:val="00243B2D"/>
    <w:rsid w:val="00243D12"/>
    <w:rsid w:val="00243D2C"/>
    <w:rsid w:val="00243FD5"/>
    <w:rsid w:val="00244160"/>
    <w:rsid w:val="00244626"/>
    <w:rsid w:val="00244669"/>
    <w:rsid w:val="0024490D"/>
    <w:rsid w:val="002449D8"/>
    <w:rsid w:val="00244ABF"/>
    <w:rsid w:val="00245278"/>
    <w:rsid w:val="002456FC"/>
    <w:rsid w:val="002458FE"/>
    <w:rsid w:val="0024593F"/>
    <w:rsid w:val="00245D97"/>
    <w:rsid w:val="00245E35"/>
    <w:rsid w:val="002460BA"/>
    <w:rsid w:val="0024627C"/>
    <w:rsid w:val="0024674F"/>
    <w:rsid w:val="00246881"/>
    <w:rsid w:val="00246DCC"/>
    <w:rsid w:val="00247177"/>
    <w:rsid w:val="00247240"/>
    <w:rsid w:val="002472A5"/>
    <w:rsid w:val="0024759C"/>
    <w:rsid w:val="002477CE"/>
    <w:rsid w:val="002478D8"/>
    <w:rsid w:val="00247A7C"/>
    <w:rsid w:val="00247B33"/>
    <w:rsid w:val="00247EAC"/>
    <w:rsid w:val="00247FE3"/>
    <w:rsid w:val="00250046"/>
    <w:rsid w:val="0025005B"/>
    <w:rsid w:val="002503E8"/>
    <w:rsid w:val="002508C7"/>
    <w:rsid w:val="00250A6D"/>
    <w:rsid w:val="002513EC"/>
    <w:rsid w:val="0025176B"/>
    <w:rsid w:val="0025184D"/>
    <w:rsid w:val="00251A22"/>
    <w:rsid w:val="00251B29"/>
    <w:rsid w:val="00251D1C"/>
    <w:rsid w:val="00252340"/>
    <w:rsid w:val="002526A8"/>
    <w:rsid w:val="00252889"/>
    <w:rsid w:val="00252967"/>
    <w:rsid w:val="00252A7D"/>
    <w:rsid w:val="002531E2"/>
    <w:rsid w:val="00253532"/>
    <w:rsid w:val="00253815"/>
    <w:rsid w:val="0025388D"/>
    <w:rsid w:val="0025393A"/>
    <w:rsid w:val="00253967"/>
    <w:rsid w:val="00253A3F"/>
    <w:rsid w:val="00253B76"/>
    <w:rsid w:val="00253C5F"/>
    <w:rsid w:val="00253E5D"/>
    <w:rsid w:val="00253F0F"/>
    <w:rsid w:val="00253FD8"/>
    <w:rsid w:val="00254223"/>
    <w:rsid w:val="0025431A"/>
    <w:rsid w:val="002549C5"/>
    <w:rsid w:val="00254C7C"/>
    <w:rsid w:val="002551D8"/>
    <w:rsid w:val="0025564C"/>
    <w:rsid w:val="0025584E"/>
    <w:rsid w:val="00255AA2"/>
    <w:rsid w:val="00255B1A"/>
    <w:rsid w:val="00255E68"/>
    <w:rsid w:val="00256043"/>
    <w:rsid w:val="002561D4"/>
    <w:rsid w:val="002562B9"/>
    <w:rsid w:val="0025655C"/>
    <w:rsid w:val="00257064"/>
    <w:rsid w:val="00257166"/>
    <w:rsid w:val="002576BE"/>
    <w:rsid w:val="002579C5"/>
    <w:rsid w:val="00257CDB"/>
    <w:rsid w:val="00260288"/>
    <w:rsid w:val="0026048D"/>
    <w:rsid w:val="002605AF"/>
    <w:rsid w:val="00260BC7"/>
    <w:rsid w:val="00261332"/>
    <w:rsid w:val="00261531"/>
    <w:rsid w:val="002617CC"/>
    <w:rsid w:val="002619C8"/>
    <w:rsid w:val="00261B15"/>
    <w:rsid w:val="00261B2A"/>
    <w:rsid w:val="00261E0E"/>
    <w:rsid w:val="002623F1"/>
    <w:rsid w:val="00262473"/>
    <w:rsid w:val="002627A8"/>
    <w:rsid w:val="002629A5"/>
    <w:rsid w:val="00262A89"/>
    <w:rsid w:val="00262A8B"/>
    <w:rsid w:val="00262BD6"/>
    <w:rsid w:val="002630AC"/>
    <w:rsid w:val="00263EF8"/>
    <w:rsid w:val="00264041"/>
    <w:rsid w:val="00264573"/>
    <w:rsid w:val="002646B2"/>
    <w:rsid w:val="002647B9"/>
    <w:rsid w:val="00264886"/>
    <w:rsid w:val="00264B71"/>
    <w:rsid w:val="00264C11"/>
    <w:rsid w:val="00264E55"/>
    <w:rsid w:val="00264EB9"/>
    <w:rsid w:val="002651B8"/>
    <w:rsid w:val="00265606"/>
    <w:rsid w:val="0026567F"/>
    <w:rsid w:val="00265918"/>
    <w:rsid w:val="00265987"/>
    <w:rsid w:val="00265E32"/>
    <w:rsid w:val="0026669E"/>
    <w:rsid w:val="002667F4"/>
    <w:rsid w:val="002671ED"/>
    <w:rsid w:val="002678A1"/>
    <w:rsid w:val="002679F4"/>
    <w:rsid w:val="00267A52"/>
    <w:rsid w:val="00270205"/>
    <w:rsid w:val="002704EB"/>
    <w:rsid w:val="00270533"/>
    <w:rsid w:val="0027097D"/>
    <w:rsid w:val="00270CC7"/>
    <w:rsid w:val="00270F72"/>
    <w:rsid w:val="00271406"/>
    <w:rsid w:val="00271D05"/>
    <w:rsid w:val="002722EB"/>
    <w:rsid w:val="002724FB"/>
    <w:rsid w:val="00272990"/>
    <w:rsid w:val="00272AF2"/>
    <w:rsid w:val="00273025"/>
    <w:rsid w:val="00273DB9"/>
    <w:rsid w:val="00274795"/>
    <w:rsid w:val="00274C31"/>
    <w:rsid w:val="00274C99"/>
    <w:rsid w:val="00274CF6"/>
    <w:rsid w:val="00274EB9"/>
    <w:rsid w:val="00275012"/>
    <w:rsid w:val="0027526B"/>
    <w:rsid w:val="002754BF"/>
    <w:rsid w:val="00275612"/>
    <w:rsid w:val="002758E3"/>
    <w:rsid w:val="00275EFD"/>
    <w:rsid w:val="0027651C"/>
    <w:rsid w:val="0027676F"/>
    <w:rsid w:val="002769F8"/>
    <w:rsid w:val="00276B9B"/>
    <w:rsid w:val="00276CA7"/>
    <w:rsid w:val="00276CE5"/>
    <w:rsid w:val="00276E23"/>
    <w:rsid w:val="00276F84"/>
    <w:rsid w:val="00277763"/>
    <w:rsid w:val="00277B43"/>
    <w:rsid w:val="00277BA5"/>
    <w:rsid w:val="00277D4A"/>
    <w:rsid w:val="00277F73"/>
    <w:rsid w:val="00280885"/>
    <w:rsid w:val="0028091E"/>
    <w:rsid w:val="002809B7"/>
    <w:rsid w:val="00280FFD"/>
    <w:rsid w:val="002812FC"/>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776"/>
    <w:rsid w:val="00283DA6"/>
    <w:rsid w:val="00283EEC"/>
    <w:rsid w:val="002841B9"/>
    <w:rsid w:val="00284BA6"/>
    <w:rsid w:val="00284D99"/>
    <w:rsid w:val="002850B2"/>
    <w:rsid w:val="0028517B"/>
    <w:rsid w:val="00285194"/>
    <w:rsid w:val="00285272"/>
    <w:rsid w:val="00285600"/>
    <w:rsid w:val="002857F4"/>
    <w:rsid w:val="00285DF6"/>
    <w:rsid w:val="00286058"/>
    <w:rsid w:val="00286317"/>
    <w:rsid w:val="00286783"/>
    <w:rsid w:val="002868BE"/>
    <w:rsid w:val="00286ABC"/>
    <w:rsid w:val="00286D22"/>
    <w:rsid w:val="00286DDD"/>
    <w:rsid w:val="002872A2"/>
    <w:rsid w:val="002872E5"/>
    <w:rsid w:val="00287459"/>
    <w:rsid w:val="0028761A"/>
    <w:rsid w:val="0028781E"/>
    <w:rsid w:val="00287833"/>
    <w:rsid w:val="002879AA"/>
    <w:rsid w:val="002879BD"/>
    <w:rsid w:val="00287A3C"/>
    <w:rsid w:val="00287AF5"/>
    <w:rsid w:val="00287DE0"/>
    <w:rsid w:val="00290610"/>
    <w:rsid w:val="002908FC"/>
    <w:rsid w:val="00290EE5"/>
    <w:rsid w:val="00291000"/>
    <w:rsid w:val="00291437"/>
    <w:rsid w:val="002914F9"/>
    <w:rsid w:val="00291979"/>
    <w:rsid w:val="002920C8"/>
    <w:rsid w:val="00292207"/>
    <w:rsid w:val="002923DC"/>
    <w:rsid w:val="00292643"/>
    <w:rsid w:val="002926A3"/>
    <w:rsid w:val="002927CC"/>
    <w:rsid w:val="00292980"/>
    <w:rsid w:val="00292E65"/>
    <w:rsid w:val="00293324"/>
    <w:rsid w:val="002936D5"/>
    <w:rsid w:val="0029398A"/>
    <w:rsid w:val="00293995"/>
    <w:rsid w:val="00293E41"/>
    <w:rsid w:val="0029414B"/>
    <w:rsid w:val="0029481A"/>
    <w:rsid w:val="002949B4"/>
    <w:rsid w:val="00294EEC"/>
    <w:rsid w:val="00294F32"/>
    <w:rsid w:val="00295068"/>
    <w:rsid w:val="00295141"/>
    <w:rsid w:val="00295299"/>
    <w:rsid w:val="0029529B"/>
    <w:rsid w:val="002952DE"/>
    <w:rsid w:val="002959F9"/>
    <w:rsid w:val="00295EBA"/>
    <w:rsid w:val="00295F70"/>
    <w:rsid w:val="00296325"/>
    <w:rsid w:val="002964E4"/>
    <w:rsid w:val="00296733"/>
    <w:rsid w:val="00296CD3"/>
    <w:rsid w:val="00296D91"/>
    <w:rsid w:val="00296F0A"/>
    <w:rsid w:val="002976C3"/>
    <w:rsid w:val="00297907"/>
    <w:rsid w:val="00297A20"/>
    <w:rsid w:val="00297A25"/>
    <w:rsid w:val="002A0323"/>
    <w:rsid w:val="002A052F"/>
    <w:rsid w:val="002A05BF"/>
    <w:rsid w:val="002A0A89"/>
    <w:rsid w:val="002A0C24"/>
    <w:rsid w:val="002A0DCB"/>
    <w:rsid w:val="002A0F58"/>
    <w:rsid w:val="002A1004"/>
    <w:rsid w:val="002A100A"/>
    <w:rsid w:val="002A11FF"/>
    <w:rsid w:val="002A13F8"/>
    <w:rsid w:val="002A16B7"/>
    <w:rsid w:val="002A1ACB"/>
    <w:rsid w:val="002A1AE4"/>
    <w:rsid w:val="002A1E45"/>
    <w:rsid w:val="002A23E5"/>
    <w:rsid w:val="002A27CE"/>
    <w:rsid w:val="002A2833"/>
    <w:rsid w:val="002A29BE"/>
    <w:rsid w:val="002A2DCE"/>
    <w:rsid w:val="002A2E09"/>
    <w:rsid w:val="002A2F28"/>
    <w:rsid w:val="002A33DF"/>
    <w:rsid w:val="002A36F3"/>
    <w:rsid w:val="002A3752"/>
    <w:rsid w:val="002A3BCC"/>
    <w:rsid w:val="002A4287"/>
    <w:rsid w:val="002A4A96"/>
    <w:rsid w:val="002A4E3F"/>
    <w:rsid w:val="002A518E"/>
    <w:rsid w:val="002A53FD"/>
    <w:rsid w:val="002A558C"/>
    <w:rsid w:val="002A55C6"/>
    <w:rsid w:val="002A5944"/>
    <w:rsid w:val="002A5E3B"/>
    <w:rsid w:val="002A637D"/>
    <w:rsid w:val="002A65A2"/>
    <w:rsid w:val="002A6AFD"/>
    <w:rsid w:val="002A6B86"/>
    <w:rsid w:val="002A6D09"/>
    <w:rsid w:val="002A7360"/>
    <w:rsid w:val="002A73DE"/>
    <w:rsid w:val="002A74E5"/>
    <w:rsid w:val="002A7819"/>
    <w:rsid w:val="002A782A"/>
    <w:rsid w:val="002A7C39"/>
    <w:rsid w:val="002A7DC6"/>
    <w:rsid w:val="002B0241"/>
    <w:rsid w:val="002B0589"/>
    <w:rsid w:val="002B05CA"/>
    <w:rsid w:val="002B0649"/>
    <w:rsid w:val="002B06D6"/>
    <w:rsid w:val="002B0B13"/>
    <w:rsid w:val="002B0B9B"/>
    <w:rsid w:val="002B0BAA"/>
    <w:rsid w:val="002B0CB5"/>
    <w:rsid w:val="002B12CC"/>
    <w:rsid w:val="002B136E"/>
    <w:rsid w:val="002B1693"/>
    <w:rsid w:val="002B17D8"/>
    <w:rsid w:val="002B235E"/>
    <w:rsid w:val="002B264E"/>
    <w:rsid w:val="002B2900"/>
    <w:rsid w:val="002B2937"/>
    <w:rsid w:val="002B2A28"/>
    <w:rsid w:val="002B2CB3"/>
    <w:rsid w:val="002B2FFA"/>
    <w:rsid w:val="002B3011"/>
    <w:rsid w:val="002B308B"/>
    <w:rsid w:val="002B309C"/>
    <w:rsid w:val="002B3274"/>
    <w:rsid w:val="002B3506"/>
    <w:rsid w:val="002B3579"/>
    <w:rsid w:val="002B37B0"/>
    <w:rsid w:val="002B38AC"/>
    <w:rsid w:val="002B393A"/>
    <w:rsid w:val="002B3C97"/>
    <w:rsid w:val="002B3CC4"/>
    <w:rsid w:val="002B45B0"/>
    <w:rsid w:val="002B48A1"/>
    <w:rsid w:val="002B48D8"/>
    <w:rsid w:val="002B4A46"/>
    <w:rsid w:val="002B4B63"/>
    <w:rsid w:val="002B4B6F"/>
    <w:rsid w:val="002B519A"/>
    <w:rsid w:val="002B51C9"/>
    <w:rsid w:val="002B5B1C"/>
    <w:rsid w:val="002B5C50"/>
    <w:rsid w:val="002B5FCD"/>
    <w:rsid w:val="002B6E6C"/>
    <w:rsid w:val="002B6E81"/>
    <w:rsid w:val="002B743E"/>
    <w:rsid w:val="002B756C"/>
    <w:rsid w:val="002B78CF"/>
    <w:rsid w:val="002B79AE"/>
    <w:rsid w:val="002B7BC9"/>
    <w:rsid w:val="002B7CB1"/>
    <w:rsid w:val="002B7F4F"/>
    <w:rsid w:val="002C04B7"/>
    <w:rsid w:val="002C05E0"/>
    <w:rsid w:val="002C0764"/>
    <w:rsid w:val="002C0774"/>
    <w:rsid w:val="002C07B1"/>
    <w:rsid w:val="002C07CA"/>
    <w:rsid w:val="002C083D"/>
    <w:rsid w:val="002C0B0E"/>
    <w:rsid w:val="002C10D7"/>
    <w:rsid w:val="002C123F"/>
    <w:rsid w:val="002C1468"/>
    <w:rsid w:val="002C16CC"/>
    <w:rsid w:val="002C1881"/>
    <w:rsid w:val="002C1A05"/>
    <w:rsid w:val="002C1E28"/>
    <w:rsid w:val="002C213B"/>
    <w:rsid w:val="002C28AF"/>
    <w:rsid w:val="002C2AB5"/>
    <w:rsid w:val="002C2B42"/>
    <w:rsid w:val="002C2B72"/>
    <w:rsid w:val="002C2CE9"/>
    <w:rsid w:val="002C2E83"/>
    <w:rsid w:val="002C2EA6"/>
    <w:rsid w:val="002C30A7"/>
    <w:rsid w:val="002C30C6"/>
    <w:rsid w:val="002C328F"/>
    <w:rsid w:val="002C3722"/>
    <w:rsid w:val="002C376B"/>
    <w:rsid w:val="002C37BB"/>
    <w:rsid w:val="002C390C"/>
    <w:rsid w:val="002C391F"/>
    <w:rsid w:val="002C392A"/>
    <w:rsid w:val="002C3AC3"/>
    <w:rsid w:val="002C3B82"/>
    <w:rsid w:val="002C3D02"/>
    <w:rsid w:val="002C4321"/>
    <w:rsid w:val="002C47E1"/>
    <w:rsid w:val="002C4834"/>
    <w:rsid w:val="002C4DD8"/>
    <w:rsid w:val="002C4E72"/>
    <w:rsid w:val="002C4E7F"/>
    <w:rsid w:val="002C509D"/>
    <w:rsid w:val="002C53EA"/>
    <w:rsid w:val="002C5459"/>
    <w:rsid w:val="002C5564"/>
    <w:rsid w:val="002C592D"/>
    <w:rsid w:val="002C6158"/>
    <w:rsid w:val="002C65E2"/>
    <w:rsid w:val="002C7044"/>
    <w:rsid w:val="002C746C"/>
    <w:rsid w:val="002C7623"/>
    <w:rsid w:val="002C77CB"/>
    <w:rsid w:val="002C78CE"/>
    <w:rsid w:val="002D0152"/>
    <w:rsid w:val="002D01A4"/>
    <w:rsid w:val="002D021D"/>
    <w:rsid w:val="002D0436"/>
    <w:rsid w:val="002D070A"/>
    <w:rsid w:val="002D084D"/>
    <w:rsid w:val="002D0CBF"/>
    <w:rsid w:val="002D1F35"/>
    <w:rsid w:val="002D20D2"/>
    <w:rsid w:val="002D2516"/>
    <w:rsid w:val="002D29CD"/>
    <w:rsid w:val="002D2D33"/>
    <w:rsid w:val="002D3213"/>
    <w:rsid w:val="002D346A"/>
    <w:rsid w:val="002D355F"/>
    <w:rsid w:val="002D3CA1"/>
    <w:rsid w:val="002D409F"/>
    <w:rsid w:val="002D45A3"/>
    <w:rsid w:val="002D4EDF"/>
    <w:rsid w:val="002D4F29"/>
    <w:rsid w:val="002D4F4E"/>
    <w:rsid w:val="002D4F72"/>
    <w:rsid w:val="002D5499"/>
    <w:rsid w:val="002D551A"/>
    <w:rsid w:val="002D600D"/>
    <w:rsid w:val="002D612F"/>
    <w:rsid w:val="002D65FD"/>
    <w:rsid w:val="002D6756"/>
    <w:rsid w:val="002D707F"/>
    <w:rsid w:val="002D70E5"/>
    <w:rsid w:val="002D73B1"/>
    <w:rsid w:val="002D74B4"/>
    <w:rsid w:val="002D7E8E"/>
    <w:rsid w:val="002E0089"/>
    <w:rsid w:val="002E0498"/>
    <w:rsid w:val="002E0A28"/>
    <w:rsid w:val="002E0BBB"/>
    <w:rsid w:val="002E0C15"/>
    <w:rsid w:val="002E0E51"/>
    <w:rsid w:val="002E1244"/>
    <w:rsid w:val="002E13AB"/>
    <w:rsid w:val="002E15A8"/>
    <w:rsid w:val="002E17D1"/>
    <w:rsid w:val="002E193A"/>
    <w:rsid w:val="002E19E7"/>
    <w:rsid w:val="002E1BBB"/>
    <w:rsid w:val="002E207A"/>
    <w:rsid w:val="002E22F7"/>
    <w:rsid w:val="002E2308"/>
    <w:rsid w:val="002E26B7"/>
    <w:rsid w:val="002E26C7"/>
    <w:rsid w:val="002E2BFB"/>
    <w:rsid w:val="002E2E86"/>
    <w:rsid w:val="002E2EEB"/>
    <w:rsid w:val="002E2FDF"/>
    <w:rsid w:val="002E36D4"/>
    <w:rsid w:val="002E40AA"/>
    <w:rsid w:val="002E4142"/>
    <w:rsid w:val="002E4379"/>
    <w:rsid w:val="002E456B"/>
    <w:rsid w:val="002E5277"/>
    <w:rsid w:val="002E5B68"/>
    <w:rsid w:val="002E603F"/>
    <w:rsid w:val="002E6205"/>
    <w:rsid w:val="002E63CA"/>
    <w:rsid w:val="002E677F"/>
    <w:rsid w:val="002E683A"/>
    <w:rsid w:val="002E6BD3"/>
    <w:rsid w:val="002E6CA7"/>
    <w:rsid w:val="002E70CB"/>
    <w:rsid w:val="002E71AC"/>
    <w:rsid w:val="002E7325"/>
    <w:rsid w:val="002E7377"/>
    <w:rsid w:val="002E73FA"/>
    <w:rsid w:val="002E751C"/>
    <w:rsid w:val="002E76DC"/>
    <w:rsid w:val="002E7718"/>
    <w:rsid w:val="002E7EBB"/>
    <w:rsid w:val="002F0196"/>
    <w:rsid w:val="002F0712"/>
    <w:rsid w:val="002F08AA"/>
    <w:rsid w:val="002F101A"/>
    <w:rsid w:val="002F1337"/>
    <w:rsid w:val="002F1655"/>
    <w:rsid w:val="002F1699"/>
    <w:rsid w:val="002F1B20"/>
    <w:rsid w:val="002F20FA"/>
    <w:rsid w:val="002F2132"/>
    <w:rsid w:val="002F23A8"/>
    <w:rsid w:val="002F2969"/>
    <w:rsid w:val="002F2C9A"/>
    <w:rsid w:val="002F339A"/>
    <w:rsid w:val="002F3741"/>
    <w:rsid w:val="002F42D9"/>
    <w:rsid w:val="002F43B8"/>
    <w:rsid w:val="002F4663"/>
    <w:rsid w:val="002F46E9"/>
    <w:rsid w:val="002F4C96"/>
    <w:rsid w:val="002F4E07"/>
    <w:rsid w:val="002F4E5D"/>
    <w:rsid w:val="002F58E2"/>
    <w:rsid w:val="002F5A17"/>
    <w:rsid w:val="002F5B53"/>
    <w:rsid w:val="002F5C8D"/>
    <w:rsid w:val="002F5F83"/>
    <w:rsid w:val="002F6095"/>
    <w:rsid w:val="002F612A"/>
    <w:rsid w:val="002F6815"/>
    <w:rsid w:val="002F6850"/>
    <w:rsid w:val="002F6970"/>
    <w:rsid w:val="002F6B87"/>
    <w:rsid w:val="002F6E86"/>
    <w:rsid w:val="002F6F1F"/>
    <w:rsid w:val="002F7456"/>
    <w:rsid w:val="002F7A12"/>
    <w:rsid w:val="002F7EFC"/>
    <w:rsid w:val="002F7FAA"/>
    <w:rsid w:val="00300066"/>
    <w:rsid w:val="00300136"/>
    <w:rsid w:val="0030051A"/>
    <w:rsid w:val="00300707"/>
    <w:rsid w:val="003009AD"/>
    <w:rsid w:val="00300D20"/>
    <w:rsid w:val="00300F69"/>
    <w:rsid w:val="00301364"/>
    <w:rsid w:val="003014DC"/>
    <w:rsid w:val="00301646"/>
    <w:rsid w:val="0030176F"/>
    <w:rsid w:val="00301AAA"/>
    <w:rsid w:val="00301D4B"/>
    <w:rsid w:val="0030227B"/>
    <w:rsid w:val="003027AB"/>
    <w:rsid w:val="00302F40"/>
    <w:rsid w:val="00303194"/>
    <w:rsid w:val="003037EB"/>
    <w:rsid w:val="00303BE0"/>
    <w:rsid w:val="00304245"/>
    <w:rsid w:val="003043D8"/>
    <w:rsid w:val="003045E5"/>
    <w:rsid w:val="00304944"/>
    <w:rsid w:val="0030498E"/>
    <w:rsid w:val="00305164"/>
    <w:rsid w:val="00305341"/>
    <w:rsid w:val="003054B1"/>
    <w:rsid w:val="003057BC"/>
    <w:rsid w:val="0030606D"/>
    <w:rsid w:val="00306405"/>
    <w:rsid w:val="00306531"/>
    <w:rsid w:val="0030670C"/>
    <w:rsid w:val="00306918"/>
    <w:rsid w:val="00306922"/>
    <w:rsid w:val="00306C02"/>
    <w:rsid w:val="00307003"/>
    <w:rsid w:val="00307C40"/>
    <w:rsid w:val="00307D9B"/>
    <w:rsid w:val="003107EB"/>
    <w:rsid w:val="00310B34"/>
    <w:rsid w:val="00310B94"/>
    <w:rsid w:val="00310D67"/>
    <w:rsid w:val="00311387"/>
    <w:rsid w:val="003117F2"/>
    <w:rsid w:val="00311A2A"/>
    <w:rsid w:val="00311D02"/>
    <w:rsid w:val="00311D60"/>
    <w:rsid w:val="0031202C"/>
    <w:rsid w:val="003122A0"/>
    <w:rsid w:val="003124B7"/>
    <w:rsid w:val="003124F7"/>
    <w:rsid w:val="00312510"/>
    <w:rsid w:val="0031251B"/>
    <w:rsid w:val="00312796"/>
    <w:rsid w:val="003128A8"/>
    <w:rsid w:val="00312DF5"/>
    <w:rsid w:val="00313056"/>
    <w:rsid w:val="003139CF"/>
    <w:rsid w:val="00314361"/>
    <w:rsid w:val="0031458D"/>
    <w:rsid w:val="0031464C"/>
    <w:rsid w:val="00314716"/>
    <w:rsid w:val="00315508"/>
    <w:rsid w:val="00315587"/>
    <w:rsid w:val="00315ADE"/>
    <w:rsid w:val="0031639B"/>
    <w:rsid w:val="00316416"/>
    <w:rsid w:val="003165B8"/>
    <w:rsid w:val="003166FF"/>
    <w:rsid w:val="00316777"/>
    <w:rsid w:val="00316978"/>
    <w:rsid w:val="00316D8C"/>
    <w:rsid w:val="00316FEF"/>
    <w:rsid w:val="00317999"/>
    <w:rsid w:val="003179B2"/>
    <w:rsid w:val="00317D5E"/>
    <w:rsid w:val="00317F04"/>
    <w:rsid w:val="00317F28"/>
    <w:rsid w:val="0032035D"/>
    <w:rsid w:val="00320630"/>
    <w:rsid w:val="003206BE"/>
    <w:rsid w:val="00320B2B"/>
    <w:rsid w:val="00320EB8"/>
    <w:rsid w:val="00320F53"/>
    <w:rsid w:val="00320FFF"/>
    <w:rsid w:val="00321079"/>
    <w:rsid w:val="0032111F"/>
    <w:rsid w:val="00321E34"/>
    <w:rsid w:val="003232A7"/>
    <w:rsid w:val="003232B5"/>
    <w:rsid w:val="0032349D"/>
    <w:rsid w:val="003236C8"/>
    <w:rsid w:val="0032389B"/>
    <w:rsid w:val="00324120"/>
    <w:rsid w:val="0032431C"/>
    <w:rsid w:val="003243B0"/>
    <w:rsid w:val="00324576"/>
    <w:rsid w:val="003247EB"/>
    <w:rsid w:val="0032497D"/>
    <w:rsid w:val="003249DF"/>
    <w:rsid w:val="00325122"/>
    <w:rsid w:val="003251A1"/>
    <w:rsid w:val="0032530E"/>
    <w:rsid w:val="003255C7"/>
    <w:rsid w:val="003256D7"/>
    <w:rsid w:val="00325A14"/>
    <w:rsid w:val="00325A55"/>
    <w:rsid w:val="00325AD5"/>
    <w:rsid w:val="00325D88"/>
    <w:rsid w:val="00325E81"/>
    <w:rsid w:val="00326407"/>
    <w:rsid w:val="003265BD"/>
    <w:rsid w:val="003265C9"/>
    <w:rsid w:val="003268D9"/>
    <w:rsid w:val="00326A9B"/>
    <w:rsid w:val="00326BBD"/>
    <w:rsid w:val="00326D6D"/>
    <w:rsid w:val="00326E27"/>
    <w:rsid w:val="00326E5E"/>
    <w:rsid w:val="00326FD4"/>
    <w:rsid w:val="00327076"/>
    <w:rsid w:val="00327615"/>
    <w:rsid w:val="00327CE6"/>
    <w:rsid w:val="00330501"/>
    <w:rsid w:val="003306E1"/>
    <w:rsid w:val="00331949"/>
    <w:rsid w:val="00331B49"/>
    <w:rsid w:val="00331C65"/>
    <w:rsid w:val="00331F94"/>
    <w:rsid w:val="003321C5"/>
    <w:rsid w:val="00332226"/>
    <w:rsid w:val="003325FE"/>
    <w:rsid w:val="0033297C"/>
    <w:rsid w:val="003329CC"/>
    <w:rsid w:val="00332E31"/>
    <w:rsid w:val="0033309B"/>
    <w:rsid w:val="0033314A"/>
    <w:rsid w:val="00333BCB"/>
    <w:rsid w:val="00333F79"/>
    <w:rsid w:val="00333FE1"/>
    <w:rsid w:val="003342F2"/>
    <w:rsid w:val="003345F8"/>
    <w:rsid w:val="00334D44"/>
    <w:rsid w:val="00334D98"/>
    <w:rsid w:val="00334DE0"/>
    <w:rsid w:val="0033513D"/>
    <w:rsid w:val="003351F0"/>
    <w:rsid w:val="0033588E"/>
    <w:rsid w:val="00335A27"/>
    <w:rsid w:val="00335D2E"/>
    <w:rsid w:val="00335D90"/>
    <w:rsid w:val="00336749"/>
    <w:rsid w:val="00336C8D"/>
    <w:rsid w:val="0033741C"/>
    <w:rsid w:val="00337C8D"/>
    <w:rsid w:val="00337CE2"/>
    <w:rsid w:val="003402C6"/>
    <w:rsid w:val="0034071E"/>
    <w:rsid w:val="00340C51"/>
    <w:rsid w:val="0034106E"/>
    <w:rsid w:val="003414A8"/>
    <w:rsid w:val="00341980"/>
    <w:rsid w:val="00341F04"/>
    <w:rsid w:val="0034233B"/>
    <w:rsid w:val="00342F34"/>
    <w:rsid w:val="003431D5"/>
    <w:rsid w:val="00343279"/>
    <w:rsid w:val="0034346D"/>
    <w:rsid w:val="0034367B"/>
    <w:rsid w:val="00343915"/>
    <w:rsid w:val="003439D5"/>
    <w:rsid w:val="00343D16"/>
    <w:rsid w:val="00343DE2"/>
    <w:rsid w:val="003441B8"/>
    <w:rsid w:val="0034466D"/>
    <w:rsid w:val="0034474A"/>
    <w:rsid w:val="0034483B"/>
    <w:rsid w:val="0034537C"/>
    <w:rsid w:val="00345765"/>
    <w:rsid w:val="0034587C"/>
    <w:rsid w:val="003462A3"/>
    <w:rsid w:val="0034676D"/>
    <w:rsid w:val="00346B96"/>
    <w:rsid w:val="003476B3"/>
    <w:rsid w:val="0034796B"/>
    <w:rsid w:val="00347A0E"/>
    <w:rsid w:val="00347DDC"/>
    <w:rsid w:val="00347E8A"/>
    <w:rsid w:val="00350144"/>
    <w:rsid w:val="003503AF"/>
    <w:rsid w:val="00350525"/>
    <w:rsid w:val="00350600"/>
    <w:rsid w:val="00350862"/>
    <w:rsid w:val="00350D73"/>
    <w:rsid w:val="00351109"/>
    <w:rsid w:val="00351453"/>
    <w:rsid w:val="00351A64"/>
    <w:rsid w:val="00352049"/>
    <w:rsid w:val="0035211C"/>
    <w:rsid w:val="003522A8"/>
    <w:rsid w:val="0035232C"/>
    <w:rsid w:val="00352374"/>
    <w:rsid w:val="003527CF"/>
    <w:rsid w:val="0035292E"/>
    <w:rsid w:val="00352B45"/>
    <w:rsid w:val="00352CE0"/>
    <w:rsid w:val="003531CD"/>
    <w:rsid w:val="00353209"/>
    <w:rsid w:val="00353D37"/>
    <w:rsid w:val="003542B1"/>
    <w:rsid w:val="00354316"/>
    <w:rsid w:val="00354446"/>
    <w:rsid w:val="0035482A"/>
    <w:rsid w:val="00354AE4"/>
    <w:rsid w:val="00354DD1"/>
    <w:rsid w:val="003553FC"/>
    <w:rsid w:val="003556A0"/>
    <w:rsid w:val="00355FAD"/>
    <w:rsid w:val="003560DD"/>
    <w:rsid w:val="0035647A"/>
    <w:rsid w:val="003564FA"/>
    <w:rsid w:val="00356662"/>
    <w:rsid w:val="00356815"/>
    <w:rsid w:val="00356951"/>
    <w:rsid w:val="00356DA2"/>
    <w:rsid w:val="00357154"/>
    <w:rsid w:val="00357B91"/>
    <w:rsid w:val="00357BFE"/>
    <w:rsid w:val="00357E0B"/>
    <w:rsid w:val="00357F70"/>
    <w:rsid w:val="003603E6"/>
    <w:rsid w:val="003606D6"/>
    <w:rsid w:val="00360C22"/>
    <w:rsid w:val="00360EEF"/>
    <w:rsid w:val="003614F7"/>
    <w:rsid w:val="00361604"/>
    <w:rsid w:val="003617AA"/>
    <w:rsid w:val="003618DD"/>
    <w:rsid w:val="00361AA7"/>
    <w:rsid w:val="00361B25"/>
    <w:rsid w:val="00361F43"/>
    <w:rsid w:val="003621DE"/>
    <w:rsid w:val="00362550"/>
    <w:rsid w:val="00362642"/>
    <w:rsid w:val="00362967"/>
    <w:rsid w:val="00362AA8"/>
    <w:rsid w:val="00362E50"/>
    <w:rsid w:val="003630AF"/>
    <w:rsid w:val="003635BB"/>
    <w:rsid w:val="0036379B"/>
    <w:rsid w:val="003637B0"/>
    <w:rsid w:val="00363880"/>
    <w:rsid w:val="003639FC"/>
    <w:rsid w:val="00363CBA"/>
    <w:rsid w:val="00363D57"/>
    <w:rsid w:val="00363D73"/>
    <w:rsid w:val="00363EF0"/>
    <w:rsid w:val="00364133"/>
    <w:rsid w:val="00364BCE"/>
    <w:rsid w:val="00364D0A"/>
    <w:rsid w:val="00364EE2"/>
    <w:rsid w:val="003655C2"/>
    <w:rsid w:val="00365837"/>
    <w:rsid w:val="00365E08"/>
    <w:rsid w:val="00365E11"/>
    <w:rsid w:val="00365FBF"/>
    <w:rsid w:val="00366438"/>
    <w:rsid w:val="003665CD"/>
    <w:rsid w:val="003667E2"/>
    <w:rsid w:val="00366CEC"/>
    <w:rsid w:val="003672B8"/>
    <w:rsid w:val="003672F4"/>
    <w:rsid w:val="003674F4"/>
    <w:rsid w:val="00367727"/>
    <w:rsid w:val="00367836"/>
    <w:rsid w:val="00367C57"/>
    <w:rsid w:val="00367D23"/>
    <w:rsid w:val="00367D51"/>
    <w:rsid w:val="00367EB2"/>
    <w:rsid w:val="0037022A"/>
    <w:rsid w:val="0037022E"/>
    <w:rsid w:val="00370397"/>
    <w:rsid w:val="0037087A"/>
    <w:rsid w:val="003708AF"/>
    <w:rsid w:val="003709AE"/>
    <w:rsid w:val="00370B5B"/>
    <w:rsid w:val="00370CF6"/>
    <w:rsid w:val="00370EC9"/>
    <w:rsid w:val="0037101B"/>
    <w:rsid w:val="00371805"/>
    <w:rsid w:val="00371C05"/>
    <w:rsid w:val="003721B7"/>
    <w:rsid w:val="00372394"/>
    <w:rsid w:val="003723D6"/>
    <w:rsid w:val="00372926"/>
    <w:rsid w:val="00372B1E"/>
    <w:rsid w:val="00372C93"/>
    <w:rsid w:val="00372D8E"/>
    <w:rsid w:val="00372E98"/>
    <w:rsid w:val="00372F2B"/>
    <w:rsid w:val="00372F9A"/>
    <w:rsid w:val="00373260"/>
    <w:rsid w:val="003734A1"/>
    <w:rsid w:val="0037366C"/>
    <w:rsid w:val="00373888"/>
    <w:rsid w:val="00373CA6"/>
    <w:rsid w:val="00373ED0"/>
    <w:rsid w:val="0037441E"/>
    <w:rsid w:val="00374A5C"/>
    <w:rsid w:val="00375209"/>
    <w:rsid w:val="003752F4"/>
    <w:rsid w:val="003756B9"/>
    <w:rsid w:val="00375815"/>
    <w:rsid w:val="003759DB"/>
    <w:rsid w:val="00375AC2"/>
    <w:rsid w:val="00375E03"/>
    <w:rsid w:val="00375F3C"/>
    <w:rsid w:val="00376238"/>
    <w:rsid w:val="00376386"/>
    <w:rsid w:val="00376A13"/>
    <w:rsid w:val="0037701C"/>
    <w:rsid w:val="0037757E"/>
    <w:rsid w:val="003778BF"/>
    <w:rsid w:val="00377968"/>
    <w:rsid w:val="003779B2"/>
    <w:rsid w:val="0038015B"/>
    <w:rsid w:val="003805C1"/>
    <w:rsid w:val="00380A85"/>
    <w:rsid w:val="00380CAB"/>
    <w:rsid w:val="00381166"/>
    <w:rsid w:val="003812E2"/>
    <w:rsid w:val="003816AB"/>
    <w:rsid w:val="003819D5"/>
    <w:rsid w:val="0038213C"/>
    <w:rsid w:val="0038237B"/>
    <w:rsid w:val="003824DD"/>
    <w:rsid w:val="003825CC"/>
    <w:rsid w:val="0038282A"/>
    <w:rsid w:val="003829D0"/>
    <w:rsid w:val="00382E2E"/>
    <w:rsid w:val="00383040"/>
    <w:rsid w:val="00383512"/>
    <w:rsid w:val="0038353E"/>
    <w:rsid w:val="003836EA"/>
    <w:rsid w:val="0038377C"/>
    <w:rsid w:val="00383984"/>
    <w:rsid w:val="00383A58"/>
    <w:rsid w:val="00383F47"/>
    <w:rsid w:val="00384622"/>
    <w:rsid w:val="0038474D"/>
    <w:rsid w:val="00384BD9"/>
    <w:rsid w:val="00384DDD"/>
    <w:rsid w:val="0038520D"/>
    <w:rsid w:val="003853D7"/>
    <w:rsid w:val="00385C1D"/>
    <w:rsid w:val="00385EE4"/>
    <w:rsid w:val="0038605C"/>
    <w:rsid w:val="0038624F"/>
    <w:rsid w:val="0038637F"/>
    <w:rsid w:val="00386898"/>
    <w:rsid w:val="00386B08"/>
    <w:rsid w:val="00386B22"/>
    <w:rsid w:val="00386CD6"/>
    <w:rsid w:val="00386ECA"/>
    <w:rsid w:val="003877DF"/>
    <w:rsid w:val="00387B4B"/>
    <w:rsid w:val="00387F7A"/>
    <w:rsid w:val="003903F3"/>
    <w:rsid w:val="003909C6"/>
    <w:rsid w:val="00390AE4"/>
    <w:rsid w:val="00390F91"/>
    <w:rsid w:val="0039137A"/>
    <w:rsid w:val="0039138D"/>
    <w:rsid w:val="003918D6"/>
    <w:rsid w:val="00391DC9"/>
    <w:rsid w:val="003925A8"/>
    <w:rsid w:val="00392682"/>
    <w:rsid w:val="003927F2"/>
    <w:rsid w:val="00392888"/>
    <w:rsid w:val="00392FA2"/>
    <w:rsid w:val="003933E0"/>
    <w:rsid w:val="003933E2"/>
    <w:rsid w:val="003933EB"/>
    <w:rsid w:val="00393B61"/>
    <w:rsid w:val="0039400A"/>
    <w:rsid w:val="003941A1"/>
    <w:rsid w:val="003942F4"/>
    <w:rsid w:val="003945B6"/>
    <w:rsid w:val="003948A4"/>
    <w:rsid w:val="00394F23"/>
    <w:rsid w:val="00394FE6"/>
    <w:rsid w:val="0039554A"/>
    <w:rsid w:val="00395553"/>
    <w:rsid w:val="0039580D"/>
    <w:rsid w:val="003958C9"/>
    <w:rsid w:val="00395A5A"/>
    <w:rsid w:val="00396286"/>
    <w:rsid w:val="00396430"/>
    <w:rsid w:val="00396534"/>
    <w:rsid w:val="00396A11"/>
    <w:rsid w:val="00396EBA"/>
    <w:rsid w:val="00397438"/>
    <w:rsid w:val="003976BF"/>
    <w:rsid w:val="003979F8"/>
    <w:rsid w:val="00397AFB"/>
    <w:rsid w:val="003A02F4"/>
    <w:rsid w:val="003A05C1"/>
    <w:rsid w:val="003A0645"/>
    <w:rsid w:val="003A06A8"/>
    <w:rsid w:val="003A07E8"/>
    <w:rsid w:val="003A1110"/>
    <w:rsid w:val="003A15EC"/>
    <w:rsid w:val="003A1B78"/>
    <w:rsid w:val="003A20F5"/>
    <w:rsid w:val="003A2187"/>
    <w:rsid w:val="003A250D"/>
    <w:rsid w:val="003A2586"/>
    <w:rsid w:val="003A2F94"/>
    <w:rsid w:val="003A3000"/>
    <w:rsid w:val="003A33B5"/>
    <w:rsid w:val="003A38E3"/>
    <w:rsid w:val="003A3AE2"/>
    <w:rsid w:val="003A3BA9"/>
    <w:rsid w:val="003A3CE3"/>
    <w:rsid w:val="003A3DF1"/>
    <w:rsid w:val="003A3FB8"/>
    <w:rsid w:val="003A41E8"/>
    <w:rsid w:val="003A4373"/>
    <w:rsid w:val="003A4D9C"/>
    <w:rsid w:val="003A505D"/>
    <w:rsid w:val="003A542D"/>
    <w:rsid w:val="003A543E"/>
    <w:rsid w:val="003A54C1"/>
    <w:rsid w:val="003A5608"/>
    <w:rsid w:val="003A59F9"/>
    <w:rsid w:val="003A5A66"/>
    <w:rsid w:val="003A5CEE"/>
    <w:rsid w:val="003A5D14"/>
    <w:rsid w:val="003A5FCD"/>
    <w:rsid w:val="003A62AB"/>
    <w:rsid w:val="003A65B3"/>
    <w:rsid w:val="003A694B"/>
    <w:rsid w:val="003A6990"/>
    <w:rsid w:val="003A6AB5"/>
    <w:rsid w:val="003A6BC5"/>
    <w:rsid w:val="003A71EF"/>
    <w:rsid w:val="003A7501"/>
    <w:rsid w:val="003A78A1"/>
    <w:rsid w:val="003A79E2"/>
    <w:rsid w:val="003A7B91"/>
    <w:rsid w:val="003B0764"/>
    <w:rsid w:val="003B0942"/>
    <w:rsid w:val="003B0CA1"/>
    <w:rsid w:val="003B100D"/>
    <w:rsid w:val="003B12F2"/>
    <w:rsid w:val="003B137C"/>
    <w:rsid w:val="003B159B"/>
    <w:rsid w:val="003B16AA"/>
    <w:rsid w:val="003B186F"/>
    <w:rsid w:val="003B1879"/>
    <w:rsid w:val="003B18E0"/>
    <w:rsid w:val="003B19B9"/>
    <w:rsid w:val="003B1A9B"/>
    <w:rsid w:val="003B1AB6"/>
    <w:rsid w:val="003B1F27"/>
    <w:rsid w:val="003B26CD"/>
    <w:rsid w:val="003B2861"/>
    <w:rsid w:val="003B2935"/>
    <w:rsid w:val="003B2D09"/>
    <w:rsid w:val="003B2D98"/>
    <w:rsid w:val="003B2EE6"/>
    <w:rsid w:val="003B3004"/>
    <w:rsid w:val="003B323B"/>
    <w:rsid w:val="003B324C"/>
    <w:rsid w:val="003B34B2"/>
    <w:rsid w:val="003B37AF"/>
    <w:rsid w:val="003B3995"/>
    <w:rsid w:val="003B3B74"/>
    <w:rsid w:val="003B3E67"/>
    <w:rsid w:val="003B3E8F"/>
    <w:rsid w:val="003B3EF0"/>
    <w:rsid w:val="003B4113"/>
    <w:rsid w:val="003B47B4"/>
    <w:rsid w:val="003B4CE3"/>
    <w:rsid w:val="003B4E13"/>
    <w:rsid w:val="003B4F1C"/>
    <w:rsid w:val="003B511D"/>
    <w:rsid w:val="003B529F"/>
    <w:rsid w:val="003B54A3"/>
    <w:rsid w:val="003B54F6"/>
    <w:rsid w:val="003B561F"/>
    <w:rsid w:val="003B5757"/>
    <w:rsid w:val="003B585F"/>
    <w:rsid w:val="003B595C"/>
    <w:rsid w:val="003B5D9A"/>
    <w:rsid w:val="003B5E27"/>
    <w:rsid w:val="003B61BF"/>
    <w:rsid w:val="003B6213"/>
    <w:rsid w:val="003B6497"/>
    <w:rsid w:val="003B690B"/>
    <w:rsid w:val="003B692E"/>
    <w:rsid w:val="003B6B75"/>
    <w:rsid w:val="003B717D"/>
    <w:rsid w:val="003B7900"/>
    <w:rsid w:val="003B7B6F"/>
    <w:rsid w:val="003B7CB5"/>
    <w:rsid w:val="003C035B"/>
    <w:rsid w:val="003C03CA"/>
    <w:rsid w:val="003C0A56"/>
    <w:rsid w:val="003C0C80"/>
    <w:rsid w:val="003C124E"/>
    <w:rsid w:val="003C18B0"/>
    <w:rsid w:val="003C18C9"/>
    <w:rsid w:val="003C2403"/>
    <w:rsid w:val="003C2459"/>
    <w:rsid w:val="003C24E3"/>
    <w:rsid w:val="003C260A"/>
    <w:rsid w:val="003C299E"/>
    <w:rsid w:val="003C2C93"/>
    <w:rsid w:val="003C2CAC"/>
    <w:rsid w:val="003C2D7C"/>
    <w:rsid w:val="003C2E30"/>
    <w:rsid w:val="003C2FFD"/>
    <w:rsid w:val="003C3106"/>
    <w:rsid w:val="003C3432"/>
    <w:rsid w:val="003C3586"/>
    <w:rsid w:val="003C3995"/>
    <w:rsid w:val="003C3B51"/>
    <w:rsid w:val="003C3CD1"/>
    <w:rsid w:val="003C3D8E"/>
    <w:rsid w:val="003C47C6"/>
    <w:rsid w:val="003C4A21"/>
    <w:rsid w:val="003C4B56"/>
    <w:rsid w:val="003C4BD3"/>
    <w:rsid w:val="003C4BE1"/>
    <w:rsid w:val="003C4E31"/>
    <w:rsid w:val="003C4FDF"/>
    <w:rsid w:val="003C500E"/>
    <w:rsid w:val="003C519A"/>
    <w:rsid w:val="003C53CE"/>
    <w:rsid w:val="003C545E"/>
    <w:rsid w:val="003C55A9"/>
    <w:rsid w:val="003C5689"/>
    <w:rsid w:val="003C5829"/>
    <w:rsid w:val="003C5EDC"/>
    <w:rsid w:val="003C6147"/>
    <w:rsid w:val="003C64E0"/>
    <w:rsid w:val="003C6856"/>
    <w:rsid w:val="003C6BF2"/>
    <w:rsid w:val="003C6F67"/>
    <w:rsid w:val="003C719B"/>
    <w:rsid w:val="003C74EE"/>
    <w:rsid w:val="003C76D2"/>
    <w:rsid w:val="003C788B"/>
    <w:rsid w:val="003C7917"/>
    <w:rsid w:val="003D01A4"/>
    <w:rsid w:val="003D02B4"/>
    <w:rsid w:val="003D04B6"/>
    <w:rsid w:val="003D0C63"/>
    <w:rsid w:val="003D0CB9"/>
    <w:rsid w:val="003D0DA3"/>
    <w:rsid w:val="003D11C5"/>
    <w:rsid w:val="003D14E1"/>
    <w:rsid w:val="003D1576"/>
    <w:rsid w:val="003D17E5"/>
    <w:rsid w:val="003D201C"/>
    <w:rsid w:val="003D2053"/>
    <w:rsid w:val="003D229B"/>
    <w:rsid w:val="003D25B3"/>
    <w:rsid w:val="003D2CF4"/>
    <w:rsid w:val="003D2D62"/>
    <w:rsid w:val="003D2E9D"/>
    <w:rsid w:val="003D3159"/>
    <w:rsid w:val="003D33AB"/>
    <w:rsid w:val="003D43DD"/>
    <w:rsid w:val="003D444E"/>
    <w:rsid w:val="003D471F"/>
    <w:rsid w:val="003D4C05"/>
    <w:rsid w:val="003D4E93"/>
    <w:rsid w:val="003D5162"/>
    <w:rsid w:val="003D5197"/>
    <w:rsid w:val="003D5375"/>
    <w:rsid w:val="003D5742"/>
    <w:rsid w:val="003D63A7"/>
    <w:rsid w:val="003D6A47"/>
    <w:rsid w:val="003D6C56"/>
    <w:rsid w:val="003D73FE"/>
    <w:rsid w:val="003D760C"/>
    <w:rsid w:val="003D7617"/>
    <w:rsid w:val="003D7907"/>
    <w:rsid w:val="003D7C87"/>
    <w:rsid w:val="003D7D23"/>
    <w:rsid w:val="003D7E27"/>
    <w:rsid w:val="003D7EA9"/>
    <w:rsid w:val="003E0679"/>
    <w:rsid w:val="003E0D8D"/>
    <w:rsid w:val="003E144B"/>
    <w:rsid w:val="003E14A1"/>
    <w:rsid w:val="003E1505"/>
    <w:rsid w:val="003E20B5"/>
    <w:rsid w:val="003E2134"/>
    <w:rsid w:val="003E2339"/>
    <w:rsid w:val="003E2577"/>
    <w:rsid w:val="003E265C"/>
    <w:rsid w:val="003E318B"/>
    <w:rsid w:val="003E3257"/>
    <w:rsid w:val="003E347E"/>
    <w:rsid w:val="003E34EE"/>
    <w:rsid w:val="003E3826"/>
    <w:rsid w:val="003E3877"/>
    <w:rsid w:val="003E3A45"/>
    <w:rsid w:val="003E3C90"/>
    <w:rsid w:val="003E4214"/>
    <w:rsid w:val="003E4224"/>
    <w:rsid w:val="003E42FE"/>
    <w:rsid w:val="003E4421"/>
    <w:rsid w:val="003E454F"/>
    <w:rsid w:val="003E4654"/>
    <w:rsid w:val="003E4662"/>
    <w:rsid w:val="003E46A4"/>
    <w:rsid w:val="003E4A4D"/>
    <w:rsid w:val="003E4EEF"/>
    <w:rsid w:val="003E5028"/>
    <w:rsid w:val="003E57FE"/>
    <w:rsid w:val="003E58AE"/>
    <w:rsid w:val="003E5A3F"/>
    <w:rsid w:val="003E5A4A"/>
    <w:rsid w:val="003E61B9"/>
    <w:rsid w:val="003E6380"/>
    <w:rsid w:val="003E652A"/>
    <w:rsid w:val="003E6BD8"/>
    <w:rsid w:val="003E6CB2"/>
    <w:rsid w:val="003E6DAC"/>
    <w:rsid w:val="003E70E6"/>
    <w:rsid w:val="003E72C3"/>
    <w:rsid w:val="003E746B"/>
    <w:rsid w:val="003E75B3"/>
    <w:rsid w:val="003E782C"/>
    <w:rsid w:val="003E795D"/>
    <w:rsid w:val="003E7ACB"/>
    <w:rsid w:val="003E7B43"/>
    <w:rsid w:val="003E7CBB"/>
    <w:rsid w:val="003F0480"/>
    <w:rsid w:val="003F0708"/>
    <w:rsid w:val="003F07ED"/>
    <w:rsid w:val="003F0952"/>
    <w:rsid w:val="003F0A41"/>
    <w:rsid w:val="003F0A82"/>
    <w:rsid w:val="003F0D35"/>
    <w:rsid w:val="003F0E62"/>
    <w:rsid w:val="003F0E83"/>
    <w:rsid w:val="003F115B"/>
    <w:rsid w:val="003F1316"/>
    <w:rsid w:val="003F14E0"/>
    <w:rsid w:val="003F19CC"/>
    <w:rsid w:val="003F19D8"/>
    <w:rsid w:val="003F1AC6"/>
    <w:rsid w:val="003F1BA0"/>
    <w:rsid w:val="003F1BA4"/>
    <w:rsid w:val="003F1FE0"/>
    <w:rsid w:val="003F2293"/>
    <w:rsid w:val="003F2663"/>
    <w:rsid w:val="003F3725"/>
    <w:rsid w:val="003F38D8"/>
    <w:rsid w:val="003F3F9C"/>
    <w:rsid w:val="003F4155"/>
    <w:rsid w:val="003F47DD"/>
    <w:rsid w:val="003F4C29"/>
    <w:rsid w:val="003F4CF9"/>
    <w:rsid w:val="003F4E89"/>
    <w:rsid w:val="003F529B"/>
    <w:rsid w:val="003F5AF1"/>
    <w:rsid w:val="003F5C51"/>
    <w:rsid w:val="003F5D50"/>
    <w:rsid w:val="003F5E64"/>
    <w:rsid w:val="003F5EF7"/>
    <w:rsid w:val="003F5F61"/>
    <w:rsid w:val="003F62F9"/>
    <w:rsid w:val="003F6CC7"/>
    <w:rsid w:val="003F6DB4"/>
    <w:rsid w:val="003F7082"/>
    <w:rsid w:val="003F76F6"/>
    <w:rsid w:val="003F7840"/>
    <w:rsid w:val="003F78F9"/>
    <w:rsid w:val="003F792F"/>
    <w:rsid w:val="003F7D3C"/>
    <w:rsid w:val="003F7EE2"/>
    <w:rsid w:val="003F7F6D"/>
    <w:rsid w:val="00400264"/>
    <w:rsid w:val="004005E5"/>
    <w:rsid w:val="004006E3"/>
    <w:rsid w:val="004009E7"/>
    <w:rsid w:val="00400FA2"/>
    <w:rsid w:val="0040113D"/>
    <w:rsid w:val="0040140D"/>
    <w:rsid w:val="004014ED"/>
    <w:rsid w:val="0040165E"/>
    <w:rsid w:val="0040195D"/>
    <w:rsid w:val="00401BA6"/>
    <w:rsid w:val="00401E8F"/>
    <w:rsid w:val="00401FFE"/>
    <w:rsid w:val="00402006"/>
    <w:rsid w:val="00402AA3"/>
    <w:rsid w:val="00402C0E"/>
    <w:rsid w:val="00402DC5"/>
    <w:rsid w:val="00402EE5"/>
    <w:rsid w:val="004030F6"/>
    <w:rsid w:val="004032B5"/>
    <w:rsid w:val="00403776"/>
    <w:rsid w:val="004039D9"/>
    <w:rsid w:val="00403A38"/>
    <w:rsid w:val="00403C52"/>
    <w:rsid w:val="00403D64"/>
    <w:rsid w:val="00403ECD"/>
    <w:rsid w:val="0040404F"/>
    <w:rsid w:val="00404180"/>
    <w:rsid w:val="0040426A"/>
    <w:rsid w:val="0040436F"/>
    <w:rsid w:val="004045B8"/>
    <w:rsid w:val="004046AF"/>
    <w:rsid w:val="004048E2"/>
    <w:rsid w:val="00404B2F"/>
    <w:rsid w:val="00405897"/>
    <w:rsid w:val="00405C53"/>
    <w:rsid w:val="00405F30"/>
    <w:rsid w:val="00406029"/>
    <w:rsid w:val="00406698"/>
    <w:rsid w:val="00406B1F"/>
    <w:rsid w:val="00406B22"/>
    <w:rsid w:val="00406CA6"/>
    <w:rsid w:val="00406D19"/>
    <w:rsid w:val="00406E1D"/>
    <w:rsid w:val="00406FC8"/>
    <w:rsid w:val="00407160"/>
    <w:rsid w:val="00407376"/>
    <w:rsid w:val="0040758E"/>
    <w:rsid w:val="0040764E"/>
    <w:rsid w:val="00407773"/>
    <w:rsid w:val="004077AF"/>
    <w:rsid w:val="00407B89"/>
    <w:rsid w:val="00407F1E"/>
    <w:rsid w:val="00407F30"/>
    <w:rsid w:val="00410033"/>
    <w:rsid w:val="00410045"/>
    <w:rsid w:val="0041012A"/>
    <w:rsid w:val="00410C19"/>
    <w:rsid w:val="0041103D"/>
    <w:rsid w:val="00411220"/>
    <w:rsid w:val="00411AE7"/>
    <w:rsid w:val="00411B7B"/>
    <w:rsid w:val="00411E66"/>
    <w:rsid w:val="004121A4"/>
    <w:rsid w:val="0041236D"/>
    <w:rsid w:val="004125EE"/>
    <w:rsid w:val="004129FA"/>
    <w:rsid w:val="00412B18"/>
    <w:rsid w:val="00412CA9"/>
    <w:rsid w:val="00412CC6"/>
    <w:rsid w:val="00412E63"/>
    <w:rsid w:val="0041312A"/>
    <w:rsid w:val="00413507"/>
    <w:rsid w:val="00413CAF"/>
    <w:rsid w:val="004140E9"/>
    <w:rsid w:val="00414267"/>
    <w:rsid w:val="00414637"/>
    <w:rsid w:val="004149B1"/>
    <w:rsid w:val="00414BEF"/>
    <w:rsid w:val="00415028"/>
    <w:rsid w:val="00415163"/>
    <w:rsid w:val="00415408"/>
    <w:rsid w:val="0041570A"/>
    <w:rsid w:val="00415A7F"/>
    <w:rsid w:val="00415E9C"/>
    <w:rsid w:val="00416707"/>
    <w:rsid w:val="0041683A"/>
    <w:rsid w:val="00416977"/>
    <w:rsid w:val="00416D7B"/>
    <w:rsid w:val="00416E4D"/>
    <w:rsid w:val="004173AF"/>
    <w:rsid w:val="0041746E"/>
    <w:rsid w:val="004174B1"/>
    <w:rsid w:val="004174EE"/>
    <w:rsid w:val="00417589"/>
    <w:rsid w:val="00417A66"/>
    <w:rsid w:val="00417AD6"/>
    <w:rsid w:val="00417D71"/>
    <w:rsid w:val="00417FA2"/>
    <w:rsid w:val="00420048"/>
    <w:rsid w:val="004202FA"/>
    <w:rsid w:val="00420484"/>
    <w:rsid w:val="004209E6"/>
    <w:rsid w:val="00420CA1"/>
    <w:rsid w:val="0042133E"/>
    <w:rsid w:val="0042157B"/>
    <w:rsid w:val="0042173A"/>
    <w:rsid w:val="00421866"/>
    <w:rsid w:val="00421C06"/>
    <w:rsid w:val="00421F4E"/>
    <w:rsid w:val="0042216E"/>
    <w:rsid w:val="00422507"/>
    <w:rsid w:val="004226F6"/>
    <w:rsid w:val="00422BB9"/>
    <w:rsid w:val="004238FF"/>
    <w:rsid w:val="004239C2"/>
    <w:rsid w:val="00423C22"/>
    <w:rsid w:val="0042426A"/>
    <w:rsid w:val="004243A7"/>
    <w:rsid w:val="00424648"/>
    <w:rsid w:val="004246EC"/>
    <w:rsid w:val="0042492B"/>
    <w:rsid w:val="004249AD"/>
    <w:rsid w:val="00424E14"/>
    <w:rsid w:val="004256BE"/>
    <w:rsid w:val="0042579C"/>
    <w:rsid w:val="00425DAC"/>
    <w:rsid w:val="004260E5"/>
    <w:rsid w:val="0042618B"/>
    <w:rsid w:val="0042639E"/>
    <w:rsid w:val="00426BA3"/>
    <w:rsid w:val="004271E0"/>
    <w:rsid w:val="0042759C"/>
    <w:rsid w:val="004276B1"/>
    <w:rsid w:val="00427957"/>
    <w:rsid w:val="00430983"/>
    <w:rsid w:val="00430AF2"/>
    <w:rsid w:val="00430B91"/>
    <w:rsid w:val="00431288"/>
    <w:rsid w:val="00431FB5"/>
    <w:rsid w:val="0043226C"/>
    <w:rsid w:val="0043228E"/>
    <w:rsid w:val="00432434"/>
    <w:rsid w:val="00432469"/>
    <w:rsid w:val="004324DE"/>
    <w:rsid w:val="0043257E"/>
    <w:rsid w:val="00432625"/>
    <w:rsid w:val="0043264D"/>
    <w:rsid w:val="00432765"/>
    <w:rsid w:val="00432AEE"/>
    <w:rsid w:val="00433094"/>
    <w:rsid w:val="00433273"/>
    <w:rsid w:val="0043345A"/>
    <w:rsid w:val="00433596"/>
    <w:rsid w:val="004336D6"/>
    <w:rsid w:val="00433786"/>
    <w:rsid w:val="00433D83"/>
    <w:rsid w:val="00433FB7"/>
    <w:rsid w:val="004344A8"/>
    <w:rsid w:val="0043451B"/>
    <w:rsid w:val="00434AAD"/>
    <w:rsid w:val="00434B04"/>
    <w:rsid w:val="00434DC8"/>
    <w:rsid w:val="004351A6"/>
    <w:rsid w:val="00435492"/>
    <w:rsid w:val="004355AB"/>
    <w:rsid w:val="004358D8"/>
    <w:rsid w:val="00435A6E"/>
    <w:rsid w:val="00435A82"/>
    <w:rsid w:val="00436072"/>
    <w:rsid w:val="0043622E"/>
    <w:rsid w:val="004362BE"/>
    <w:rsid w:val="00436416"/>
    <w:rsid w:val="00436E07"/>
    <w:rsid w:val="00437218"/>
    <w:rsid w:val="0043728B"/>
    <w:rsid w:val="0043760D"/>
    <w:rsid w:val="004376E9"/>
    <w:rsid w:val="00437725"/>
    <w:rsid w:val="00437CBC"/>
    <w:rsid w:val="00437FF4"/>
    <w:rsid w:val="004400BC"/>
    <w:rsid w:val="0044082F"/>
    <w:rsid w:val="00440E2E"/>
    <w:rsid w:val="00440E3F"/>
    <w:rsid w:val="00440E50"/>
    <w:rsid w:val="004411C7"/>
    <w:rsid w:val="00441AB2"/>
    <w:rsid w:val="004422EA"/>
    <w:rsid w:val="00442B42"/>
    <w:rsid w:val="00442CBB"/>
    <w:rsid w:val="004437DB"/>
    <w:rsid w:val="00443A38"/>
    <w:rsid w:val="00443F3C"/>
    <w:rsid w:val="00443F58"/>
    <w:rsid w:val="00444276"/>
    <w:rsid w:val="004442EE"/>
    <w:rsid w:val="004444BA"/>
    <w:rsid w:val="004448EE"/>
    <w:rsid w:val="0044492F"/>
    <w:rsid w:val="004449EE"/>
    <w:rsid w:val="00444CDB"/>
    <w:rsid w:val="0044528D"/>
    <w:rsid w:val="00445312"/>
    <w:rsid w:val="0044535F"/>
    <w:rsid w:val="00445AAE"/>
    <w:rsid w:val="0044615A"/>
    <w:rsid w:val="0044619C"/>
    <w:rsid w:val="00446362"/>
    <w:rsid w:val="0044664B"/>
    <w:rsid w:val="004468F8"/>
    <w:rsid w:val="00446A64"/>
    <w:rsid w:val="00446B1E"/>
    <w:rsid w:val="00446FF7"/>
    <w:rsid w:val="0044705C"/>
    <w:rsid w:val="004473F8"/>
    <w:rsid w:val="0044744B"/>
    <w:rsid w:val="004474C3"/>
    <w:rsid w:val="00447A81"/>
    <w:rsid w:val="00447B41"/>
    <w:rsid w:val="00447E1E"/>
    <w:rsid w:val="00447FE4"/>
    <w:rsid w:val="00450F66"/>
    <w:rsid w:val="00451056"/>
    <w:rsid w:val="00451229"/>
    <w:rsid w:val="004513AA"/>
    <w:rsid w:val="004518F1"/>
    <w:rsid w:val="00451B1C"/>
    <w:rsid w:val="00451EEC"/>
    <w:rsid w:val="004521A2"/>
    <w:rsid w:val="004524C1"/>
    <w:rsid w:val="00452A5E"/>
    <w:rsid w:val="00452AB2"/>
    <w:rsid w:val="00452B7B"/>
    <w:rsid w:val="00452DDB"/>
    <w:rsid w:val="00452F05"/>
    <w:rsid w:val="004531F8"/>
    <w:rsid w:val="00453B91"/>
    <w:rsid w:val="00453CFC"/>
    <w:rsid w:val="00454082"/>
    <w:rsid w:val="00454228"/>
    <w:rsid w:val="0045422D"/>
    <w:rsid w:val="0045425D"/>
    <w:rsid w:val="00454342"/>
    <w:rsid w:val="0045456F"/>
    <w:rsid w:val="00454954"/>
    <w:rsid w:val="00454A7E"/>
    <w:rsid w:val="00454F29"/>
    <w:rsid w:val="0045527B"/>
    <w:rsid w:val="00455371"/>
    <w:rsid w:val="00456346"/>
    <w:rsid w:val="004563CD"/>
    <w:rsid w:val="00456445"/>
    <w:rsid w:val="00456BB6"/>
    <w:rsid w:val="00456EA2"/>
    <w:rsid w:val="0045726F"/>
    <w:rsid w:val="0045765F"/>
    <w:rsid w:val="0045771C"/>
    <w:rsid w:val="00457767"/>
    <w:rsid w:val="00457835"/>
    <w:rsid w:val="00457884"/>
    <w:rsid w:val="00457ED2"/>
    <w:rsid w:val="0046023D"/>
    <w:rsid w:val="004602C8"/>
    <w:rsid w:val="004605C5"/>
    <w:rsid w:val="004605EA"/>
    <w:rsid w:val="00460ADA"/>
    <w:rsid w:val="00460DC3"/>
    <w:rsid w:val="00460E62"/>
    <w:rsid w:val="00461341"/>
    <w:rsid w:val="004615E7"/>
    <w:rsid w:val="00461C1A"/>
    <w:rsid w:val="00461CC7"/>
    <w:rsid w:val="0046245E"/>
    <w:rsid w:val="0046248E"/>
    <w:rsid w:val="0046267A"/>
    <w:rsid w:val="0046280B"/>
    <w:rsid w:val="0046298E"/>
    <w:rsid w:val="004632C1"/>
    <w:rsid w:val="00463516"/>
    <w:rsid w:val="004635F4"/>
    <w:rsid w:val="00463B29"/>
    <w:rsid w:val="00463D93"/>
    <w:rsid w:val="00464057"/>
    <w:rsid w:val="00464069"/>
    <w:rsid w:val="004643AE"/>
    <w:rsid w:val="004649CD"/>
    <w:rsid w:val="004649D0"/>
    <w:rsid w:val="00464DA2"/>
    <w:rsid w:val="004653A4"/>
    <w:rsid w:val="00465424"/>
    <w:rsid w:val="0046559B"/>
    <w:rsid w:val="0046582A"/>
    <w:rsid w:val="0046621D"/>
    <w:rsid w:val="004667E2"/>
    <w:rsid w:val="004667F3"/>
    <w:rsid w:val="00466A75"/>
    <w:rsid w:val="00466BB0"/>
    <w:rsid w:val="00466D6E"/>
    <w:rsid w:val="004674A1"/>
    <w:rsid w:val="004675FE"/>
    <w:rsid w:val="0046775B"/>
    <w:rsid w:val="00470064"/>
    <w:rsid w:val="004701BF"/>
    <w:rsid w:val="00470BFB"/>
    <w:rsid w:val="00470FAB"/>
    <w:rsid w:val="0047114F"/>
    <w:rsid w:val="004711BA"/>
    <w:rsid w:val="004714B5"/>
    <w:rsid w:val="004716E5"/>
    <w:rsid w:val="0047177B"/>
    <w:rsid w:val="0047185B"/>
    <w:rsid w:val="00471879"/>
    <w:rsid w:val="0047198A"/>
    <w:rsid w:val="0047198D"/>
    <w:rsid w:val="00471AA8"/>
    <w:rsid w:val="004721DA"/>
    <w:rsid w:val="004724AC"/>
    <w:rsid w:val="00472A87"/>
    <w:rsid w:val="00472B3B"/>
    <w:rsid w:val="00472CA8"/>
    <w:rsid w:val="00472CD3"/>
    <w:rsid w:val="00472DDB"/>
    <w:rsid w:val="00473241"/>
    <w:rsid w:val="00473422"/>
    <w:rsid w:val="00473439"/>
    <w:rsid w:val="00473B68"/>
    <w:rsid w:val="004749E0"/>
    <w:rsid w:val="00474A6B"/>
    <w:rsid w:val="00474AB0"/>
    <w:rsid w:val="00474BB7"/>
    <w:rsid w:val="00475111"/>
    <w:rsid w:val="004751D7"/>
    <w:rsid w:val="004756C1"/>
    <w:rsid w:val="00475936"/>
    <w:rsid w:val="00475E67"/>
    <w:rsid w:val="00476229"/>
    <w:rsid w:val="004762A8"/>
    <w:rsid w:val="00476331"/>
    <w:rsid w:val="00476427"/>
    <w:rsid w:val="00476637"/>
    <w:rsid w:val="00476A5B"/>
    <w:rsid w:val="00476A8F"/>
    <w:rsid w:val="00476C20"/>
    <w:rsid w:val="00477696"/>
    <w:rsid w:val="00477A3D"/>
    <w:rsid w:val="004800B8"/>
    <w:rsid w:val="004803FF"/>
    <w:rsid w:val="00480AE9"/>
    <w:rsid w:val="00480B4F"/>
    <w:rsid w:val="00480BC2"/>
    <w:rsid w:val="00481310"/>
    <w:rsid w:val="00481869"/>
    <w:rsid w:val="00481AF4"/>
    <w:rsid w:val="00481CAA"/>
    <w:rsid w:val="00481D14"/>
    <w:rsid w:val="00481D3A"/>
    <w:rsid w:val="0048215A"/>
    <w:rsid w:val="00482549"/>
    <w:rsid w:val="00482B51"/>
    <w:rsid w:val="00482C0D"/>
    <w:rsid w:val="00482E4A"/>
    <w:rsid w:val="00482F42"/>
    <w:rsid w:val="004830D6"/>
    <w:rsid w:val="004832E0"/>
    <w:rsid w:val="00483450"/>
    <w:rsid w:val="0048363B"/>
    <w:rsid w:val="00483EB6"/>
    <w:rsid w:val="00483F19"/>
    <w:rsid w:val="004843E8"/>
    <w:rsid w:val="004844A2"/>
    <w:rsid w:val="0048457F"/>
    <w:rsid w:val="00484F60"/>
    <w:rsid w:val="00484FE0"/>
    <w:rsid w:val="00485132"/>
    <w:rsid w:val="004852AE"/>
    <w:rsid w:val="004852F7"/>
    <w:rsid w:val="004853FA"/>
    <w:rsid w:val="0048549C"/>
    <w:rsid w:val="00485598"/>
    <w:rsid w:val="00485B02"/>
    <w:rsid w:val="00486071"/>
    <w:rsid w:val="00486607"/>
    <w:rsid w:val="004866E0"/>
    <w:rsid w:val="004866EA"/>
    <w:rsid w:val="00486A3A"/>
    <w:rsid w:val="00486C86"/>
    <w:rsid w:val="00487096"/>
    <w:rsid w:val="0048725E"/>
    <w:rsid w:val="00487548"/>
    <w:rsid w:val="00487C4D"/>
    <w:rsid w:val="00487D95"/>
    <w:rsid w:val="00490039"/>
    <w:rsid w:val="0049011B"/>
    <w:rsid w:val="0049028E"/>
    <w:rsid w:val="0049086D"/>
    <w:rsid w:val="00490A81"/>
    <w:rsid w:val="00490B14"/>
    <w:rsid w:val="00490CDD"/>
    <w:rsid w:val="00490E0A"/>
    <w:rsid w:val="00490EF9"/>
    <w:rsid w:val="0049101A"/>
    <w:rsid w:val="0049126B"/>
    <w:rsid w:val="004913B3"/>
    <w:rsid w:val="004915B2"/>
    <w:rsid w:val="004916DC"/>
    <w:rsid w:val="004917C4"/>
    <w:rsid w:val="004917E5"/>
    <w:rsid w:val="0049184C"/>
    <w:rsid w:val="00491854"/>
    <w:rsid w:val="00491BCA"/>
    <w:rsid w:val="0049213C"/>
    <w:rsid w:val="004923DA"/>
    <w:rsid w:val="0049286D"/>
    <w:rsid w:val="004931E9"/>
    <w:rsid w:val="004933BD"/>
    <w:rsid w:val="004942AC"/>
    <w:rsid w:val="0049434B"/>
    <w:rsid w:val="004943F7"/>
    <w:rsid w:val="004943F8"/>
    <w:rsid w:val="00494735"/>
    <w:rsid w:val="0049496F"/>
    <w:rsid w:val="00494E37"/>
    <w:rsid w:val="00494F1B"/>
    <w:rsid w:val="004952D6"/>
    <w:rsid w:val="004955AA"/>
    <w:rsid w:val="0049570E"/>
    <w:rsid w:val="00495BF7"/>
    <w:rsid w:val="004962E7"/>
    <w:rsid w:val="00496A6A"/>
    <w:rsid w:val="004974BC"/>
    <w:rsid w:val="004974E8"/>
    <w:rsid w:val="00497532"/>
    <w:rsid w:val="00497A30"/>
    <w:rsid w:val="00497B27"/>
    <w:rsid w:val="004A04BD"/>
    <w:rsid w:val="004A04CC"/>
    <w:rsid w:val="004A04E9"/>
    <w:rsid w:val="004A0779"/>
    <w:rsid w:val="004A0AB1"/>
    <w:rsid w:val="004A0B10"/>
    <w:rsid w:val="004A0B9F"/>
    <w:rsid w:val="004A0C3E"/>
    <w:rsid w:val="004A0C5C"/>
    <w:rsid w:val="004A105C"/>
    <w:rsid w:val="004A10E3"/>
    <w:rsid w:val="004A124F"/>
    <w:rsid w:val="004A149D"/>
    <w:rsid w:val="004A16FB"/>
    <w:rsid w:val="004A191C"/>
    <w:rsid w:val="004A1AEB"/>
    <w:rsid w:val="004A1C0A"/>
    <w:rsid w:val="004A1CD3"/>
    <w:rsid w:val="004A1D7A"/>
    <w:rsid w:val="004A2074"/>
    <w:rsid w:val="004A2703"/>
    <w:rsid w:val="004A29C0"/>
    <w:rsid w:val="004A3346"/>
    <w:rsid w:val="004A34F1"/>
    <w:rsid w:val="004A3614"/>
    <w:rsid w:val="004A36E1"/>
    <w:rsid w:val="004A39EE"/>
    <w:rsid w:val="004A498A"/>
    <w:rsid w:val="004A4A38"/>
    <w:rsid w:val="004A4EBE"/>
    <w:rsid w:val="004A50DB"/>
    <w:rsid w:val="004A57A5"/>
    <w:rsid w:val="004A5B38"/>
    <w:rsid w:val="004A5B7D"/>
    <w:rsid w:val="004A5ECD"/>
    <w:rsid w:val="004A6546"/>
    <w:rsid w:val="004A65B9"/>
    <w:rsid w:val="004A6D01"/>
    <w:rsid w:val="004A6F4E"/>
    <w:rsid w:val="004A713D"/>
    <w:rsid w:val="004A7319"/>
    <w:rsid w:val="004A73F9"/>
    <w:rsid w:val="004A74F5"/>
    <w:rsid w:val="004A7520"/>
    <w:rsid w:val="004A7BB1"/>
    <w:rsid w:val="004A7BB4"/>
    <w:rsid w:val="004A7E28"/>
    <w:rsid w:val="004A7EB2"/>
    <w:rsid w:val="004B0101"/>
    <w:rsid w:val="004B09BA"/>
    <w:rsid w:val="004B0A92"/>
    <w:rsid w:val="004B0F1E"/>
    <w:rsid w:val="004B0FCD"/>
    <w:rsid w:val="004B1915"/>
    <w:rsid w:val="004B2170"/>
    <w:rsid w:val="004B2190"/>
    <w:rsid w:val="004B23B6"/>
    <w:rsid w:val="004B2559"/>
    <w:rsid w:val="004B27A6"/>
    <w:rsid w:val="004B3787"/>
    <w:rsid w:val="004B3DB4"/>
    <w:rsid w:val="004B4182"/>
    <w:rsid w:val="004B4469"/>
    <w:rsid w:val="004B490B"/>
    <w:rsid w:val="004B5084"/>
    <w:rsid w:val="004B5BA8"/>
    <w:rsid w:val="004B615C"/>
    <w:rsid w:val="004B641B"/>
    <w:rsid w:val="004B684F"/>
    <w:rsid w:val="004B6869"/>
    <w:rsid w:val="004B6C61"/>
    <w:rsid w:val="004B71D3"/>
    <w:rsid w:val="004B72CF"/>
    <w:rsid w:val="004B731C"/>
    <w:rsid w:val="004B743C"/>
    <w:rsid w:val="004B7644"/>
    <w:rsid w:val="004B7671"/>
    <w:rsid w:val="004B78DD"/>
    <w:rsid w:val="004B7A08"/>
    <w:rsid w:val="004B7C1D"/>
    <w:rsid w:val="004B7C9A"/>
    <w:rsid w:val="004C02C0"/>
    <w:rsid w:val="004C049E"/>
    <w:rsid w:val="004C0D17"/>
    <w:rsid w:val="004C0D8C"/>
    <w:rsid w:val="004C106F"/>
    <w:rsid w:val="004C11BF"/>
    <w:rsid w:val="004C1362"/>
    <w:rsid w:val="004C1618"/>
    <w:rsid w:val="004C1636"/>
    <w:rsid w:val="004C1B60"/>
    <w:rsid w:val="004C1F0B"/>
    <w:rsid w:val="004C200C"/>
    <w:rsid w:val="004C2022"/>
    <w:rsid w:val="004C20FC"/>
    <w:rsid w:val="004C2570"/>
    <w:rsid w:val="004C2C5D"/>
    <w:rsid w:val="004C33F0"/>
    <w:rsid w:val="004C343C"/>
    <w:rsid w:val="004C36CD"/>
    <w:rsid w:val="004C3C6F"/>
    <w:rsid w:val="004C3F97"/>
    <w:rsid w:val="004C3FC9"/>
    <w:rsid w:val="004C4166"/>
    <w:rsid w:val="004C4CEF"/>
    <w:rsid w:val="004C4D43"/>
    <w:rsid w:val="004C5461"/>
    <w:rsid w:val="004C5924"/>
    <w:rsid w:val="004C5930"/>
    <w:rsid w:val="004C5A4D"/>
    <w:rsid w:val="004C5D82"/>
    <w:rsid w:val="004C608D"/>
    <w:rsid w:val="004C616D"/>
    <w:rsid w:val="004C68BD"/>
    <w:rsid w:val="004C7121"/>
    <w:rsid w:val="004C716F"/>
    <w:rsid w:val="004C7492"/>
    <w:rsid w:val="004C791C"/>
    <w:rsid w:val="004C793F"/>
    <w:rsid w:val="004C7942"/>
    <w:rsid w:val="004C7A4B"/>
    <w:rsid w:val="004C7C11"/>
    <w:rsid w:val="004C7C21"/>
    <w:rsid w:val="004C7E52"/>
    <w:rsid w:val="004C7FB0"/>
    <w:rsid w:val="004C7FD5"/>
    <w:rsid w:val="004D0321"/>
    <w:rsid w:val="004D075F"/>
    <w:rsid w:val="004D0784"/>
    <w:rsid w:val="004D07C2"/>
    <w:rsid w:val="004D1046"/>
    <w:rsid w:val="004D10C5"/>
    <w:rsid w:val="004D132F"/>
    <w:rsid w:val="004D1560"/>
    <w:rsid w:val="004D18F7"/>
    <w:rsid w:val="004D1B00"/>
    <w:rsid w:val="004D1B04"/>
    <w:rsid w:val="004D1F37"/>
    <w:rsid w:val="004D1F3A"/>
    <w:rsid w:val="004D20C4"/>
    <w:rsid w:val="004D20C8"/>
    <w:rsid w:val="004D22C3"/>
    <w:rsid w:val="004D24DC"/>
    <w:rsid w:val="004D277B"/>
    <w:rsid w:val="004D2978"/>
    <w:rsid w:val="004D383B"/>
    <w:rsid w:val="004D39FC"/>
    <w:rsid w:val="004D3D1D"/>
    <w:rsid w:val="004D3D94"/>
    <w:rsid w:val="004D401E"/>
    <w:rsid w:val="004D4027"/>
    <w:rsid w:val="004D41F6"/>
    <w:rsid w:val="004D44A5"/>
    <w:rsid w:val="004D44D6"/>
    <w:rsid w:val="004D469D"/>
    <w:rsid w:val="004D493C"/>
    <w:rsid w:val="004D4BDF"/>
    <w:rsid w:val="004D5002"/>
    <w:rsid w:val="004D5129"/>
    <w:rsid w:val="004D5461"/>
    <w:rsid w:val="004D57C9"/>
    <w:rsid w:val="004D5B3D"/>
    <w:rsid w:val="004D5E1C"/>
    <w:rsid w:val="004D5EEE"/>
    <w:rsid w:val="004D615D"/>
    <w:rsid w:val="004D6307"/>
    <w:rsid w:val="004D6389"/>
    <w:rsid w:val="004D6442"/>
    <w:rsid w:val="004D6B39"/>
    <w:rsid w:val="004D70F6"/>
    <w:rsid w:val="004D7577"/>
    <w:rsid w:val="004D766E"/>
    <w:rsid w:val="004D7776"/>
    <w:rsid w:val="004D786A"/>
    <w:rsid w:val="004D7E47"/>
    <w:rsid w:val="004E0073"/>
    <w:rsid w:val="004E02B8"/>
    <w:rsid w:val="004E03DD"/>
    <w:rsid w:val="004E04AA"/>
    <w:rsid w:val="004E0532"/>
    <w:rsid w:val="004E0892"/>
    <w:rsid w:val="004E092A"/>
    <w:rsid w:val="004E095D"/>
    <w:rsid w:val="004E0BD5"/>
    <w:rsid w:val="004E1033"/>
    <w:rsid w:val="004E103E"/>
    <w:rsid w:val="004E11B4"/>
    <w:rsid w:val="004E15EE"/>
    <w:rsid w:val="004E175D"/>
    <w:rsid w:val="004E17FA"/>
    <w:rsid w:val="004E190D"/>
    <w:rsid w:val="004E1923"/>
    <w:rsid w:val="004E1A7E"/>
    <w:rsid w:val="004E1CB2"/>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E7033"/>
    <w:rsid w:val="004E72A9"/>
    <w:rsid w:val="004E72B6"/>
    <w:rsid w:val="004E7718"/>
    <w:rsid w:val="004F002B"/>
    <w:rsid w:val="004F0538"/>
    <w:rsid w:val="004F079E"/>
    <w:rsid w:val="004F0921"/>
    <w:rsid w:val="004F0928"/>
    <w:rsid w:val="004F0C02"/>
    <w:rsid w:val="004F0C1A"/>
    <w:rsid w:val="004F0D2D"/>
    <w:rsid w:val="004F152B"/>
    <w:rsid w:val="004F15E6"/>
    <w:rsid w:val="004F1855"/>
    <w:rsid w:val="004F19F8"/>
    <w:rsid w:val="004F1B07"/>
    <w:rsid w:val="004F1E41"/>
    <w:rsid w:val="004F1FC4"/>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0C"/>
    <w:rsid w:val="004F4941"/>
    <w:rsid w:val="004F4A85"/>
    <w:rsid w:val="004F4CE9"/>
    <w:rsid w:val="004F4F11"/>
    <w:rsid w:val="004F5281"/>
    <w:rsid w:val="004F5457"/>
    <w:rsid w:val="004F5553"/>
    <w:rsid w:val="004F5565"/>
    <w:rsid w:val="004F5652"/>
    <w:rsid w:val="004F5662"/>
    <w:rsid w:val="004F5FBE"/>
    <w:rsid w:val="004F612A"/>
    <w:rsid w:val="004F61E2"/>
    <w:rsid w:val="004F63D5"/>
    <w:rsid w:val="004F649F"/>
    <w:rsid w:val="004F6665"/>
    <w:rsid w:val="004F675D"/>
    <w:rsid w:val="004F6798"/>
    <w:rsid w:val="004F6C82"/>
    <w:rsid w:val="004F72CC"/>
    <w:rsid w:val="004F74CC"/>
    <w:rsid w:val="004F7AF5"/>
    <w:rsid w:val="004F7FB8"/>
    <w:rsid w:val="005000B5"/>
    <w:rsid w:val="005001A5"/>
    <w:rsid w:val="005009F9"/>
    <w:rsid w:val="00500B21"/>
    <w:rsid w:val="005010EC"/>
    <w:rsid w:val="005012C1"/>
    <w:rsid w:val="005013C9"/>
    <w:rsid w:val="005015B3"/>
    <w:rsid w:val="00501956"/>
    <w:rsid w:val="00501A7E"/>
    <w:rsid w:val="00501A88"/>
    <w:rsid w:val="00501C00"/>
    <w:rsid w:val="00501C44"/>
    <w:rsid w:val="0050223A"/>
    <w:rsid w:val="00502AD3"/>
    <w:rsid w:val="00502ADE"/>
    <w:rsid w:val="00502B5F"/>
    <w:rsid w:val="00502BB4"/>
    <w:rsid w:val="00502D1A"/>
    <w:rsid w:val="00502DB9"/>
    <w:rsid w:val="00502EE8"/>
    <w:rsid w:val="005031D8"/>
    <w:rsid w:val="005035F1"/>
    <w:rsid w:val="00503B33"/>
    <w:rsid w:val="00503C51"/>
    <w:rsid w:val="00503DEF"/>
    <w:rsid w:val="00503DF4"/>
    <w:rsid w:val="00504684"/>
    <w:rsid w:val="00504BA3"/>
    <w:rsid w:val="00504D47"/>
    <w:rsid w:val="0050538F"/>
    <w:rsid w:val="0050567D"/>
    <w:rsid w:val="00505708"/>
    <w:rsid w:val="0050588B"/>
    <w:rsid w:val="00505E67"/>
    <w:rsid w:val="00505EE2"/>
    <w:rsid w:val="00505EE8"/>
    <w:rsid w:val="00506006"/>
    <w:rsid w:val="0050629C"/>
    <w:rsid w:val="005065F8"/>
    <w:rsid w:val="0050674A"/>
    <w:rsid w:val="005067C4"/>
    <w:rsid w:val="00506A95"/>
    <w:rsid w:val="00506E11"/>
    <w:rsid w:val="00506E4D"/>
    <w:rsid w:val="00507650"/>
    <w:rsid w:val="0050767B"/>
    <w:rsid w:val="00510056"/>
    <w:rsid w:val="00510215"/>
    <w:rsid w:val="00510510"/>
    <w:rsid w:val="005107D5"/>
    <w:rsid w:val="00510B78"/>
    <w:rsid w:val="00510E52"/>
    <w:rsid w:val="00510ED0"/>
    <w:rsid w:val="00511BAB"/>
    <w:rsid w:val="00511EE8"/>
    <w:rsid w:val="00511F7A"/>
    <w:rsid w:val="00512361"/>
    <w:rsid w:val="00512801"/>
    <w:rsid w:val="0051304B"/>
    <w:rsid w:val="00513215"/>
    <w:rsid w:val="0051342A"/>
    <w:rsid w:val="005138D1"/>
    <w:rsid w:val="00513951"/>
    <w:rsid w:val="00513A68"/>
    <w:rsid w:val="00513B70"/>
    <w:rsid w:val="00513CB0"/>
    <w:rsid w:val="00513E59"/>
    <w:rsid w:val="00513FB8"/>
    <w:rsid w:val="00514180"/>
    <w:rsid w:val="00514242"/>
    <w:rsid w:val="0051426D"/>
    <w:rsid w:val="005143DC"/>
    <w:rsid w:val="00514418"/>
    <w:rsid w:val="005147CD"/>
    <w:rsid w:val="00514F01"/>
    <w:rsid w:val="00514FF1"/>
    <w:rsid w:val="00514FFE"/>
    <w:rsid w:val="0051500A"/>
    <w:rsid w:val="0051526B"/>
    <w:rsid w:val="00515535"/>
    <w:rsid w:val="0051564B"/>
    <w:rsid w:val="00515909"/>
    <w:rsid w:val="0051633F"/>
    <w:rsid w:val="00516735"/>
    <w:rsid w:val="0051674A"/>
    <w:rsid w:val="00517244"/>
    <w:rsid w:val="0051745D"/>
    <w:rsid w:val="005174BA"/>
    <w:rsid w:val="005178E0"/>
    <w:rsid w:val="00517D93"/>
    <w:rsid w:val="005204DF"/>
    <w:rsid w:val="005213F8"/>
    <w:rsid w:val="00521484"/>
    <w:rsid w:val="0052151D"/>
    <w:rsid w:val="005216B0"/>
    <w:rsid w:val="00521762"/>
    <w:rsid w:val="00521EC9"/>
    <w:rsid w:val="005220E6"/>
    <w:rsid w:val="00522104"/>
    <w:rsid w:val="00522204"/>
    <w:rsid w:val="005227CB"/>
    <w:rsid w:val="005228DD"/>
    <w:rsid w:val="00523039"/>
    <w:rsid w:val="0052318E"/>
    <w:rsid w:val="00523258"/>
    <w:rsid w:val="00523358"/>
    <w:rsid w:val="00523918"/>
    <w:rsid w:val="00523FF4"/>
    <w:rsid w:val="005246A2"/>
    <w:rsid w:val="0052493D"/>
    <w:rsid w:val="00524A7D"/>
    <w:rsid w:val="00524CBF"/>
    <w:rsid w:val="005258EE"/>
    <w:rsid w:val="00525BD9"/>
    <w:rsid w:val="00525FF1"/>
    <w:rsid w:val="00525FF2"/>
    <w:rsid w:val="0052614C"/>
    <w:rsid w:val="00526612"/>
    <w:rsid w:val="00526679"/>
    <w:rsid w:val="005268A2"/>
    <w:rsid w:val="00526A08"/>
    <w:rsid w:val="00526AAE"/>
    <w:rsid w:val="00526BF9"/>
    <w:rsid w:val="00526EF7"/>
    <w:rsid w:val="00527067"/>
    <w:rsid w:val="00527434"/>
    <w:rsid w:val="0052748B"/>
    <w:rsid w:val="005274A0"/>
    <w:rsid w:val="00527C68"/>
    <w:rsid w:val="00527D87"/>
    <w:rsid w:val="00527E76"/>
    <w:rsid w:val="0053000E"/>
    <w:rsid w:val="0053016C"/>
    <w:rsid w:val="005304B2"/>
    <w:rsid w:val="00530B13"/>
    <w:rsid w:val="00530B61"/>
    <w:rsid w:val="00530C2D"/>
    <w:rsid w:val="00530C79"/>
    <w:rsid w:val="005311D1"/>
    <w:rsid w:val="00531257"/>
    <w:rsid w:val="005319B8"/>
    <w:rsid w:val="005319F2"/>
    <w:rsid w:val="00531A91"/>
    <w:rsid w:val="00531B2B"/>
    <w:rsid w:val="00531E79"/>
    <w:rsid w:val="00531F18"/>
    <w:rsid w:val="00531FB8"/>
    <w:rsid w:val="00532066"/>
    <w:rsid w:val="0053207C"/>
    <w:rsid w:val="0053230E"/>
    <w:rsid w:val="005323E4"/>
    <w:rsid w:val="0053251E"/>
    <w:rsid w:val="00532ADD"/>
    <w:rsid w:val="00532D53"/>
    <w:rsid w:val="00532E79"/>
    <w:rsid w:val="00533E31"/>
    <w:rsid w:val="00534074"/>
    <w:rsid w:val="00534133"/>
    <w:rsid w:val="00534315"/>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37F47"/>
    <w:rsid w:val="005400B0"/>
    <w:rsid w:val="00540330"/>
    <w:rsid w:val="0054048C"/>
    <w:rsid w:val="005408BC"/>
    <w:rsid w:val="0054093E"/>
    <w:rsid w:val="0054098C"/>
    <w:rsid w:val="00540F4A"/>
    <w:rsid w:val="005412A3"/>
    <w:rsid w:val="005414AF"/>
    <w:rsid w:val="0054156B"/>
    <w:rsid w:val="005415D2"/>
    <w:rsid w:val="00541707"/>
    <w:rsid w:val="0054172F"/>
    <w:rsid w:val="00541D98"/>
    <w:rsid w:val="00542081"/>
    <w:rsid w:val="00542427"/>
    <w:rsid w:val="005429B7"/>
    <w:rsid w:val="005431FB"/>
    <w:rsid w:val="00543768"/>
    <w:rsid w:val="0054412E"/>
    <w:rsid w:val="0054431B"/>
    <w:rsid w:val="005443D7"/>
    <w:rsid w:val="00544409"/>
    <w:rsid w:val="00544A19"/>
    <w:rsid w:val="00544A23"/>
    <w:rsid w:val="00544A34"/>
    <w:rsid w:val="00544B77"/>
    <w:rsid w:val="00544ED3"/>
    <w:rsid w:val="005452BA"/>
    <w:rsid w:val="00545443"/>
    <w:rsid w:val="005455B1"/>
    <w:rsid w:val="00545D03"/>
    <w:rsid w:val="00545FAE"/>
    <w:rsid w:val="00546AC3"/>
    <w:rsid w:val="00546ED0"/>
    <w:rsid w:val="00546F5C"/>
    <w:rsid w:val="00547AD7"/>
    <w:rsid w:val="00547B71"/>
    <w:rsid w:val="00550289"/>
    <w:rsid w:val="005504C9"/>
    <w:rsid w:val="00550675"/>
    <w:rsid w:val="00550E1D"/>
    <w:rsid w:val="0055121C"/>
    <w:rsid w:val="00551E9D"/>
    <w:rsid w:val="00552061"/>
    <w:rsid w:val="0055211B"/>
    <w:rsid w:val="00552EDD"/>
    <w:rsid w:val="0055306F"/>
    <w:rsid w:val="005531F0"/>
    <w:rsid w:val="00553307"/>
    <w:rsid w:val="005538CC"/>
    <w:rsid w:val="00553A0A"/>
    <w:rsid w:val="00553AF2"/>
    <w:rsid w:val="00553BB5"/>
    <w:rsid w:val="00553CDF"/>
    <w:rsid w:val="00553D3D"/>
    <w:rsid w:val="00553F98"/>
    <w:rsid w:val="00554DBA"/>
    <w:rsid w:val="00555755"/>
    <w:rsid w:val="0055629F"/>
    <w:rsid w:val="0055657C"/>
    <w:rsid w:val="005568DE"/>
    <w:rsid w:val="00556B03"/>
    <w:rsid w:val="00556E92"/>
    <w:rsid w:val="005574A0"/>
    <w:rsid w:val="005576F9"/>
    <w:rsid w:val="00557753"/>
    <w:rsid w:val="00557BB8"/>
    <w:rsid w:val="00557D77"/>
    <w:rsid w:val="00557E48"/>
    <w:rsid w:val="00557E4E"/>
    <w:rsid w:val="0056020F"/>
    <w:rsid w:val="00560761"/>
    <w:rsid w:val="0056096E"/>
    <w:rsid w:val="00560DFB"/>
    <w:rsid w:val="00561194"/>
    <w:rsid w:val="00561AFE"/>
    <w:rsid w:val="00562087"/>
    <w:rsid w:val="00562550"/>
    <w:rsid w:val="005628AB"/>
    <w:rsid w:val="005628C9"/>
    <w:rsid w:val="00562B61"/>
    <w:rsid w:val="00562C36"/>
    <w:rsid w:val="00562D7C"/>
    <w:rsid w:val="00562E8D"/>
    <w:rsid w:val="005634C4"/>
    <w:rsid w:val="00563647"/>
    <w:rsid w:val="00563775"/>
    <w:rsid w:val="00564083"/>
    <w:rsid w:val="005640D7"/>
    <w:rsid w:val="005647FD"/>
    <w:rsid w:val="005649B8"/>
    <w:rsid w:val="00564B8F"/>
    <w:rsid w:val="00564C2B"/>
    <w:rsid w:val="00564E07"/>
    <w:rsid w:val="00564F4D"/>
    <w:rsid w:val="00565115"/>
    <w:rsid w:val="0056541C"/>
    <w:rsid w:val="00565464"/>
    <w:rsid w:val="0056554C"/>
    <w:rsid w:val="00565697"/>
    <w:rsid w:val="005656B1"/>
    <w:rsid w:val="00565804"/>
    <w:rsid w:val="00565B04"/>
    <w:rsid w:val="00566421"/>
    <w:rsid w:val="005664E6"/>
    <w:rsid w:val="00566939"/>
    <w:rsid w:val="00566B3D"/>
    <w:rsid w:val="00566B54"/>
    <w:rsid w:val="00566D69"/>
    <w:rsid w:val="005672E5"/>
    <w:rsid w:val="00567725"/>
    <w:rsid w:val="00567759"/>
    <w:rsid w:val="00570630"/>
    <w:rsid w:val="00570DCA"/>
    <w:rsid w:val="00570E04"/>
    <w:rsid w:val="005710C3"/>
    <w:rsid w:val="005711CB"/>
    <w:rsid w:val="005711FB"/>
    <w:rsid w:val="00571339"/>
    <w:rsid w:val="00571350"/>
    <w:rsid w:val="00571DBC"/>
    <w:rsid w:val="00571F02"/>
    <w:rsid w:val="0057227A"/>
    <w:rsid w:val="00572582"/>
    <w:rsid w:val="00573198"/>
    <w:rsid w:val="00573545"/>
    <w:rsid w:val="00573585"/>
    <w:rsid w:val="005736F5"/>
    <w:rsid w:val="00573B5A"/>
    <w:rsid w:val="005746B1"/>
    <w:rsid w:val="005748EA"/>
    <w:rsid w:val="0057494E"/>
    <w:rsid w:val="00574A47"/>
    <w:rsid w:val="00574CB8"/>
    <w:rsid w:val="0057522A"/>
    <w:rsid w:val="00575277"/>
    <w:rsid w:val="00575526"/>
    <w:rsid w:val="00575569"/>
    <w:rsid w:val="00575705"/>
    <w:rsid w:val="0057598F"/>
    <w:rsid w:val="00575E73"/>
    <w:rsid w:val="00575FEC"/>
    <w:rsid w:val="005764E7"/>
    <w:rsid w:val="0057683E"/>
    <w:rsid w:val="005769BC"/>
    <w:rsid w:val="005769E0"/>
    <w:rsid w:val="00576A3B"/>
    <w:rsid w:val="00576DBB"/>
    <w:rsid w:val="00576DD7"/>
    <w:rsid w:val="0057710F"/>
    <w:rsid w:val="0057724C"/>
    <w:rsid w:val="00577651"/>
    <w:rsid w:val="00577B78"/>
    <w:rsid w:val="00577D7D"/>
    <w:rsid w:val="00577DA9"/>
    <w:rsid w:val="00577E7A"/>
    <w:rsid w:val="00577EDF"/>
    <w:rsid w:val="00577F4C"/>
    <w:rsid w:val="00577FA2"/>
    <w:rsid w:val="0058077F"/>
    <w:rsid w:val="005807E2"/>
    <w:rsid w:val="00580D31"/>
    <w:rsid w:val="00580F76"/>
    <w:rsid w:val="0058123F"/>
    <w:rsid w:val="005813A8"/>
    <w:rsid w:val="005815DF"/>
    <w:rsid w:val="005817A1"/>
    <w:rsid w:val="00581AA9"/>
    <w:rsid w:val="00581C5A"/>
    <w:rsid w:val="0058203A"/>
    <w:rsid w:val="00582801"/>
    <w:rsid w:val="00582B64"/>
    <w:rsid w:val="00582E92"/>
    <w:rsid w:val="00583114"/>
    <w:rsid w:val="00583462"/>
    <w:rsid w:val="00583ABE"/>
    <w:rsid w:val="00583B11"/>
    <w:rsid w:val="00583BD4"/>
    <w:rsid w:val="00583DA6"/>
    <w:rsid w:val="00583DFB"/>
    <w:rsid w:val="00584219"/>
    <w:rsid w:val="00584260"/>
    <w:rsid w:val="0058493D"/>
    <w:rsid w:val="00584C79"/>
    <w:rsid w:val="00584D53"/>
    <w:rsid w:val="00584D96"/>
    <w:rsid w:val="00585076"/>
    <w:rsid w:val="005850C6"/>
    <w:rsid w:val="005852E5"/>
    <w:rsid w:val="00585425"/>
    <w:rsid w:val="005855F8"/>
    <w:rsid w:val="0058574D"/>
    <w:rsid w:val="00585957"/>
    <w:rsid w:val="00585C45"/>
    <w:rsid w:val="00585C63"/>
    <w:rsid w:val="00585E2F"/>
    <w:rsid w:val="005861B4"/>
    <w:rsid w:val="0058625C"/>
    <w:rsid w:val="0058631B"/>
    <w:rsid w:val="005863CB"/>
    <w:rsid w:val="005863F8"/>
    <w:rsid w:val="0058687C"/>
    <w:rsid w:val="00586F6C"/>
    <w:rsid w:val="00587015"/>
    <w:rsid w:val="0058707A"/>
    <w:rsid w:val="00587645"/>
    <w:rsid w:val="005876CA"/>
    <w:rsid w:val="00587AF5"/>
    <w:rsid w:val="00587D95"/>
    <w:rsid w:val="00587FF2"/>
    <w:rsid w:val="0059009F"/>
    <w:rsid w:val="0059027E"/>
    <w:rsid w:val="00590516"/>
    <w:rsid w:val="00590D10"/>
    <w:rsid w:val="00590F49"/>
    <w:rsid w:val="00591029"/>
    <w:rsid w:val="0059138F"/>
    <w:rsid w:val="0059150F"/>
    <w:rsid w:val="00591B64"/>
    <w:rsid w:val="00591DFA"/>
    <w:rsid w:val="00591F36"/>
    <w:rsid w:val="00592085"/>
    <w:rsid w:val="00592238"/>
    <w:rsid w:val="005925D5"/>
    <w:rsid w:val="005928CA"/>
    <w:rsid w:val="00592CCD"/>
    <w:rsid w:val="005931E5"/>
    <w:rsid w:val="0059321F"/>
    <w:rsid w:val="0059328B"/>
    <w:rsid w:val="005933EF"/>
    <w:rsid w:val="0059365E"/>
    <w:rsid w:val="005936AD"/>
    <w:rsid w:val="00593853"/>
    <w:rsid w:val="005942C0"/>
    <w:rsid w:val="00594352"/>
    <w:rsid w:val="005944E0"/>
    <w:rsid w:val="00594652"/>
    <w:rsid w:val="005946F0"/>
    <w:rsid w:val="00594A21"/>
    <w:rsid w:val="00594E3A"/>
    <w:rsid w:val="0059544F"/>
    <w:rsid w:val="00595650"/>
    <w:rsid w:val="00595668"/>
    <w:rsid w:val="00595698"/>
    <w:rsid w:val="00595DDD"/>
    <w:rsid w:val="005960B6"/>
    <w:rsid w:val="00596149"/>
    <w:rsid w:val="005961C2"/>
    <w:rsid w:val="00596244"/>
    <w:rsid w:val="005964DF"/>
    <w:rsid w:val="005967DC"/>
    <w:rsid w:val="00596A43"/>
    <w:rsid w:val="00596AF0"/>
    <w:rsid w:val="00596B7B"/>
    <w:rsid w:val="00596F91"/>
    <w:rsid w:val="00597134"/>
    <w:rsid w:val="00597443"/>
    <w:rsid w:val="0059759B"/>
    <w:rsid w:val="00597692"/>
    <w:rsid w:val="00597793"/>
    <w:rsid w:val="005979FB"/>
    <w:rsid w:val="00597E98"/>
    <w:rsid w:val="005A0066"/>
    <w:rsid w:val="005A0359"/>
    <w:rsid w:val="005A036A"/>
    <w:rsid w:val="005A1133"/>
    <w:rsid w:val="005A1485"/>
    <w:rsid w:val="005A14C2"/>
    <w:rsid w:val="005A20B7"/>
    <w:rsid w:val="005A22E8"/>
    <w:rsid w:val="005A2367"/>
    <w:rsid w:val="005A24FE"/>
    <w:rsid w:val="005A26A0"/>
    <w:rsid w:val="005A27A0"/>
    <w:rsid w:val="005A297F"/>
    <w:rsid w:val="005A2A46"/>
    <w:rsid w:val="005A2E67"/>
    <w:rsid w:val="005A2F67"/>
    <w:rsid w:val="005A339C"/>
    <w:rsid w:val="005A390E"/>
    <w:rsid w:val="005A3B21"/>
    <w:rsid w:val="005A3BCE"/>
    <w:rsid w:val="005A3EE8"/>
    <w:rsid w:val="005A42E3"/>
    <w:rsid w:val="005A44F3"/>
    <w:rsid w:val="005A46D6"/>
    <w:rsid w:val="005A4BA8"/>
    <w:rsid w:val="005A4CA8"/>
    <w:rsid w:val="005A4E13"/>
    <w:rsid w:val="005A526A"/>
    <w:rsid w:val="005A536A"/>
    <w:rsid w:val="005A53C6"/>
    <w:rsid w:val="005A5535"/>
    <w:rsid w:val="005A572D"/>
    <w:rsid w:val="005A58A7"/>
    <w:rsid w:val="005A5966"/>
    <w:rsid w:val="005A5A48"/>
    <w:rsid w:val="005A5AEB"/>
    <w:rsid w:val="005A5CEB"/>
    <w:rsid w:val="005A6A68"/>
    <w:rsid w:val="005A6E90"/>
    <w:rsid w:val="005A6EC6"/>
    <w:rsid w:val="005A6F6D"/>
    <w:rsid w:val="005A6FF9"/>
    <w:rsid w:val="005A7432"/>
    <w:rsid w:val="005A75C4"/>
    <w:rsid w:val="005B0517"/>
    <w:rsid w:val="005B0905"/>
    <w:rsid w:val="005B0994"/>
    <w:rsid w:val="005B116D"/>
    <w:rsid w:val="005B1453"/>
    <w:rsid w:val="005B1B57"/>
    <w:rsid w:val="005B1CB3"/>
    <w:rsid w:val="005B2600"/>
    <w:rsid w:val="005B2784"/>
    <w:rsid w:val="005B2800"/>
    <w:rsid w:val="005B286E"/>
    <w:rsid w:val="005B291A"/>
    <w:rsid w:val="005B2BB0"/>
    <w:rsid w:val="005B2CF3"/>
    <w:rsid w:val="005B2DE0"/>
    <w:rsid w:val="005B2F00"/>
    <w:rsid w:val="005B329A"/>
    <w:rsid w:val="005B3303"/>
    <w:rsid w:val="005B3D5D"/>
    <w:rsid w:val="005B459C"/>
    <w:rsid w:val="005B48AD"/>
    <w:rsid w:val="005B4BE9"/>
    <w:rsid w:val="005B4C29"/>
    <w:rsid w:val="005B4C32"/>
    <w:rsid w:val="005B4DD3"/>
    <w:rsid w:val="005B5439"/>
    <w:rsid w:val="005B58BE"/>
    <w:rsid w:val="005B5932"/>
    <w:rsid w:val="005B5B93"/>
    <w:rsid w:val="005B5DFF"/>
    <w:rsid w:val="005B5E78"/>
    <w:rsid w:val="005B61BC"/>
    <w:rsid w:val="005B637E"/>
    <w:rsid w:val="005B6517"/>
    <w:rsid w:val="005B6727"/>
    <w:rsid w:val="005B6CD4"/>
    <w:rsid w:val="005B7144"/>
    <w:rsid w:val="005B74AA"/>
    <w:rsid w:val="005B7A05"/>
    <w:rsid w:val="005B7D11"/>
    <w:rsid w:val="005B7EAC"/>
    <w:rsid w:val="005C00BA"/>
    <w:rsid w:val="005C0909"/>
    <w:rsid w:val="005C1413"/>
    <w:rsid w:val="005C1CCE"/>
    <w:rsid w:val="005C1EB1"/>
    <w:rsid w:val="005C24CD"/>
    <w:rsid w:val="005C25D8"/>
    <w:rsid w:val="005C29FB"/>
    <w:rsid w:val="005C2A67"/>
    <w:rsid w:val="005C2DE7"/>
    <w:rsid w:val="005C2FF1"/>
    <w:rsid w:val="005C377E"/>
    <w:rsid w:val="005C3B38"/>
    <w:rsid w:val="005C3FC5"/>
    <w:rsid w:val="005C431F"/>
    <w:rsid w:val="005C44A3"/>
    <w:rsid w:val="005C4D03"/>
    <w:rsid w:val="005C4E05"/>
    <w:rsid w:val="005C516F"/>
    <w:rsid w:val="005C53B3"/>
    <w:rsid w:val="005C551D"/>
    <w:rsid w:val="005C5586"/>
    <w:rsid w:val="005C581D"/>
    <w:rsid w:val="005C5AE0"/>
    <w:rsid w:val="005C5E38"/>
    <w:rsid w:val="005C60E2"/>
    <w:rsid w:val="005C647B"/>
    <w:rsid w:val="005C6503"/>
    <w:rsid w:val="005C717B"/>
    <w:rsid w:val="005C7330"/>
    <w:rsid w:val="005C7334"/>
    <w:rsid w:val="005C7835"/>
    <w:rsid w:val="005C78D5"/>
    <w:rsid w:val="005C7F3B"/>
    <w:rsid w:val="005D0118"/>
    <w:rsid w:val="005D0248"/>
    <w:rsid w:val="005D0269"/>
    <w:rsid w:val="005D027E"/>
    <w:rsid w:val="005D0441"/>
    <w:rsid w:val="005D05C8"/>
    <w:rsid w:val="005D0699"/>
    <w:rsid w:val="005D06C0"/>
    <w:rsid w:val="005D07F4"/>
    <w:rsid w:val="005D098F"/>
    <w:rsid w:val="005D0D37"/>
    <w:rsid w:val="005D0E7E"/>
    <w:rsid w:val="005D1090"/>
    <w:rsid w:val="005D1593"/>
    <w:rsid w:val="005D1777"/>
    <w:rsid w:val="005D1A85"/>
    <w:rsid w:val="005D1B58"/>
    <w:rsid w:val="005D1B6D"/>
    <w:rsid w:val="005D23EE"/>
    <w:rsid w:val="005D2443"/>
    <w:rsid w:val="005D27BC"/>
    <w:rsid w:val="005D28D2"/>
    <w:rsid w:val="005D2928"/>
    <w:rsid w:val="005D31B4"/>
    <w:rsid w:val="005D364F"/>
    <w:rsid w:val="005D37A0"/>
    <w:rsid w:val="005D382B"/>
    <w:rsid w:val="005D3864"/>
    <w:rsid w:val="005D391D"/>
    <w:rsid w:val="005D3FEB"/>
    <w:rsid w:val="005D416E"/>
    <w:rsid w:val="005D41D3"/>
    <w:rsid w:val="005D4239"/>
    <w:rsid w:val="005D4368"/>
    <w:rsid w:val="005D4473"/>
    <w:rsid w:val="005D44D0"/>
    <w:rsid w:val="005D454B"/>
    <w:rsid w:val="005D45A7"/>
    <w:rsid w:val="005D48B4"/>
    <w:rsid w:val="005D4B92"/>
    <w:rsid w:val="005D4D4C"/>
    <w:rsid w:val="005D4F43"/>
    <w:rsid w:val="005D50F4"/>
    <w:rsid w:val="005D5533"/>
    <w:rsid w:val="005D55EF"/>
    <w:rsid w:val="005D56F1"/>
    <w:rsid w:val="005D5CCF"/>
    <w:rsid w:val="005D5E5F"/>
    <w:rsid w:val="005D5F7A"/>
    <w:rsid w:val="005D640A"/>
    <w:rsid w:val="005D658C"/>
    <w:rsid w:val="005D658D"/>
    <w:rsid w:val="005D6841"/>
    <w:rsid w:val="005D691A"/>
    <w:rsid w:val="005D6926"/>
    <w:rsid w:val="005D695E"/>
    <w:rsid w:val="005D740C"/>
    <w:rsid w:val="005D742F"/>
    <w:rsid w:val="005D77E1"/>
    <w:rsid w:val="005D7D96"/>
    <w:rsid w:val="005E0110"/>
    <w:rsid w:val="005E0E74"/>
    <w:rsid w:val="005E0EA4"/>
    <w:rsid w:val="005E1486"/>
    <w:rsid w:val="005E15D0"/>
    <w:rsid w:val="005E18BC"/>
    <w:rsid w:val="005E19D3"/>
    <w:rsid w:val="005E1CF5"/>
    <w:rsid w:val="005E1D5C"/>
    <w:rsid w:val="005E1F3F"/>
    <w:rsid w:val="005E20BD"/>
    <w:rsid w:val="005E2109"/>
    <w:rsid w:val="005E21B7"/>
    <w:rsid w:val="005E22CE"/>
    <w:rsid w:val="005E22FB"/>
    <w:rsid w:val="005E2321"/>
    <w:rsid w:val="005E259E"/>
    <w:rsid w:val="005E25F3"/>
    <w:rsid w:val="005E2907"/>
    <w:rsid w:val="005E2B25"/>
    <w:rsid w:val="005E2E19"/>
    <w:rsid w:val="005E30F7"/>
    <w:rsid w:val="005E335E"/>
    <w:rsid w:val="005E3620"/>
    <w:rsid w:val="005E3706"/>
    <w:rsid w:val="005E3A6F"/>
    <w:rsid w:val="005E3AFA"/>
    <w:rsid w:val="005E3D73"/>
    <w:rsid w:val="005E3ECD"/>
    <w:rsid w:val="005E3F78"/>
    <w:rsid w:val="005E41CB"/>
    <w:rsid w:val="005E4357"/>
    <w:rsid w:val="005E4778"/>
    <w:rsid w:val="005E4929"/>
    <w:rsid w:val="005E4AEF"/>
    <w:rsid w:val="005E4B6F"/>
    <w:rsid w:val="005E4BBF"/>
    <w:rsid w:val="005E5024"/>
    <w:rsid w:val="005E5088"/>
    <w:rsid w:val="005E53B4"/>
    <w:rsid w:val="005E5636"/>
    <w:rsid w:val="005E653E"/>
    <w:rsid w:val="005E65F4"/>
    <w:rsid w:val="005E6A23"/>
    <w:rsid w:val="005E6AB5"/>
    <w:rsid w:val="005E6B63"/>
    <w:rsid w:val="005E73F6"/>
    <w:rsid w:val="005E7527"/>
    <w:rsid w:val="005E7838"/>
    <w:rsid w:val="005E7984"/>
    <w:rsid w:val="005E7B0A"/>
    <w:rsid w:val="005E7BA2"/>
    <w:rsid w:val="005F00E0"/>
    <w:rsid w:val="005F05FF"/>
    <w:rsid w:val="005F128A"/>
    <w:rsid w:val="005F1544"/>
    <w:rsid w:val="005F17B7"/>
    <w:rsid w:val="005F1929"/>
    <w:rsid w:val="005F1AF1"/>
    <w:rsid w:val="005F1BED"/>
    <w:rsid w:val="005F1CF3"/>
    <w:rsid w:val="005F1ED6"/>
    <w:rsid w:val="005F260C"/>
    <w:rsid w:val="005F26D0"/>
    <w:rsid w:val="005F2965"/>
    <w:rsid w:val="005F29AC"/>
    <w:rsid w:val="005F2C78"/>
    <w:rsid w:val="005F2D7F"/>
    <w:rsid w:val="005F2EC6"/>
    <w:rsid w:val="005F2F22"/>
    <w:rsid w:val="005F320C"/>
    <w:rsid w:val="005F330C"/>
    <w:rsid w:val="005F37E2"/>
    <w:rsid w:val="005F3880"/>
    <w:rsid w:val="005F389D"/>
    <w:rsid w:val="005F39D4"/>
    <w:rsid w:val="005F3BFA"/>
    <w:rsid w:val="005F3E1E"/>
    <w:rsid w:val="005F4028"/>
    <w:rsid w:val="005F4073"/>
    <w:rsid w:val="005F44D0"/>
    <w:rsid w:val="005F4C34"/>
    <w:rsid w:val="005F4C4A"/>
    <w:rsid w:val="005F4FD0"/>
    <w:rsid w:val="005F5104"/>
    <w:rsid w:val="005F52A5"/>
    <w:rsid w:val="005F53F2"/>
    <w:rsid w:val="005F547E"/>
    <w:rsid w:val="005F570B"/>
    <w:rsid w:val="005F5E49"/>
    <w:rsid w:val="005F60F0"/>
    <w:rsid w:val="005F614C"/>
    <w:rsid w:val="005F637F"/>
    <w:rsid w:val="005F654F"/>
    <w:rsid w:val="005F661D"/>
    <w:rsid w:val="005F66F9"/>
    <w:rsid w:val="005F6A19"/>
    <w:rsid w:val="005F6A3C"/>
    <w:rsid w:val="005F6C16"/>
    <w:rsid w:val="005F6D4B"/>
    <w:rsid w:val="005F6D5E"/>
    <w:rsid w:val="005F6F54"/>
    <w:rsid w:val="005F6F98"/>
    <w:rsid w:val="005F7392"/>
    <w:rsid w:val="005F7681"/>
    <w:rsid w:val="005F7EB6"/>
    <w:rsid w:val="005F7EC2"/>
    <w:rsid w:val="0060022B"/>
    <w:rsid w:val="006004EB"/>
    <w:rsid w:val="00600ADA"/>
    <w:rsid w:val="00600AF9"/>
    <w:rsid w:val="00600F15"/>
    <w:rsid w:val="00600F37"/>
    <w:rsid w:val="00600FF6"/>
    <w:rsid w:val="00601165"/>
    <w:rsid w:val="0060129E"/>
    <w:rsid w:val="00601667"/>
    <w:rsid w:val="006016E1"/>
    <w:rsid w:val="00601A36"/>
    <w:rsid w:val="00602094"/>
    <w:rsid w:val="0060214E"/>
    <w:rsid w:val="00602408"/>
    <w:rsid w:val="0060245B"/>
    <w:rsid w:val="00602960"/>
    <w:rsid w:val="00602E6E"/>
    <w:rsid w:val="00602EF0"/>
    <w:rsid w:val="00603086"/>
    <w:rsid w:val="006033DB"/>
    <w:rsid w:val="00603490"/>
    <w:rsid w:val="006035AB"/>
    <w:rsid w:val="0060368A"/>
    <w:rsid w:val="00603AE3"/>
    <w:rsid w:val="00603B21"/>
    <w:rsid w:val="00603B91"/>
    <w:rsid w:val="00603D27"/>
    <w:rsid w:val="00603E3E"/>
    <w:rsid w:val="006047BD"/>
    <w:rsid w:val="006047EC"/>
    <w:rsid w:val="00604844"/>
    <w:rsid w:val="00604A24"/>
    <w:rsid w:val="00604A9C"/>
    <w:rsid w:val="00604D4C"/>
    <w:rsid w:val="00604E0B"/>
    <w:rsid w:val="00604E88"/>
    <w:rsid w:val="0060544F"/>
    <w:rsid w:val="006054F3"/>
    <w:rsid w:val="00605A91"/>
    <w:rsid w:val="00605D1D"/>
    <w:rsid w:val="006063E4"/>
    <w:rsid w:val="00606511"/>
    <w:rsid w:val="00606D92"/>
    <w:rsid w:val="00606F34"/>
    <w:rsid w:val="00607174"/>
    <w:rsid w:val="00607434"/>
    <w:rsid w:val="0060794D"/>
    <w:rsid w:val="00607B02"/>
    <w:rsid w:val="00607D3B"/>
    <w:rsid w:val="00607E06"/>
    <w:rsid w:val="00607E3D"/>
    <w:rsid w:val="00607E73"/>
    <w:rsid w:val="00610246"/>
    <w:rsid w:val="006103D2"/>
    <w:rsid w:val="00610641"/>
    <w:rsid w:val="00610C3D"/>
    <w:rsid w:val="006111D2"/>
    <w:rsid w:val="0061124D"/>
    <w:rsid w:val="00611672"/>
    <w:rsid w:val="00611753"/>
    <w:rsid w:val="006118F1"/>
    <w:rsid w:val="006119D6"/>
    <w:rsid w:val="00611AEE"/>
    <w:rsid w:val="00611ECA"/>
    <w:rsid w:val="00612085"/>
    <w:rsid w:val="006121C4"/>
    <w:rsid w:val="0061287D"/>
    <w:rsid w:val="00612A3D"/>
    <w:rsid w:val="00612B53"/>
    <w:rsid w:val="00612D99"/>
    <w:rsid w:val="00612E8F"/>
    <w:rsid w:val="006136A4"/>
    <w:rsid w:val="006139BF"/>
    <w:rsid w:val="006139E1"/>
    <w:rsid w:val="00613AAB"/>
    <w:rsid w:val="00613C59"/>
    <w:rsid w:val="00613CAD"/>
    <w:rsid w:val="00614176"/>
    <w:rsid w:val="00614579"/>
    <w:rsid w:val="00614F9F"/>
    <w:rsid w:val="006158B6"/>
    <w:rsid w:val="00615CAF"/>
    <w:rsid w:val="006164C3"/>
    <w:rsid w:val="00616608"/>
    <w:rsid w:val="00616BCF"/>
    <w:rsid w:val="00616FC4"/>
    <w:rsid w:val="00617016"/>
    <w:rsid w:val="0061707B"/>
    <w:rsid w:val="0061709C"/>
    <w:rsid w:val="00617561"/>
    <w:rsid w:val="006178D2"/>
    <w:rsid w:val="006179FA"/>
    <w:rsid w:val="00617CC9"/>
    <w:rsid w:val="00620086"/>
    <w:rsid w:val="006202EA"/>
    <w:rsid w:val="006203CE"/>
    <w:rsid w:val="00620AA7"/>
    <w:rsid w:val="00620AB4"/>
    <w:rsid w:val="00620DBF"/>
    <w:rsid w:val="00621147"/>
    <w:rsid w:val="0062123D"/>
    <w:rsid w:val="00621416"/>
    <w:rsid w:val="00621E81"/>
    <w:rsid w:val="00621EC1"/>
    <w:rsid w:val="0062244C"/>
    <w:rsid w:val="0062275A"/>
    <w:rsid w:val="006228D4"/>
    <w:rsid w:val="00622B9C"/>
    <w:rsid w:val="00622BFA"/>
    <w:rsid w:val="006232AC"/>
    <w:rsid w:val="0062346D"/>
    <w:rsid w:val="00623CAC"/>
    <w:rsid w:val="00623D77"/>
    <w:rsid w:val="0062422A"/>
    <w:rsid w:val="00624431"/>
    <w:rsid w:val="0062455D"/>
    <w:rsid w:val="006245D4"/>
    <w:rsid w:val="00624696"/>
    <w:rsid w:val="00624DB9"/>
    <w:rsid w:val="00624ED3"/>
    <w:rsid w:val="00625D0F"/>
    <w:rsid w:val="00625E31"/>
    <w:rsid w:val="0062647C"/>
    <w:rsid w:val="0062686D"/>
    <w:rsid w:val="00626F7B"/>
    <w:rsid w:val="00627321"/>
    <w:rsid w:val="00627B2E"/>
    <w:rsid w:val="00627D5C"/>
    <w:rsid w:val="00627F95"/>
    <w:rsid w:val="006301EC"/>
    <w:rsid w:val="00630383"/>
    <w:rsid w:val="006304E1"/>
    <w:rsid w:val="006307EA"/>
    <w:rsid w:val="00630825"/>
    <w:rsid w:val="00630BB7"/>
    <w:rsid w:val="00630C50"/>
    <w:rsid w:val="00630E71"/>
    <w:rsid w:val="00630EA7"/>
    <w:rsid w:val="00630EDD"/>
    <w:rsid w:val="00630F43"/>
    <w:rsid w:val="0063103F"/>
    <w:rsid w:val="00631479"/>
    <w:rsid w:val="00631A59"/>
    <w:rsid w:val="00631CAB"/>
    <w:rsid w:val="00631E6A"/>
    <w:rsid w:val="00632A4E"/>
    <w:rsid w:val="00632B00"/>
    <w:rsid w:val="00632BDC"/>
    <w:rsid w:val="00632D8A"/>
    <w:rsid w:val="00632F1E"/>
    <w:rsid w:val="00632FBF"/>
    <w:rsid w:val="00633335"/>
    <w:rsid w:val="006334E2"/>
    <w:rsid w:val="006334FD"/>
    <w:rsid w:val="006335BD"/>
    <w:rsid w:val="006336B3"/>
    <w:rsid w:val="0063399B"/>
    <w:rsid w:val="006339C6"/>
    <w:rsid w:val="00633DD4"/>
    <w:rsid w:val="006344F7"/>
    <w:rsid w:val="00634804"/>
    <w:rsid w:val="00634AF5"/>
    <w:rsid w:val="00634B0A"/>
    <w:rsid w:val="00635154"/>
    <w:rsid w:val="006352BF"/>
    <w:rsid w:val="00635527"/>
    <w:rsid w:val="006357C6"/>
    <w:rsid w:val="00635C73"/>
    <w:rsid w:val="006360E4"/>
    <w:rsid w:val="00636695"/>
    <w:rsid w:val="00636856"/>
    <w:rsid w:val="006368CC"/>
    <w:rsid w:val="00636950"/>
    <w:rsid w:val="00636A2F"/>
    <w:rsid w:val="00636CB0"/>
    <w:rsid w:val="0063722B"/>
    <w:rsid w:val="00637445"/>
    <w:rsid w:val="00637A2B"/>
    <w:rsid w:val="00637B0B"/>
    <w:rsid w:val="00637BC0"/>
    <w:rsid w:val="00637CFC"/>
    <w:rsid w:val="00637F73"/>
    <w:rsid w:val="00637F9B"/>
    <w:rsid w:val="00640373"/>
    <w:rsid w:val="006403F5"/>
    <w:rsid w:val="00640452"/>
    <w:rsid w:val="006405A5"/>
    <w:rsid w:val="006407A0"/>
    <w:rsid w:val="00640E99"/>
    <w:rsid w:val="00641081"/>
    <w:rsid w:val="00641691"/>
    <w:rsid w:val="006419FA"/>
    <w:rsid w:val="00641A36"/>
    <w:rsid w:val="00641A78"/>
    <w:rsid w:val="00641A80"/>
    <w:rsid w:val="00641D15"/>
    <w:rsid w:val="00642635"/>
    <w:rsid w:val="00642E61"/>
    <w:rsid w:val="00643189"/>
    <w:rsid w:val="00643679"/>
    <w:rsid w:val="00643CA3"/>
    <w:rsid w:val="00643EF0"/>
    <w:rsid w:val="0064406A"/>
    <w:rsid w:val="00644CB3"/>
    <w:rsid w:val="00644E67"/>
    <w:rsid w:val="006451DB"/>
    <w:rsid w:val="00645FEF"/>
    <w:rsid w:val="00646064"/>
    <w:rsid w:val="0064611B"/>
    <w:rsid w:val="00646218"/>
    <w:rsid w:val="0064623D"/>
    <w:rsid w:val="00646A42"/>
    <w:rsid w:val="00646AD8"/>
    <w:rsid w:val="00646D01"/>
    <w:rsid w:val="00646EC1"/>
    <w:rsid w:val="006477FA"/>
    <w:rsid w:val="006478B3"/>
    <w:rsid w:val="00647A04"/>
    <w:rsid w:val="00647A72"/>
    <w:rsid w:val="00647B41"/>
    <w:rsid w:val="006502ED"/>
    <w:rsid w:val="00650C86"/>
    <w:rsid w:val="00650C8A"/>
    <w:rsid w:val="00650D16"/>
    <w:rsid w:val="00651272"/>
    <w:rsid w:val="006512FB"/>
    <w:rsid w:val="00651462"/>
    <w:rsid w:val="00651519"/>
    <w:rsid w:val="0065182A"/>
    <w:rsid w:val="00651B34"/>
    <w:rsid w:val="00652416"/>
    <w:rsid w:val="006524F3"/>
    <w:rsid w:val="006525D5"/>
    <w:rsid w:val="00652B72"/>
    <w:rsid w:val="00652E50"/>
    <w:rsid w:val="00653C0A"/>
    <w:rsid w:val="00653D48"/>
    <w:rsid w:val="00653E46"/>
    <w:rsid w:val="006540E5"/>
    <w:rsid w:val="0065442F"/>
    <w:rsid w:val="0065481C"/>
    <w:rsid w:val="006548AF"/>
    <w:rsid w:val="00654C77"/>
    <w:rsid w:val="00654C8F"/>
    <w:rsid w:val="00654CAA"/>
    <w:rsid w:val="00654FB0"/>
    <w:rsid w:val="006551C3"/>
    <w:rsid w:val="00655343"/>
    <w:rsid w:val="0065545C"/>
    <w:rsid w:val="0065586A"/>
    <w:rsid w:val="00655C23"/>
    <w:rsid w:val="0065605A"/>
    <w:rsid w:val="006560F0"/>
    <w:rsid w:val="0065651E"/>
    <w:rsid w:val="0065661F"/>
    <w:rsid w:val="0065671B"/>
    <w:rsid w:val="00656922"/>
    <w:rsid w:val="00656923"/>
    <w:rsid w:val="00656AF8"/>
    <w:rsid w:val="00656D17"/>
    <w:rsid w:val="00657F94"/>
    <w:rsid w:val="006605D0"/>
    <w:rsid w:val="00660639"/>
    <w:rsid w:val="006609F4"/>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14E"/>
    <w:rsid w:val="00664572"/>
    <w:rsid w:val="00664A8F"/>
    <w:rsid w:val="00664DCE"/>
    <w:rsid w:val="006651AB"/>
    <w:rsid w:val="0066544B"/>
    <w:rsid w:val="006655E0"/>
    <w:rsid w:val="00665839"/>
    <w:rsid w:val="00665C51"/>
    <w:rsid w:val="006667CF"/>
    <w:rsid w:val="00666AF5"/>
    <w:rsid w:val="00666CFD"/>
    <w:rsid w:val="00666DE8"/>
    <w:rsid w:val="00666F56"/>
    <w:rsid w:val="0066704A"/>
    <w:rsid w:val="006670BF"/>
    <w:rsid w:val="0066717E"/>
    <w:rsid w:val="00667452"/>
    <w:rsid w:val="00667B7D"/>
    <w:rsid w:val="00667F06"/>
    <w:rsid w:val="00670457"/>
    <w:rsid w:val="006706D6"/>
    <w:rsid w:val="006708BB"/>
    <w:rsid w:val="00670A3E"/>
    <w:rsid w:val="00670C62"/>
    <w:rsid w:val="00670D5C"/>
    <w:rsid w:val="00670F5C"/>
    <w:rsid w:val="00671505"/>
    <w:rsid w:val="00671778"/>
    <w:rsid w:val="0067178A"/>
    <w:rsid w:val="006719D4"/>
    <w:rsid w:val="00671ADB"/>
    <w:rsid w:val="00671D68"/>
    <w:rsid w:val="006721E0"/>
    <w:rsid w:val="00672244"/>
    <w:rsid w:val="006725C1"/>
    <w:rsid w:val="00672DF7"/>
    <w:rsid w:val="00672E21"/>
    <w:rsid w:val="00672F07"/>
    <w:rsid w:val="0067307A"/>
    <w:rsid w:val="00673112"/>
    <w:rsid w:val="006733CD"/>
    <w:rsid w:val="006733E7"/>
    <w:rsid w:val="0067356A"/>
    <w:rsid w:val="0067363B"/>
    <w:rsid w:val="00673CC1"/>
    <w:rsid w:val="00674263"/>
    <w:rsid w:val="006743A9"/>
    <w:rsid w:val="00674446"/>
    <w:rsid w:val="00674636"/>
    <w:rsid w:val="006757B4"/>
    <w:rsid w:val="006759A5"/>
    <w:rsid w:val="006759B3"/>
    <w:rsid w:val="00676710"/>
    <w:rsid w:val="00676886"/>
    <w:rsid w:val="006768EC"/>
    <w:rsid w:val="006769FB"/>
    <w:rsid w:val="00676D9A"/>
    <w:rsid w:val="00676DCB"/>
    <w:rsid w:val="00676E6E"/>
    <w:rsid w:val="0067706B"/>
    <w:rsid w:val="0067711D"/>
    <w:rsid w:val="006773F6"/>
    <w:rsid w:val="00677513"/>
    <w:rsid w:val="006778A2"/>
    <w:rsid w:val="00677963"/>
    <w:rsid w:val="00677A65"/>
    <w:rsid w:val="00680627"/>
    <w:rsid w:val="00680974"/>
    <w:rsid w:val="00680A21"/>
    <w:rsid w:val="00680AD4"/>
    <w:rsid w:val="00680AFA"/>
    <w:rsid w:val="00680BE0"/>
    <w:rsid w:val="00680E9C"/>
    <w:rsid w:val="00681277"/>
    <w:rsid w:val="0068145E"/>
    <w:rsid w:val="00681B0D"/>
    <w:rsid w:val="00681CF2"/>
    <w:rsid w:val="00681DDA"/>
    <w:rsid w:val="0068201A"/>
    <w:rsid w:val="00682142"/>
    <w:rsid w:val="0068227C"/>
    <w:rsid w:val="006824DC"/>
    <w:rsid w:val="0068281F"/>
    <w:rsid w:val="00682C91"/>
    <w:rsid w:val="00682D86"/>
    <w:rsid w:val="00682F1F"/>
    <w:rsid w:val="006834A2"/>
    <w:rsid w:val="00683781"/>
    <w:rsid w:val="0068391A"/>
    <w:rsid w:val="0068394B"/>
    <w:rsid w:val="006839EF"/>
    <w:rsid w:val="00683C0E"/>
    <w:rsid w:val="00683D0C"/>
    <w:rsid w:val="00683FFD"/>
    <w:rsid w:val="00684420"/>
    <w:rsid w:val="0068445D"/>
    <w:rsid w:val="006848C8"/>
    <w:rsid w:val="006848EE"/>
    <w:rsid w:val="00684FD9"/>
    <w:rsid w:val="00685252"/>
    <w:rsid w:val="00685490"/>
    <w:rsid w:val="00685C8F"/>
    <w:rsid w:val="00685D49"/>
    <w:rsid w:val="0068627A"/>
    <w:rsid w:val="0068629A"/>
    <w:rsid w:val="006863C8"/>
    <w:rsid w:val="006863C9"/>
    <w:rsid w:val="006868C5"/>
    <w:rsid w:val="00686EBE"/>
    <w:rsid w:val="00686EE8"/>
    <w:rsid w:val="00687167"/>
    <w:rsid w:val="006872B3"/>
    <w:rsid w:val="0068768A"/>
    <w:rsid w:val="00687AAF"/>
    <w:rsid w:val="00687B7F"/>
    <w:rsid w:val="00687C43"/>
    <w:rsid w:val="00687F78"/>
    <w:rsid w:val="0069003D"/>
    <w:rsid w:val="006900D9"/>
    <w:rsid w:val="0069021D"/>
    <w:rsid w:val="00690269"/>
    <w:rsid w:val="0069039D"/>
    <w:rsid w:val="006904DE"/>
    <w:rsid w:val="00690621"/>
    <w:rsid w:val="00690BA6"/>
    <w:rsid w:val="0069107E"/>
    <w:rsid w:val="00691570"/>
    <w:rsid w:val="0069199F"/>
    <w:rsid w:val="00691B9B"/>
    <w:rsid w:val="006924AB"/>
    <w:rsid w:val="006924C1"/>
    <w:rsid w:val="00692568"/>
    <w:rsid w:val="00692B92"/>
    <w:rsid w:val="00692D52"/>
    <w:rsid w:val="00692D64"/>
    <w:rsid w:val="006932D6"/>
    <w:rsid w:val="0069341E"/>
    <w:rsid w:val="0069360A"/>
    <w:rsid w:val="0069397B"/>
    <w:rsid w:val="00693A74"/>
    <w:rsid w:val="00693C05"/>
    <w:rsid w:val="00693CA1"/>
    <w:rsid w:val="00693D64"/>
    <w:rsid w:val="00694466"/>
    <w:rsid w:val="00694644"/>
    <w:rsid w:val="00694C07"/>
    <w:rsid w:val="00694DEE"/>
    <w:rsid w:val="00694E9D"/>
    <w:rsid w:val="00695385"/>
    <w:rsid w:val="006959EF"/>
    <w:rsid w:val="00695B7A"/>
    <w:rsid w:val="00695F30"/>
    <w:rsid w:val="00696286"/>
    <w:rsid w:val="006966E9"/>
    <w:rsid w:val="0069671B"/>
    <w:rsid w:val="0069682A"/>
    <w:rsid w:val="00696DE0"/>
    <w:rsid w:val="00696F80"/>
    <w:rsid w:val="006974A9"/>
    <w:rsid w:val="00697552"/>
    <w:rsid w:val="00697A94"/>
    <w:rsid w:val="00697B5A"/>
    <w:rsid w:val="00697C39"/>
    <w:rsid w:val="006A0630"/>
    <w:rsid w:val="006A07F3"/>
    <w:rsid w:val="006A0D3F"/>
    <w:rsid w:val="006A131A"/>
    <w:rsid w:val="006A16AE"/>
    <w:rsid w:val="006A181F"/>
    <w:rsid w:val="006A1DCA"/>
    <w:rsid w:val="006A1DCF"/>
    <w:rsid w:val="006A222B"/>
    <w:rsid w:val="006A225A"/>
    <w:rsid w:val="006A2B9D"/>
    <w:rsid w:val="006A2DF3"/>
    <w:rsid w:val="006A2FC8"/>
    <w:rsid w:val="006A3704"/>
    <w:rsid w:val="006A3A8A"/>
    <w:rsid w:val="006A3B2D"/>
    <w:rsid w:val="006A3C6A"/>
    <w:rsid w:val="006A3D10"/>
    <w:rsid w:val="006A47BB"/>
    <w:rsid w:val="006A4AEB"/>
    <w:rsid w:val="006A4C24"/>
    <w:rsid w:val="006A4CBA"/>
    <w:rsid w:val="006A4DA6"/>
    <w:rsid w:val="006A4FAD"/>
    <w:rsid w:val="006A553F"/>
    <w:rsid w:val="006A5605"/>
    <w:rsid w:val="006A5B5A"/>
    <w:rsid w:val="006A5F88"/>
    <w:rsid w:val="006A616D"/>
    <w:rsid w:val="006A62AE"/>
    <w:rsid w:val="006A678F"/>
    <w:rsid w:val="006A69B8"/>
    <w:rsid w:val="006A6AD9"/>
    <w:rsid w:val="006A6C83"/>
    <w:rsid w:val="006A6D5D"/>
    <w:rsid w:val="006A7167"/>
    <w:rsid w:val="006A7524"/>
    <w:rsid w:val="006A7629"/>
    <w:rsid w:val="006A77F4"/>
    <w:rsid w:val="006A78FD"/>
    <w:rsid w:val="006A7935"/>
    <w:rsid w:val="006A7C99"/>
    <w:rsid w:val="006A7E7C"/>
    <w:rsid w:val="006A7FCC"/>
    <w:rsid w:val="006B00C9"/>
    <w:rsid w:val="006B0404"/>
    <w:rsid w:val="006B0450"/>
    <w:rsid w:val="006B0542"/>
    <w:rsid w:val="006B08DE"/>
    <w:rsid w:val="006B103E"/>
    <w:rsid w:val="006B183C"/>
    <w:rsid w:val="006B184D"/>
    <w:rsid w:val="006B1929"/>
    <w:rsid w:val="006B19C6"/>
    <w:rsid w:val="006B1A75"/>
    <w:rsid w:val="006B1FD0"/>
    <w:rsid w:val="006B22C7"/>
    <w:rsid w:val="006B242D"/>
    <w:rsid w:val="006B28C1"/>
    <w:rsid w:val="006B2E0C"/>
    <w:rsid w:val="006B2F56"/>
    <w:rsid w:val="006B3316"/>
    <w:rsid w:val="006B3471"/>
    <w:rsid w:val="006B36ED"/>
    <w:rsid w:val="006B3702"/>
    <w:rsid w:val="006B38BA"/>
    <w:rsid w:val="006B39F0"/>
    <w:rsid w:val="006B3AB1"/>
    <w:rsid w:val="006B3B01"/>
    <w:rsid w:val="006B3B6B"/>
    <w:rsid w:val="006B3CCA"/>
    <w:rsid w:val="006B4156"/>
    <w:rsid w:val="006B472F"/>
    <w:rsid w:val="006B4890"/>
    <w:rsid w:val="006B4B57"/>
    <w:rsid w:val="006B4DCA"/>
    <w:rsid w:val="006B4EFA"/>
    <w:rsid w:val="006B522A"/>
    <w:rsid w:val="006B5312"/>
    <w:rsid w:val="006B57B4"/>
    <w:rsid w:val="006B5EAE"/>
    <w:rsid w:val="006B604E"/>
    <w:rsid w:val="006B61D9"/>
    <w:rsid w:val="006B6ADC"/>
    <w:rsid w:val="006B6D68"/>
    <w:rsid w:val="006B6E2B"/>
    <w:rsid w:val="006B71DE"/>
    <w:rsid w:val="006B7458"/>
    <w:rsid w:val="006B7888"/>
    <w:rsid w:val="006B7EB2"/>
    <w:rsid w:val="006C05F1"/>
    <w:rsid w:val="006C0B95"/>
    <w:rsid w:val="006C0D17"/>
    <w:rsid w:val="006C0DE8"/>
    <w:rsid w:val="006C0F91"/>
    <w:rsid w:val="006C1459"/>
    <w:rsid w:val="006C145C"/>
    <w:rsid w:val="006C1C1A"/>
    <w:rsid w:val="006C1D13"/>
    <w:rsid w:val="006C1E2F"/>
    <w:rsid w:val="006C2092"/>
    <w:rsid w:val="006C2840"/>
    <w:rsid w:val="006C28EC"/>
    <w:rsid w:val="006C2AB6"/>
    <w:rsid w:val="006C2F9C"/>
    <w:rsid w:val="006C30A1"/>
    <w:rsid w:val="006C31BB"/>
    <w:rsid w:val="006C32CA"/>
    <w:rsid w:val="006C3353"/>
    <w:rsid w:val="006C33B3"/>
    <w:rsid w:val="006C3AF3"/>
    <w:rsid w:val="006C4110"/>
    <w:rsid w:val="006C453C"/>
    <w:rsid w:val="006C46B7"/>
    <w:rsid w:val="006C49E4"/>
    <w:rsid w:val="006C4BE6"/>
    <w:rsid w:val="006C4D44"/>
    <w:rsid w:val="006C4DC3"/>
    <w:rsid w:val="006C4E6E"/>
    <w:rsid w:val="006C5A80"/>
    <w:rsid w:val="006C5BA4"/>
    <w:rsid w:val="006C5BEB"/>
    <w:rsid w:val="006C5C1F"/>
    <w:rsid w:val="006C5EC0"/>
    <w:rsid w:val="006C60D1"/>
    <w:rsid w:val="006C64CA"/>
    <w:rsid w:val="006C65BE"/>
    <w:rsid w:val="006C66D6"/>
    <w:rsid w:val="006C6BBB"/>
    <w:rsid w:val="006C6D5E"/>
    <w:rsid w:val="006C741A"/>
    <w:rsid w:val="006C74DC"/>
    <w:rsid w:val="006C79ED"/>
    <w:rsid w:val="006C7B53"/>
    <w:rsid w:val="006C7BC1"/>
    <w:rsid w:val="006C7BFB"/>
    <w:rsid w:val="006C7DA2"/>
    <w:rsid w:val="006D0236"/>
    <w:rsid w:val="006D04FB"/>
    <w:rsid w:val="006D0636"/>
    <w:rsid w:val="006D0BE3"/>
    <w:rsid w:val="006D0D76"/>
    <w:rsid w:val="006D103F"/>
    <w:rsid w:val="006D17A2"/>
    <w:rsid w:val="006D1A1F"/>
    <w:rsid w:val="006D1A86"/>
    <w:rsid w:val="006D1B91"/>
    <w:rsid w:val="006D1B98"/>
    <w:rsid w:val="006D1D63"/>
    <w:rsid w:val="006D1E9C"/>
    <w:rsid w:val="006D2229"/>
    <w:rsid w:val="006D22C0"/>
    <w:rsid w:val="006D2FBC"/>
    <w:rsid w:val="006D326B"/>
    <w:rsid w:val="006D34E9"/>
    <w:rsid w:val="006D3AFB"/>
    <w:rsid w:val="006D3B3B"/>
    <w:rsid w:val="006D41D7"/>
    <w:rsid w:val="006D420D"/>
    <w:rsid w:val="006D45F6"/>
    <w:rsid w:val="006D47A5"/>
    <w:rsid w:val="006D4A30"/>
    <w:rsid w:val="006D4A31"/>
    <w:rsid w:val="006D4BCB"/>
    <w:rsid w:val="006D4D27"/>
    <w:rsid w:val="006D4DC0"/>
    <w:rsid w:val="006D4ED6"/>
    <w:rsid w:val="006D4FD0"/>
    <w:rsid w:val="006D5045"/>
    <w:rsid w:val="006D508A"/>
    <w:rsid w:val="006D5243"/>
    <w:rsid w:val="006D56A1"/>
    <w:rsid w:val="006D5CF8"/>
    <w:rsid w:val="006D5DE5"/>
    <w:rsid w:val="006D633F"/>
    <w:rsid w:val="006D6593"/>
    <w:rsid w:val="006D65FB"/>
    <w:rsid w:val="006D660C"/>
    <w:rsid w:val="006D6654"/>
    <w:rsid w:val="006D67C9"/>
    <w:rsid w:val="006D6F41"/>
    <w:rsid w:val="006D7223"/>
    <w:rsid w:val="006D7249"/>
    <w:rsid w:val="006D7368"/>
    <w:rsid w:val="006D7647"/>
    <w:rsid w:val="006D771E"/>
    <w:rsid w:val="006D790E"/>
    <w:rsid w:val="006D7A04"/>
    <w:rsid w:val="006D7B1B"/>
    <w:rsid w:val="006E0091"/>
    <w:rsid w:val="006E013F"/>
    <w:rsid w:val="006E015B"/>
    <w:rsid w:val="006E0165"/>
    <w:rsid w:val="006E0231"/>
    <w:rsid w:val="006E03A8"/>
    <w:rsid w:val="006E03D3"/>
    <w:rsid w:val="006E050F"/>
    <w:rsid w:val="006E0510"/>
    <w:rsid w:val="006E0762"/>
    <w:rsid w:val="006E079C"/>
    <w:rsid w:val="006E0871"/>
    <w:rsid w:val="006E09FD"/>
    <w:rsid w:val="006E0E48"/>
    <w:rsid w:val="006E0F19"/>
    <w:rsid w:val="006E11FC"/>
    <w:rsid w:val="006E1593"/>
    <w:rsid w:val="006E16B4"/>
    <w:rsid w:val="006E174B"/>
    <w:rsid w:val="006E17ED"/>
    <w:rsid w:val="006E1802"/>
    <w:rsid w:val="006E1CA0"/>
    <w:rsid w:val="006E2229"/>
    <w:rsid w:val="006E2382"/>
    <w:rsid w:val="006E25AE"/>
    <w:rsid w:val="006E26BB"/>
    <w:rsid w:val="006E2A96"/>
    <w:rsid w:val="006E2CE9"/>
    <w:rsid w:val="006E2DDD"/>
    <w:rsid w:val="006E3C2D"/>
    <w:rsid w:val="006E3D7D"/>
    <w:rsid w:val="006E3DE9"/>
    <w:rsid w:val="006E3FA7"/>
    <w:rsid w:val="006E3FD6"/>
    <w:rsid w:val="006E44D4"/>
    <w:rsid w:val="006E4551"/>
    <w:rsid w:val="006E4633"/>
    <w:rsid w:val="006E46A0"/>
    <w:rsid w:val="006E46D8"/>
    <w:rsid w:val="006E48BF"/>
    <w:rsid w:val="006E4DE2"/>
    <w:rsid w:val="006E58CB"/>
    <w:rsid w:val="006E5AE4"/>
    <w:rsid w:val="006E5B74"/>
    <w:rsid w:val="006E5D84"/>
    <w:rsid w:val="006E5E3C"/>
    <w:rsid w:val="006E60AB"/>
    <w:rsid w:val="006E6644"/>
    <w:rsid w:val="006E67FC"/>
    <w:rsid w:val="006E68FE"/>
    <w:rsid w:val="006E6A1E"/>
    <w:rsid w:val="006E70CE"/>
    <w:rsid w:val="006E7507"/>
    <w:rsid w:val="006E7560"/>
    <w:rsid w:val="006E782B"/>
    <w:rsid w:val="006E783D"/>
    <w:rsid w:val="006E7CF9"/>
    <w:rsid w:val="006F010B"/>
    <w:rsid w:val="006F0D5D"/>
    <w:rsid w:val="006F0E67"/>
    <w:rsid w:val="006F1D68"/>
    <w:rsid w:val="006F1D70"/>
    <w:rsid w:val="006F1E8B"/>
    <w:rsid w:val="006F1F0B"/>
    <w:rsid w:val="006F20E8"/>
    <w:rsid w:val="006F25FC"/>
    <w:rsid w:val="006F2715"/>
    <w:rsid w:val="006F2C1E"/>
    <w:rsid w:val="006F2FEE"/>
    <w:rsid w:val="006F305B"/>
    <w:rsid w:val="006F323F"/>
    <w:rsid w:val="006F359B"/>
    <w:rsid w:val="006F35F5"/>
    <w:rsid w:val="006F3907"/>
    <w:rsid w:val="006F394B"/>
    <w:rsid w:val="006F485C"/>
    <w:rsid w:val="006F494F"/>
    <w:rsid w:val="006F509E"/>
    <w:rsid w:val="006F57BB"/>
    <w:rsid w:val="006F63D4"/>
    <w:rsid w:val="006F6613"/>
    <w:rsid w:val="006F7138"/>
    <w:rsid w:val="006F7372"/>
    <w:rsid w:val="006F759B"/>
    <w:rsid w:val="006F761E"/>
    <w:rsid w:val="006F766A"/>
    <w:rsid w:val="006F77C1"/>
    <w:rsid w:val="006F7AAB"/>
    <w:rsid w:val="006F7B65"/>
    <w:rsid w:val="006F7DEB"/>
    <w:rsid w:val="0070030F"/>
    <w:rsid w:val="00700796"/>
    <w:rsid w:val="007009C1"/>
    <w:rsid w:val="00700D86"/>
    <w:rsid w:val="0070127C"/>
    <w:rsid w:val="00701409"/>
    <w:rsid w:val="007019C1"/>
    <w:rsid w:val="00701AA0"/>
    <w:rsid w:val="00701BC8"/>
    <w:rsid w:val="00701E08"/>
    <w:rsid w:val="00701E53"/>
    <w:rsid w:val="007024A3"/>
    <w:rsid w:val="00702548"/>
    <w:rsid w:val="0070265F"/>
    <w:rsid w:val="00702916"/>
    <w:rsid w:val="00702F13"/>
    <w:rsid w:val="00702F34"/>
    <w:rsid w:val="00702FE0"/>
    <w:rsid w:val="0070306E"/>
    <w:rsid w:val="00703367"/>
    <w:rsid w:val="00703424"/>
    <w:rsid w:val="007036DB"/>
    <w:rsid w:val="0070396E"/>
    <w:rsid w:val="00703D39"/>
    <w:rsid w:val="00703EF8"/>
    <w:rsid w:val="00703F96"/>
    <w:rsid w:val="00704145"/>
    <w:rsid w:val="00704311"/>
    <w:rsid w:val="00704326"/>
    <w:rsid w:val="00704562"/>
    <w:rsid w:val="007048D6"/>
    <w:rsid w:val="00704B2E"/>
    <w:rsid w:val="00704EA4"/>
    <w:rsid w:val="00704F3F"/>
    <w:rsid w:val="007050C5"/>
    <w:rsid w:val="007052A7"/>
    <w:rsid w:val="0070546B"/>
    <w:rsid w:val="00705B4C"/>
    <w:rsid w:val="0070618B"/>
    <w:rsid w:val="00706483"/>
    <w:rsid w:val="00706CB8"/>
    <w:rsid w:val="00706E1C"/>
    <w:rsid w:val="00707542"/>
    <w:rsid w:val="00707772"/>
    <w:rsid w:val="00707848"/>
    <w:rsid w:val="00707B0C"/>
    <w:rsid w:val="007100E2"/>
    <w:rsid w:val="007104FD"/>
    <w:rsid w:val="0071056C"/>
    <w:rsid w:val="00710889"/>
    <w:rsid w:val="00710A1C"/>
    <w:rsid w:val="00710BB6"/>
    <w:rsid w:val="00710EAF"/>
    <w:rsid w:val="0071127F"/>
    <w:rsid w:val="007113A5"/>
    <w:rsid w:val="0071155B"/>
    <w:rsid w:val="00711A14"/>
    <w:rsid w:val="00711A3B"/>
    <w:rsid w:val="00711C3A"/>
    <w:rsid w:val="00711E65"/>
    <w:rsid w:val="00711F6D"/>
    <w:rsid w:val="00712584"/>
    <w:rsid w:val="007125CC"/>
    <w:rsid w:val="007125E3"/>
    <w:rsid w:val="00712659"/>
    <w:rsid w:val="0071271C"/>
    <w:rsid w:val="007128A1"/>
    <w:rsid w:val="0071297D"/>
    <w:rsid w:val="00712C69"/>
    <w:rsid w:val="00713045"/>
    <w:rsid w:val="0071308B"/>
    <w:rsid w:val="0071329A"/>
    <w:rsid w:val="00713C09"/>
    <w:rsid w:val="00714876"/>
    <w:rsid w:val="00715188"/>
    <w:rsid w:val="007154F7"/>
    <w:rsid w:val="007155C2"/>
    <w:rsid w:val="007155F1"/>
    <w:rsid w:val="00715A8F"/>
    <w:rsid w:val="00715D6D"/>
    <w:rsid w:val="00715E2A"/>
    <w:rsid w:val="00715EEB"/>
    <w:rsid w:val="0071610F"/>
    <w:rsid w:val="00716437"/>
    <w:rsid w:val="00716831"/>
    <w:rsid w:val="00716BE7"/>
    <w:rsid w:val="00716C7F"/>
    <w:rsid w:val="00716CCD"/>
    <w:rsid w:val="00716D1B"/>
    <w:rsid w:val="00716F14"/>
    <w:rsid w:val="00716F3E"/>
    <w:rsid w:val="00716FBE"/>
    <w:rsid w:val="007173E2"/>
    <w:rsid w:val="00717468"/>
    <w:rsid w:val="00717817"/>
    <w:rsid w:val="00717B6E"/>
    <w:rsid w:val="00717F55"/>
    <w:rsid w:val="0072005B"/>
    <w:rsid w:val="00720216"/>
    <w:rsid w:val="00720284"/>
    <w:rsid w:val="007202F9"/>
    <w:rsid w:val="007204B5"/>
    <w:rsid w:val="0072078F"/>
    <w:rsid w:val="00720868"/>
    <w:rsid w:val="00720869"/>
    <w:rsid w:val="007208A1"/>
    <w:rsid w:val="00720977"/>
    <w:rsid w:val="007209B8"/>
    <w:rsid w:val="00720B2A"/>
    <w:rsid w:val="00720C9A"/>
    <w:rsid w:val="00720D5A"/>
    <w:rsid w:val="00721065"/>
    <w:rsid w:val="00721137"/>
    <w:rsid w:val="007219FB"/>
    <w:rsid w:val="00721A1A"/>
    <w:rsid w:val="00721DE7"/>
    <w:rsid w:val="00721FB5"/>
    <w:rsid w:val="00722248"/>
    <w:rsid w:val="007223B0"/>
    <w:rsid w:val="007228D5"/>
    <w:rsid w:val="00722E50"/>
    <w:rsid w:val="007239CD"/>
    <w:rsid w:val="00723A0E"/>
    <w:rsid w:val="00723BAB"/>
    <w:rsid w:val="00723E94"/>
    <w:rsid w:val="00723F81"/>
    <w:rsid w:val="00724461"/>
    <w:rsid w:val="00724551"/>
    <w:rsid w:val="00724597"/>
    <w:rsid w:val="007246C6"/>
    <w:rsid w:val="00724837"/>
    <w:rsid w:val="0072495A"/>
    <w:rsid w:val="00724F45"/>
    <w:rsid w:val="00724F6E"/>
    <w:rsid w:val="007250C3"/>
    <w:rsid w:val="007250D3"/>
    <w:rsid w:val="00725AB5"/>
    <w:rsid w:val="00725B90"/>
    <w:rsid w:val="00725E0D"/>
    <w:rsid w:val="00725F45"/>
    <w:rsid w:val="0072625A"/>
    <w:rsid w:val="0072635A"/>
    <w:rsid w:val="007265A2"/>
    <w:rsid w:val="007266EC"/>
    <w:rsid w:val="00726925"/>
    <w:rsid w:val="00726A96"/>
    <w:rsid w:val="00726AFA"/>
    <w:rsid w:val="00726F20"/>
    <w:rsid w:val="007272A9"/>
    <w:rsid w:val="00727852"/>
    <w:rsid w:val="00727FA0"/>
    <w:rsid w:val="0073035D"/>
    <w:rsid w:val="007303F0"/>
    <w:rsid w:val="00730439"/>
    <w:rsid w:val="00730AAA"/>
    <w:rsid w:val="00730E87"/>
    <w:rsid w:val="0073143C"/>
    <w:rsid w:val="00731529"/>
    <w:rsid w:val="00731BEA"/>
    <w:rsid w:val="007328BA"/>
    <w:rsid w:val="00732967"/>
    <w:rsid w:val="0073299B"/>
    <w:rsid w:val="00732CC7"/>
    <w:rsid w:val="00732EFB"/>
    <w:rsid w:val="00732FA4"/>
    <w:rsid w:val="007330A9"/>
    <w:rsid w:val="007330D0"/>
    <w:rsid w:val="00733576"/>
    <w:rsid w:val="0073365A"/>
    <w:rsid w:val="007342B3"/>
    <w:rsid w:val="007343B0"/>
    <w:rsid w:val="007347DD"/>
    <w:rsid w:val="0073481A"/>
    <w:rsid w:val="00735510"/>
    <w:rsid w:val="0073568A"/>
    <w:rsid w:val="00735B3B"/>
    <w:rsid w:val="00736499"/>
    <w:rsid w:val="007366F5"/>
    <w:rsid w:val="00736916"/>
    <w:rsid w:val="00736A0F"/>
    <w:rsid w:val="00736E0F"/>
    <w:rsid w:val="00736E8A"/>
    <w:rsid w:val="00736EA0"/>
    <w:rsid w:val="0073704A"/>
    <w:rsid w:val="007373CA"/>
    <w:rsid w:val="007377CF"/>
    <w:rsid w:val="00737901"/>
    <w:rsid w:val="00737937"/>
    <w:rsid w:val="00737C24"/>
    <w:rsid w:val="00737D42"/>
    <w:rsid w:val="00737EF7"/>
    <w:rsid w:val="007402AA"/>
    <w:rsid w:val="00740755"/>
    <w:rsid w:val="00740857"/>
    <w:rsid w:val="00740E49"/>
    <w:rsid w:val="00741111"/>
    <w:rsid w:val="0074150B"/>
    <w:rsid w:val="0074159F"/>
    <w:rsid w:val="00741FFC"/>
    <w:rsid w:val="0074232D"/>
    <w:rsid w:val="0074264A"/>
    <w:rsid w:val="00742653"/>
    <w:rsid w:val="0074299B"/>
    <w:rsid w:val="00742E30"/>
    <w:rsid w:val="00742F7B"/>
    <w:rsid w:val="0074312B"/>
    <w:rsid w:val="0074392F"/>
    <w:rsid w:val="0074396B"/>
    <w:rsid w:val="00743B90"/>
    <w:rsid w:val="00743F39"/>
    <w:rsid w:val="00744563"/>
    <w:rsid w:val="00744FC2"/>
    <w:rsid w:val="0074523E"/>
    <w:rsid w:val="0074577C"/>
    <w:rsid w:val="00746001"/>
    <w:rsid w:val="0074611A"/>
    <w:rsid w:val="007468FE"/>
    <w:rsid w:val="00746905"/>
    <w:rsid w:val="00746F5B"/>
    <w:rsid w:val="00746FF5"/>
    <w:rsid w:val="0074700A"/>
    <w:rsid w:val="00747510"/>
    <w:rsid w:val="0074754A"/>
    <w:rsid w:val="0074791A"/>
    <w:rsid w:val="007479A4"/>
    <w:rsid w:val="00747BC9"/>
    <w:rsid w:val="00747D2D"/>
    <w:rsid w:val="0075015E"/>
    <w:rsid w:val="00750235"/>
    <w:rsid w:val="0075034F"/>
    <w:rsid w:val="007505F0"/>
    <w:rsid w:val="00750ADC"/>
    <w:rsid w:val="00750C61"/>
    <w:rsid w:val="00750CEF"/>
    <w:rsid w:val="0075191D"/>
    <w:rsid w:val="0075193C"/>
    <w:rsid w:val="00751BC2"/>
    <w:rsid w:val="00751C5B"/>
    <w:rsid w:val="00751F4C"/>
    <w:rsid w:val="0075207B"/>
    <w:rsid w:val="0075265C"/>
    <w:rsid w:val="00752C74"/>
    <w:rsid w:val="00752DE9"/>
    <w:rsid w:val="00753695"/>
    <w:rsid w:val="00753782"/>
    <w:rsid w:val="00753C06"/>
    <w:rsid w:val="0075421C"/>
    <w:rsid w:val="00754AFE"/>
    <w:rsid w:val="00754B3F"/>
    <w:rsid w:val="00754CC0"/>
    <w:rsid w:val="00755760"/>
    <w:rsid w:val="00755C18"/>
    <w:rsid w:val="00755D0D"/>
    <w:rsid w:val="0075622A"/>
    <w:rsid w:val="007562BD"/>
    <w:rsid w:val="00756710"/>
    <w:rsid w:val="0075681B"/>
    <w:rsid w:val="00756874"/>
    <w:rsid w:val="00756943"/>
    <w:rsid w:val="00756B06"/>
    <w:rsid w:val="00756D18"/>
    <w:rsid w:val="00756E53"/>
    <w:rsid w:val="0075707B"/>
    <w:rsid w:val="00757297"/>
    <w:rsid w:val="007572D2"/>
    <w:rsid w:val="007577D1"/>
    <w:rsid w:val="00757BFE"/>
    <w:rsid w:val="00757E6B"/>
    <w:rsid w:val="007603E5"/>
    <w:rsid w:val="007604F6"/>
    <w:rsid w:val="00760F51"/>
    <w:rsid w:val="00760F6D"/>
    <w:rsid w:val="0076151D"/>
    <w:rsid w:val="007619F1"/>
    <w:rsid w:val="00761FFE"/>
    <w:rsid w:val="00762000"/>
    <w:rsid w:val="007620B7"/>
    <w:rsid w:val="00762572"/>
    <w:rsid w:val="00762712"/>
    <w:rsid w:val="0076275C"/>
    <w:rsid w:val="00763171"/>
    <w:rsid w:val="00763194"/>
    <w:rsid w:val="0076378E"/>
    <w:rsid w:val="007637C8"/>
    <w:rsid w:val="007637D1"/>
    <w:rsid w:val="007637F9"/>
    <w:rsid w:val="00763C27"/>
    <w:rsid w:val="00763EC0"/>
    <w:rsid w:val="00763EDB"/>
    <w:rsid w:val="00763F75"/>
    <w:rsid w:val="0076491B"/>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A39"/>
    <w:rsid w:val="00767C9D"/>
    <w:rsid w:val="00767CC7"/>
    <w:rsid w:val="00767FA4"/>
    <w:rsid w:val="00767FE9"/>
    <w:rsid w:val="0077055B"/>
    <w:rsid w:val="00770586"/>
    <w:rsid w:val="007705F6"/>
    <w:rsid w:val="00770831"/>
    <w:rsid w:val="007709BA"/>
    <w:rsid w:val="00770B52"/>
    <w:rsid w:val="0077102E"/>
    <w:rsid w:val="00771192"/>
    <w:rsid w:val="007711E9"/>
    <w:rsid w:val="00771260"/>
    <w:rsid w:val="007715C9"/>
    <w:rsid w:val="00771A69"/>
    <w:rsid w:val="00771DDB"/>
    <w:rsid w:val="00771ECA"/>
    <w:rsid w:val="00772022"/>
    <w:rsid w:val="00772429"/>
    <w:rsid w:val="00772F80"/>
    <w:rsid w:val="00773504"/>
    <w:rsid w:val="0077394F"/>
    <w:rsid w:val="00773A21"/>
    <w:rsid w:val="00773DA0"/>
    <w:rsid w:val="00774033"/>
    <w:rsid w:val="007742B5"/>
    <w:rsid w:val="00774F1D"/>
    <w:rsid w:val="007751C6"/>
    <w:rsid w:val="00775209"/>
    <w:rsid w:val="0077538E"/>
    <w:rsid w:val="00775584"/>
    <w:rsid w:val="007762EA"/>
    <w:rsid w:val="0077693C"/>
    <w:rsid w:val="00776BD9"/>
    <w:rsid w:val="00777050"/>
    <w:rsid w:val="00777126"/>
    <w:rsid w:val="007779BE"/>
    <w:rsid w:val="007779F4"/>
    <w:rsid w:val="00777B21"/>
    <w:rsid w:val="00777E94"/>
    <w:rsid w:val="00780072"/>
    <w:rsid w:val="0078032A"/>
    <w:rsid w:val="0078074E"/>
    <w:rsid w:val="007807ED"/>
    <w:rsid w:val="00780AA7"/>
    <w:rsid w:val="00780B3F"/>
    <w:rsid w:val="00780BDA"/>
    <w:rsid w:val="00780C80"/>
    <w:rsid w:val="0078135D"/>
    <w:rsid w:val="00781720"/>
    <w:rsid w:val="007817FE"/>
    <w:rsid w:val="007818CE"/>
    <w:rsid w:val="00781D7E"/>
    <w:rsid w:val="00781DE7"/>
    <w:rsid w:val="00781FD4"/>
    <w:rsid w:val="00782149"/>
    <w:rsid w:val="007822BE"/>
    <w:rsid w:val="00782467"/>
    <w:rsid w:val="00782489"/>
    <w:rsid w:val="00782B9F"/>
    <w:rsid w:val="00782C28"/>
    <w:rsid w:val="00783046"/>
    <w:rsid w:val="007830E7"/>
    <w:rsid w:val="007832EF"/>
    <w:rsid w:val="007834DC"/>
    <w:rsid w:val="007834E9"/>
    <w:rsid w:val="00783527"/>
    <w:rsid w:val="00783543"/>
    <w:rsid w:val="0078356A"/>
    <w:rsid w:val="007837B1"/>
    <w:rsid w:val="0078385D"/>
    <w:rsid w:val="00783987"/>
    <w:rsid w:val="00783AC2"/>
    <w:rsid w:val="00783D9A"/>
    <w:rsid w:val="00783FFD"/>
    <w:rsid w:val="00784342"/>
    <w:rsid w:val="0078487B"/>
    <w:rsid w:val="00784921"/>
    <w:rsid w:val="00784C40"/>
    <w:rsid w:val="00784DFE"/>
    <w:rsid w:val="00784ED4"/>
    <w:rsid w:val="0078505E"/>
    <w:rsid w:val="00785224"/>
    <w:rsid w:val="0078531E"/>
    <w:rsid w:val="00785361"/>
    <w:rsid w:val="00785513"/>
    <w:rsid w:val="00785603"/>
    <w:rsid w:val="007856CE"/>
    <w:rsid w:val="007857EB"/>
    <w:rsid w:val="00785948"/>
    <w:rsid w:val="00785DCC"/>
    <w:rsid w:val="00786073"/>
    <w:rsid w:val="007862B0"/>
    <w:rsid w:val="00786440"/>
    <w:rsid w:val="007864EE"/>
    <w:rsid w:val="00786D9B"/>
    <w:rsid w:val="00787052"/>
    <w:rsid w:val="00787348"/>
    <w:rsid w:val="007873B9"/>
    <w:rsid w:val="00787502"/>
    <w:rsid w:val="0078794D"/>
    <w:rsid w:val="007879B0"/>
    <w:rsid w:val="00787B7A"/>
    <w:rsid w:val="00790297"/>
    <w:rsid w:val="007905C3"/>
    <w:rsid w:val="0079081E"/>
    <w:rsid w:val="00790A3B"/>
    <w:rsid w:val="00790DE8"/>
    <w:rsid w:val="007912B3"/>
    <w:rsid w:val="00791314"/>
    <w:rsid w:val="00792552"/>
    <w:rsid w:val="0079284A"/>
    <w:rsid w:val="00792991"/>
    <w:rsid w:val="00792A6C"/>
    <w:rsid w:val="00792BBD"/>
    <w:rsid w:val="00793503"/>
    <w:rsid w:val="00793645"/>
    <w:rsid w:val="00793697"/>
    <w:rsid w:val="00793CCC"/>
    <w:rsid w:val="0079403F"/>
    <w:rsid w:val="00794492"/>
    <w:rsid w:val="007944A7"/>
    <w:rsid w:val="00794634"/>
    <w:rsid w:val="00794AF6"/>
    <w:rsid w:val="00794BAB"/>
    <w:rsid w:val="00794F5E"/>
    <w:rsid w:val="00795051"/>
    <w:rsid w:val="007950D9"/>
    <w:rsid w:val="007951B8"/>
    <w:rsid w:val="007951F7"/>
    <w:rsid w:val="00795276"/>
    <w:rsid w:val="007952F2"/>
    <w:rsid w:val="00795591"/>
    <w:rsid w:val="00795870"/>
    <w:rsid w:val="00795881"/>
    <w:rsid w:val="007967FB"/>
    <w:rsid w:val="00796B21"/>
    <w:rsid w:val="00796BE1"/>
    <w:rsid w:val="00797024"/>
    <w:rsid w:val="00797092"/>
    <w:rsid w:val="00797A25"/>
    <w:rsid w:val="00797AC0"/>
    <w:rsid w:val="007A0699"/>
    <w:rsid w:val="007A0774"/>
    <w:rsid w:val="007A0967"/>
    <w:rsid w:val="007A0A88"/>
    <w:rsid w:val="007A0D0D"/>
    <w:rsid w:val="007A0E52"/>
    <w:rsid w:val="007A1522"/>
    <w:rsid w:val="007A176D"/>
    <w:rsid w:val="007A1E2F"/>
    <w:rsid w:val="007A2052"/>
    <w:rsid w:val="007A2059"/>
    <w:rsid w:val="007A2169"/>
    <w:rsid w:val="007A234C"/>
    <w:rsid w:val="007A2739"/>
    <w:rsid w:val="007A2A30"/>
    <w:rsid w:val="007A2B79"/>
    <w:rsid w:val="007A2DC7"/>
    <w:rsid w:val="007A2F5F"/>
    <w:rsid w:val="007A30A8"/>
    <w:rsid w:val="007A30AB"/>
    <w:rsid w:val="007A320E"/>
    <w:rsid w:val="007A3298"/>
    <w:rsid w:val="007A3305"/>
    <w:rsid w:val="007A3525"/>
    <w:rsid w:val="007A3552"/>
    <w:rsid w:val="007A375A"/>
    <w:rsid w:val="007A42DC"/>
    <w:rsid w:val="007A453D"/>
    <w:rsid w:val="007A4777"/>
    <w:rsid w:val="007A4B99"/>
    <w:rsid w:val="007A5056"/>
    <w:rsid w:val="007A52B4"/>
    <w:rsid w:val="007A542E"/>
    <w:rsid w:val="007A57F9"/>
    <w:rsid w:val="007A58B4"/>
    <w:rsid w:val="007A5FE1"/>
    <w:rsid w:val="007A62AF"/>
    <w:rsid w:val="007A6CD1"/>
    <w:rsid w:val="007A745D"/>
    <w:rsid w:val="007A757B"/>
    <w:rsid w:val="007A7A17"/>
    <w:rsid w:val="007A7DC0"/>
    <w:rsid w:val="007A7E83"/>
    <w:rsid w:val="007B0315"/>
    <w:rsid w:val="007B04AF"/>
    <w:rsid w:val="007B05C6"/>
    <w:rsid w:val="007B073B"/>
    <w:rsid w:val="007B089E"/>
    <w:rsid w:val="007B0A17"/>
    <w:rsid w:val="007B0BF5"/>
    <w:rsid w:val="007B0CA5"/>
    <w:rsid w:val="007B0E18"/>
    <w:rsid w:val="007B11F8"/>
    <w:rsid w:val="007B1376"/>
    <w:rsid w:val="007B14EB"/>
    <w:rsid w:val="007B160F"/>
    <w:rsid w:val="007B1A9C"/>
    <w:rsid w:val="007B1F5E"/>
    <w:rsid w:val="007B2207"/>
    <w:rsid w:val="007B22BE"/>
    <w:rsid w:val="007B245B"/>
    <w:rsid w:val="007B2758"/>
    <w:rsid w:val="007B2872"/>
    <w:rsid w:val="007B29DB"/>
    <w:rsid w:val="007B2A2E"/>
    <w:rsid w:val="007B2ABB"/>
    <w:rsid w:val="007B2BD1"/>
    <w:rsid w:val="007B2C09"/>
    <w:rsid w:val="007B3072"/>
    <w:rsid w:val="007B3301"/>
    <w:rsid w:val="007B33D1"/>
    <w:rsid w:val="007B342D"/>
    <w:rsid w:val="007B36F7"/>
    <w:rsid w:val="007B3725"/>
    <w:rsid w:val="007B374E"/>
    <w:rsid w:val="007B3BE0"/>
    <w:rsid w:val="007B3C07"/>
    <w:rsid w:val="007B3F8F"/>
    <w:rsid w:val="007B3FD5"/>
    <w:rsid w:val="007B49A1"/>
    <w:rsid w:val="007B4D13"/>
    <w:rsid w:val="007B4EE2"/>
    <w:rsid w:val="007B51AD"/>
    <w:rsid w:val="007B549A"/>
    <w:rsid w:val="007B55A9"/>
    <w:rsid w:val="007B5A20"/>
    <w:rsid w:val="007B5AA8"/>
    <w:rsid w:val="007B5C73"/>
    <w:rsid w:val="007B5E2A"/>
    <w:rsid w:val="007B600F"/>
    <w:rsid w:val="007B6073"/>
    <w:rsid w:val="007B6809"/>
    <w:rsid w:val="007B6A39"/>
    <w:rsid w:val="007B6CB1"/>
    <w:rsid w:val="007B6CCA"/>
    <w:rsid w:val="007B6EF6"/>
    <w:rsid w:val="007B73C2"/>
    <w:rsid w:val="007B7480"/>
    <w:rsid w:val="007B76F6"/>
    <w:rsid w:val="007B7A2A"/>
    <w:rsid w:val="007B7A4D"/>
    <w:rsid w:val="007B7C49"/>
    <w:rsid w:val="007C0033"/>
    <w:rsid w:val="007C0167"/>
    <w:rsid w:val="007C0199"/>
    <w:rsid w:val="007C0392"/>
    <w:rsid w:val="007C0A63"/>
    <w:rsid w:val="007C0AC0"/>
    <w:rsid w:val="007C0CA6"/>
    <w:rsid w:val="007C0EC2"/>
    <w:rsid w:val="007C10B3"/>
    <w:rsid w:val="007C2538"/>
    <w:rsid w:val="007C2687"/>
    <w:rsid w:val="007C2754"/>
    <w:rsid w:val="007C28E0"/>
    <w:rsid w:val="007C2ADD"/>
    <w:rsid w:val="007C2BCC"/>
    <w:rsid w:val="007C3E11"/>
    <w:rsid w:val="007C40D9"/>
    <w:rsid w:val="007C4507"/>
    <w:rsid w:val="007C47C2"/>
    <w:rsid w:val="007C4C98"/>
    <w:rsid w:val="007C4F1F"/>
    <w:rsid w:val="007C4F59"/>
    <w:rsid w:val="007C50CA"/>
    <w:rsid w:val="007C5170"/>
    <w:rsid w:val="007C5451"/>
    <w:rsid w:val="007C546F"/>
    <w:rsid w:val="007C5FB6"/>
    <w:rsid w:val="007C62B6"/>
    <w:rsid w:val="007C6B50"/>
    <w:rsid w:val="007C6E6E"/>
    <w:rsid w:val="007C7451"/>
    <w:rsid w:val="007C763B"/>
    <w:rsid w:val="007C7783"/>
    <w:rsid w:val="007C799A"/>
    <w:rsid w:val="007C7AB5"/>
    <w:rsid w:val="007C7DD6"/>
    <w:rsid w:val="007C7EF8"/>
    <w:rsid w:val="007D0297"/>
    <w:rsid w:val="007D0427"/>
    <w:rsid w:val="007D0633"/>
    <w:rsid w:val="007D087D"/>
    <w:rsid w:val="007D0D06"/>
    <w:rsid w:val="007D0F03"/>
    <w:rsid w:val="007D0F30"/>
    <w:rsid w:val="007D108B"/>
    <w:rsid w:val="007D173B"/>
    <w:rsid w:val="007D17C0"/>
    <w:rsid w:val="007D19B5"/>
    <w:rsid w:val="007D1A8C"/>
    <w:rsid w:val="007D1C21"/>
    <w:rsid w:val="007D22C2"/>
    <w:rsid w:val="007D23C9"/>
    <w:rsid w:val="007D28AA"/>
    <w:rsid w:val="007D2CCD"/>
    <w:rsid w:val="007D2D65"/>
    <w:rsid w:val="007D2DDA"/>
    <w:rsid w:val="007D304D"/>
    <w:rsid w:val="007D34C0"/>
    <w:rsid w:val="007D34E3"/>
    <w:rsid w:val="007D3872"/>
    <w:rsid w:val="007D3DB7"/>
    <w:rsid w:val="007D4299"/>
    <w:rsid w:val="007D45F9"/>
    <w:rsid w:val="007D462A"/>
    <w:rsid w:val="007D4650"/>
    <w:rsid w:val="007D473E"/>
    <w:rsid w:val="007D489A"/>
    <w:rsid w:val="007D49CE"/>
    <w:rsid w:val="007D4B07"/>
    <w:rsid w:val="007D4B80"/>
    <w:rsid w:val="007D4CA7"/>
    <w:rsid w:val="007D4E3F"/>
    <w:rsid w:val="007D5360"/>
    <w:rsid w:val="007D57B1"/>
    <w:rsid w:val="007D58F1"/>
    <w:rsid w:val="007D5A14"/>
    <w:rsid w:val="007D5C24"/>
    <w:rsid w:val="007D68E7"/>
    <w:rsid w:val="007D6937"/>
    <w:rsid w:val="007D6A86"/>
    <w:rsid w:val="007D6E9E"/>
    <w:rsid w:val="007D74CF"/>
    <w:rsid w:val="007D756E"/>
    <w:rsid w:val="007D778B"/>
    <w:rsid w:val="007D7FAA"/>
    <w:rsid w:val="007E07BD"/>
    <w:rsid w:val="007E09CD"/>
    <w:rsid w:val="007E0B63"/>
    <w:rsid w:val="007E0BBC"/>
    <w:rsid w:val="007E1081"/>
    <w:rsid w:val="007E1316"/>
    <w:rsid w:val="007E14C0"/>
    <w:rsid w:val="007E16DB"/>
    <w:rsid w:val="007E18C2"/>
    <w:rsid w:val="007E18DD"/>
    <w:rsid w:val="007E1A60"/>
    <w:rsid w:val="007E1B81"/>
    <w:rsid w:val="007E1BB2"/>
    <w:rsid w:val="007E1DB6"/>
    <w:rsid w:val="007E2652"/>
    <w:rsid w:val="007E3713"/>
    <w:rsid w:val="007E3947"/>
    <w:rsid w:val="007E3B5A"/>
    <w:rsid w:val="007E3CB0"/>
    <w:rsid w:val="007E3DCC"/>
    <w:rsid w:val="007E3F1B"/>
    <w:rsid w:val="007E40ED"/>
    <w:rsid w:val="007E469D"/>
    <w:rsid w:val="007E486F"/>
    <w:rsid w:val="007E48F3"/>
    <w:rsid w:val="007E4968"/>
    <w:rsid w:val="007E4ACA"/>
    <w:rsid w:val="007E4C11"/>
    <w:rsid w:val="007E4D57"/>
    <w:rsid w:val="007E4E7F"/>
    <w:rsid w:val="007E4EDA"/>
    <w:rsid w:val="007E503A"/>
    <w:rsid w:val="007E50EE"/>
    <w:rsid w:val="007E510B"/>
    <w:rsid w:val="007E5497"/>
    <w:rsid w:val="007E5605"/>
    <w:rsid w:val="007E56E2"/>
    <w:rsid w:val="007E578C"/>
    <w:rsid w:val="007E5B6E"/>
    <w:rsid w:val="007E5BAF"/>
    <w:rsid w:val="007E5BB0"/>
    <w:rsid w:val="007E6140"/>
    <w:rsid w:val="007E6288"/>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227"/>
    <w:rsid w:val="007F0441"/>
    <w:rsid w:val="007F04E1"/>
    <w:rsid w:val="007F08A3"/>
    <w:rsid w:val="007F08BD"/>
    <w:rsid w:val="007F08D7"/>
    <w:rsid w:val="007F091D"/>
    <w:rsid w:val="007F0BE2"/>
    <w:rsid w:val="007F1024"/>
    <w:rsid w:val="007F1324"/>
    <w:rsid w:val="007F155D"/>
    <w:rsid w:val="007F15C4"/>
    <w:rsid w:val="007F16C7"/>
    <w:rsid w:val="007F19AB"/>
    <w:rsid w:val="007F1A01"/>
    <w:rsid w:val="007F21C2"/>
    <w:rsid w:val="007F289F"/>
    <w:rsid w:val="007F295C"/>
    <w:rsid w:val="007F2975"/>
    <w:rsid w:val="007F2985"/>
    <w:rsid w:val="007F29AD"/>
    <w:rsid w:val="007F2C77"/>
    <w:rsid w:val="007F2D9C"/>
    <w:rsid w:val="007F2EE6"/>
    <w:rsid w:val="007F3398"/>
    <w:rsid w:val="007F36FE"/>
    <w:rsid w:val="007F3711"/>
    <w:rsid w:val="007F3C59"/>
    <w:rsid w:val="007F411C"/>
    <w:rsid w:val="007F434E"/>
    <w:rsid w:val="007F436F"/>
    <w:rsid w:val="007F488C"/>
    <w:rsid w:val="007F4A56"/>
    <w:rsid w:val="007F4B9C"/>
    <w:rsid w:val="007F4C11"/>
    <w:rsid w:val="007F523E"/>
    <w:rsid w:val="007F59A5"/>
    <w:rsid w:val="007F5A54"/>
    <w:rsid w:val="007F5B4F"/>
    <w:rsid w:val="007F5D19"/>
    <w:rsid w:val="007F5F13"/>
    <w:rsid w:val="007F60FC"/>
    <w:rsid w:val="007F6274"/>
    <w:rsid w:val="007F64C9"/>
    <w:rsid w:val="007F6697"/>
    <w:rsid w:val="007F6734"/>
    <w:rsid w:val="007F6C62"/>
    <w:rsid w:val="007F6E65"/>
    <w:rsid w:val="007F7608"/>
    <w:rsid w:val="007F76F2"/>
    <w:rsid w:val="0080012B"/>
    <w:rsid w:val="0080016D"/>
    <w:rsid w:val="008002AC"/>
    <w:rsid w:val="00800E8E"/>
    <w:rsid w:val="0080119B"/>
    <w:rsid w:val="008012F4"/>
    <w:rsid w:val="00801452"/>
    <w:rsid w:val="0080149A"/>
    <w:rsid w:val="0080186D"/>
    <w:rsid w:val="00801B93"/>
    <w:rsid w:val="00801D03"/>
    <w:rsid w:val="00802959"/>
    <w:rsid w:val="00802B0F"/>
    <w:rsid w:val="00802D57"/>
    <w:rsid w:val="00802D73"/>
    <w:rsid w:val="00802E78"/>
    <w:rsid w:val="00802FE0"/>
    <w:rsid w:val="008030C8"/>
    <w:rsid w:val="0080355C"/>
    <w:rsid w:val="008037E8"/>
    <w:rsid w:val="00803941"/>
    <w:rsid w:val="00803B69"/>
    <w:rsid w:val="008047F1"/>
    <w:rsid w:val="008048A1"/>
    <w:rsid w:val="00804AA0"/>
    <w:rsid w:val="00804C2B"/>
    <w:rsid w:val="00804CEF"/>
    <w:rsid w:val="00805168"/>
    <w:rsid w:val="00805175"/>
    <w:rsid w:val="00805362"/>
    <w:rsid w:val="008057E5"/>
    <w:rsid w:val="00805812"/>
    <w:rsid w:val="00805B21"/>
    <w:rsid w:val="00805BB2"/>
    <w:rsid w:val="00805F63"/>
    <w:rsid w:val="008061A3"/>
    <w:rsid w:val="00806556"/>
    <w:rsid w:val="008067C1"/>
    <w:rsid w:val="00806A04"/>
    <w:rsid w:val="00806A6A"/>
    <w:rsid w:val="00806BFF"/>
    <w:rsid w:val="00806F58"/>
    <w:rsid w:val="008077FC"/>
    <w:rsid w:val="008078F4"/>
    <w:rsid w:val="00807956"/>
    <w:rsid w:val="00807A95"/>
    <w:rsid w:val="00807B6B"/>
    <w:rsid w:val="00807C32"/>
    <w:rsid w:val="00807C34"/>
    <w:rsid w:val="00807C9E"/>
    <w:rsid w:val="008100C2"/>
    <w:rsid w:val="00810172"/>
    <w:rsid w:val="0081026B"/>
    <w:rsid w:val="00810310"/>
    <w:rsid w:val="0081052F"/>
    <w:rsid w:val="00810BDD"/>
    <w:rsid w:val="00810FB4"/>
    <w:rsid w:val="0081103E"/>
    <w:rsid w:val="0081125D"/>
    <w:rsid w:val="008118C0"/>
    <w:rsid w:val="00811DB9"/>
    <w:rsid w:val="0081221F"/>
    <w:rsid w:val="00812A38"/>
    <w:rsid w:val="00812BE9"/>
    <w:rsid w:val="008134ED"/>
    <w:rsid w:val="008139DE"/>
    <w:rsid w:val="0081419D"/>
    <w:rsid w:val="00814A89"/>
    <w:rsid w:val="00814AF5"/>
    <w:rsid w:val="00814C6B"/>
    <w:rsid w:val="00814FE5"/>
    <w:rsid w:val="00815126"/>
    <w:rsid w:val="00815167"/>
    <w:rsid w:val="008151C5"/>
    <w:rsid w:val="008154D6"/>
    <w:rsid w:val="00815A76"/>
    <w:rsid w:val="00815D0E"/>
    <w:rsid w:val="00815FFA"/>
    <w:rsid w:val="0081643A"/>
    <w:rsid w:val="0081649A"/>
    <w:rsid w:val="00816851"/>
    <w:rsid w:val="00816A62"/>
    <w:rsid w:val="00816AE7"/>
    <w:rsid w:val="00816C62"/>
    <w:rsid w:val="00816E38"/>
    <w:rsid w:val="00817C91"/>
    <w:rsid w:val="00817DCE"/>
    <w:rsid w:val="00820083"/>
    <w:rsid w:val="008202DB"/>
    <w:rsid w:val="00820764"/>
    <w:rsid w:val="008207B4"/>
    <w:rsid w:val="00820808"/>
    <w:rsid w:val="00820F85"/>
    <w:rsid w:val="008214B9"/>
    <w:rsid w:val="008214BC"/>
    <w:rsid w:val="00821768"/>
    <w:rsid w:val="00821898"/>
    <w:rsid w:val="00821DB0"/>
    <w:rsid w:val="00822151"/>
    <w:rsid w:val="0082225E"/>
    <w:rsid w:val="00822300"/>
    <w:rsid w:val="0082263A"/>
    <w:rsid w:val="0082268B"/>
    <w:rsid w:val="0082288B"/>
    <w:rsid w:val="00822D3B"/>
    <w:rsid w:val="00822E2B"/>
    <w:rsid w:val="00822F51"/>
    <w:rsid w:val="00823323"/>
    <w:rsid w:val="008237EB"/>
    <w:rsid w:val="00823810"/>
    <w:rsid w:val="00823940"/>
    <w:rsid w:val="00823C15"/>
    <w:rsid w:val="00823F8A"/>
    <w:rsid w:val="00823FB5"/>
    <w:rsid w:val="0082422D"/>
    <w:rsid w:val="00824490"/>
    <w:rsid w:val="00824761"/>
    <w:rsid w:val="00824BE1"/>
    <w:rsid w:val="00824EA2"/>
    <w:rsid w:val="00824F32"/>
    <w:rsid w:val="00825042"/>
    <w:rsid w:val="00825227"/>
    <w:rsid w:val="00825336"/>
    <w:rsid w:val="00825476"/>
    <w:rsid w:val="008255B0"/>
    <w:rsid w:val="008258D1"/>
    <w:rsid w:val="008259D8"/>
    <w:rsid w:val="00825E28"/>
    <w:rsid w:val="00826113"/>
    <w:rsid w:val="008266C8"/>
    <w:rsid w:val="00826999"/>
    <w:rsid w:val="008270D2"/>
    <w:rsid w:val="008273FE"/>
    <w:rsid w:val="00827451"/>
    <w:rsid w:val="00827580"/>
    <w:rsid w:val="0082771D"/>
    <w:rsid w:val="008277B9"/>
    <w:rsid w:val="00827837"/>
    <w:rsid w:val="00830096"/>
    <w:rsid w:val="00830126"/>
    <w:rsid w:val="0083028D"/>
    <w:rsid w:val="00830715"/>
    <w:rsid w:val="00830865"/>
    <w:rsid w:val="00830BFD"/>
    <w:rsid w:val="00830CF3"/>
    <w:rsid w:val="0083159D"/>
    <w:rsid w:val="008319AF"/>
    <w:rsid w:val="00831BFB"/>
    <w:rsid w:val="00831F7A"/>
    <w:rsid w:val="0083214D"/>
    <w:rsid w:val="0083242E"/>
    <w:rsid w:val="00832457"/>
    <w:rsid w:val="008326D3"/>
    <w:rsid w:val="008328B0"/>
    <w:rsid w:val="00832B67"/>
    <w:rsid w:val="00832C41"/>
    <w:rsid w:val="00832D07"/>
    <w:rsid w:val="00832F77"/>
    <w:rsid w:val="00832F99"/>
    <w:rsid w:val="0083305B"/>
    <w:rsid w:val="008331A5"/>
    <w:rsid w:val="00833465"/>
    <w:rsid w:val="008334A4"/>
    <w:rsid w:val="008335AA"/>
    <w:rsid w:val="0083379C"/>
    <w:rsid w:val="008339F7"/>
    <w:rsid w:val="0083530F"/>
    <w:rsid w:val="00835398"/>
    <w:rsid w:val="008353A1"/>
    <w:rsid w:val="0083594F"/>
    <w:rsid w:val="00835D5B"/>
    <w:rsid w:val="00835D5C"/>
    <w:rsid w:val="008362A1"/>
    <w:rsid w:val="00836395"/>
    <w:rsid w:val="008363CB"/>
    <w:rsid w:val="00836CB1"/>
    <w:rsid w:val="00836DE2"/>
    <w:rsid w:val="00837197"/>
    <w:rsid w:val="00837272"/>
    <w:rsid w:val="008373C5"/>
    <w:rsid w:val="008375B5"/>
    <w:rsid w:val="008378D9"/>
    <w:rsid w:val="0083798F"/>
    <w:rsid w:val="00837D5C"/>
    <w:rsid w:val="008401BB"/>
    <w:rsid w:val="00840350"/>
    <w:rsid w:val="0084048B"/>
    <w:rsid w:val="00840703"/>
    <w:rsid w:val="00840983"/>
    <w:rsid w:val="008409DA"/>
    <w:rsid w:val="00840A35"/>
    <w:rsid w:val="00840CE8"/>
    <w:rsid w:val="00840DE0"/>
    <w:rsid w:val="00841160"/>
    <w:rsid w:val="008412B3"/>
    <w:rsid w:val="008412CE"/>
    <w:rsid w:val="00841634"/>
    <w:rsid w:val="008416C0"/>
    <w:rsid w:val="008418AF"/>
    <w:rsid w:val="00842290"/>
    <w:rsid w:val="0084239F"/>
    <w:rsid w:val="008423EB"/>
    <w:rsid w:val="0084288B"/>
    <w:rsid w:val="008428F7"/>
    <w:rsid w:val="008429A6"/>
    <w:rsid w:val="008429CC"/>
    <w:rsid w:val="00842AC1"/>
    <w:rsid w:val="00842E48"/>
    <w:rsid w:val="0084300E"/>
    <w:rsid w:val="00843058"/>
    <w:rsid w:val="0084360E"/>
    <w:rsid w:val="008438BF"/>
    <w:rsid w:val="00843D5F"/>
    <w:rsid w:val="00843EB2"/>
    <w:rsid w:val="00844232"/>
    <w:rsid w:val="00844884"/>
    <w:rsid w:val="008448F9"/>
    <w:rsid w:val="00844C2B"/>
    <w:rsid w:val="0084511F"/>
    <w:rsid w:val="00845253"/>
    <w:rsid w:val="00846189"/>
    <w:rsid w:val="008468A0"/>
    <w:rsid w:val="008468AC"/>
    <w:rsid w:val="00846BB5"/>
    <w:rsid w:val="00846D03"/>
    <w:rsid w:val="008470D2"/>
    <w:rsid w:val="008474CE"/>
    <w:rsid w:val="00847584"/>
    <w:rsid w:val="0084760F"/>
    <w:rsid w:val="00847626"/>
    <w:rsid w:val="008476F1"/>
    <w:rsid w:val="00847807"/>
    <w:rsid w:val="00847C68"/>
    <w:rsid w:val="00847D77"/>
    <w:rsid w:val="00851072"/>
    <w:rsid w:val="008512CD"/>
    <w:rsid w:val="0085162E"/>
    <w:rsid w:val="0085266F"/>
    <w:rsid w:val="0085278F"/>
    <w:rsid w:val="00852A65"/>
    <w:rsid w:val="00852C36"/>
    <w:rsid w:val="008532CE"/>
    <w:rsid w:val="008532FE"/>
    <w:rsid w:val="00853334"/>
    <w:rsid w:val="00853A8D"/>
    <w:rsid w:val="00853ABB"/>
    <w:rsid w:val="00853B17"/>
    <w:rsid w:val="00853E9F"/>
    <w:rsid w:val="00853F7C"/>
    <w:rsid w:val="0085419B"/>
    <w:rsid w:val="00854A3E"/>
    <w:rsid w:val="0085505A"/>
    <w:rsid w:val="00855162"/>
    <w:rsid w:val="00855ED3"/>
    <w:rsid w:val="00855F65"/>
    <w:rsid w:val="008561B3"/>
    <w:rsid w:val="008567FC"/>
    <w:rsid w:val="00856911"/>
    <w:rsid w:val="008569C6"/>
    <w:rsid w:val="00856A2B"/>
    <w:rsid w:val="00856BBF"/>
    <w:rsid w:val="00856D02"/>
    <w:rsid w:val="00856E1C"/>
    <w:rsid w:val="00856E2C"/>
    <w:rsid w:val="0085744E"/>
    <w:rsid w:val="00857900"/>
    <w:rsid w:val="0086002A"/>
    <w:rsid w:val="008602B6"/>
    <w:rsid w:val="0086060D"/>
    <w:rsid w:val="00860D55"/>
    <w:rsid w:val="008613B0"/>
    <w:rsid w:val="008614DA"/>
    <w:rsid w:val="00861DF2"/>
    <w:rsid w:val="00861E60"/>
    <w:rsid w:val="008621D9"/>
    <w:rsid w:val="008622D3"/>
    <w:rsid w:val="00862376"/>
    <w:rsid w:val="00862383"/>
    <w:rsid w:val="00862594"/>
    <w:rsid w:val="00862680"/>
    <w:rsid w:val="00862716"/>
    <w:rsid w:val="0086287B"/>
    <w:rsid w:val="00862A8E"/>
    <w:rsid w:val="00862F06"/>
    <w:rsid w:val="00863042"/>
    <w:rsid w:val="00863219"/>
    <w:rsid w:val="008633BD"/>
    <w:rsid w:val="008635A7"/>
    <w:rsid w:val="00863649"/>
    <w:rsid w:val="00863913"/>
    <w:rsid w:val="00863919"/>
    <w:rsid w:val="00863975"/>
    <w:rsid w:val="00863EF7"/>
    <w:rsid w:val="00864654"/>
    <w:rsid w:val="008649B5"/>
    <w:rsid w:val="00864F4F"/>
    <w:rsid w:val="0086515C"/>
    <w:rsid w:val="0086555F"/>
    <w:rsid w:val="008659E0"/>
    <w:rsid w:val="00865B09"/>
    <w:rsid w:val="00865B24"/>
    <w:rsid w:val="00866085"/>
    <w:rsid w:val="00866138"/>
    <w:rsid w:val="0086615E"/>
    <w:rsid w:val="00866229"/>
    <w:rsid w:val="0086627C"/>
    <w:rsid w:val="00866296"/>
    <w:rsid w:val="00866694"/>
    <w:rsid w:val="008668D5"/>
    <w:rsid w:val="00866C0B"/>
    <w:rsid w:val="00866DC8"/>
    <w:rsid w:val="00866E0C"/>
    <w:rsid w:val="00866EC9"/>
    <w:rsid w:val="008672A1"/>
    <w:rsid w:val="00867622"/>
    <w:rsid w:val="008676AF"/>
    <w:rsid w:val="008678B7"/>
    <w:rsid w:val="00867A98"/>
    <w:rsid w:val="00867E59"/>
    <w:rsid w:val="00867E88"/>
    <w:rsid w:val="00870A9B"/>
    <w:rsid w:val="00870D09"/>
    <w:rsid w:val="00870E0E"/>
    <w:rsid w:val="008717A6"/>
    <w:rsid w:val="00871B53"/>
    <w:rsid w:val="0087244F"/>
    <w:rsid w:val="0087273C"/>
    <w:rsid w:val="008729E0"/>
    <w:rsid w:val="008733C9"/>
    <w:rsid w:val="0087369B"/>
    <w:rsid w:val="008738D0"/>
    <w:rsid w:val="00873D42"/>
    <w:rsid w:val="00874678"/>
    <w:rsid w:val="008749F9"/>
    <w:rsid w:val="00874A47"/>
    <w:rsid w:val="00874EB6"/>
    <w:rsid w:val="00874F35"/>
    <w:rsid w:val="00875205"/>
    <w:rsid w:val="0087550E"/>
    <w:rsid w:val="0087592D"/>
    <w:rsid w:val="00875C70"/>
    <w:rsid w:val="00875C7E"/>
    <w:rsid w:val="00875CE3"/>
    <w:rsid w:val="00875DE6"/>
    <w:rsid w:val="00875FD0"/>
    <w:rsid w:val="008766BF"/>
    <w:rsid w:val="0087688B"/>
    <w:rsid w:val="00876E44"/>
    <w:rsid w:val="00877207"/>
    <w:rsid w:val="008774B9"/>
    <w:rsid w:val="00877ACE"/>
    <w:rsid w:val="00880194"/>
    <w:rsid w:val="00880389"/>
    <w:rsid w:val="008805DA"/>
    <w:rsid w:val="00880719"/>
    <w:rsid w:val="00880746"/>
    <w:rsid w:val="00880CBC"/>
    <w:rsid w:val="008810BC"/>
    <w:rsid w:val="00881121"/>
    <w:rsid w:val="0088156F"/>
    <w:rsid w:val="00881E1B"/>
    <w:rsid w:val="00881F8F"/>
    <w:rsid w:val="008822FC"/>
    <w:rsid w:val="008823A2"/>
    <w:rsid w:val="0088253D"/>
    <w:rsid w:val="00882707"/>
    <w:rsid w:val="00882771"/>
    <w:rsid w:val="00882D02"/>
    <w:rsid w:val="00883450"/>
    <w:rsid w:val="0088367E"/>
    <w:rsid w:val="008836FA"/>
    <w:rsid w:val="00883869"/>
    <w:rsid w:val="0088396F"/>
    <w:rsid w:val="00883D0D"/>
    <w:rsid w:val="008840D9"/>
    <w:rsid w:val="0088427A"/>
    <w:rsid w:val="0088473D"/>
    <w:rsid w:val="008849AA"/>
    <w:rsid w:val="00884CB8"/>
    <w:rsid w:val="00885541"/>
    <w:rsid w:val="00885AE6"/>
    <w:rsid w:val="00885C23"/>
    <w:rsid w:val="00885E79"/>
    <w:rsid w:val="00886052"/>
    <w:rsid w:val="00886076"/>
    <w:rsid w:val="00886233"/>
    <w:rsid w:val="00886533"/>
    <w:rsid w:val="00886859"/>
    <w:rsid w:val="00886865"/>
    <w:rsid w:val="00886995"/>
    <w:rsid w:val="008869A2"/>
    <w:rsid w:val="00886A34"/>
    <w:rsid w:val="00886B9B"/>
    <w:rsid w:val="00886D06"/>
    <w:rsid w:val="00887542"/>
    <w:rsid w:val="0089001D"/>
    <w:rsid w:val="0089044E"/>
    <w:rsid w:val="0089078D"/>
    <w:rsid w:val="00890CCF"/>
    <w:rsid w:val="00890F9E"/>
    <w:rsid w:val="0089132D"/>
    <w:rsid w:val="00891362"/>
    <w:rsid w:val="008918B1"/>
    <w:rsid w:val="00891D9C"/>
    <w:rsid w:val="00891F46"/>
    <w:rsid w:val="008925E0"/>
    <w:rsid w:val="00892B11"/>
    <w:rsid w:val="00892F99"/>
    <w:rsid w:val="0089325D"/>
    <w:rsid w:val="00893923"/>
    <w:rsid w:val="00893ACE"/>
    <w:rsid w:val="00894230"/>
    <w:rsid w:val="00894441"/>
    <w:rsid w:val="00894ACD"/>
    <w:rsid w:val="00894E75"/>
    <w:rsid w:val="0089502C"/>
    <w:rsid w:val="008955B5"/>
    <w:rsid w:val="00895633"/>
    <w:rsid w:val="00895918"/>
    <w:rsid w:val="00895AE4"/>
    <w:rsid w:val="0089633C"/>
    <w:rsid w:val="008965D1"/>
    <w:rsid w:val="00896E76"/>
    <w:rsid w:val="00896E9A"/>
    <w:rsid w:val="00897171"/>
    <w:rsid w:val="008972D1"/>
    <w:rsid w:val="008977CE"/>
    <w:rsid w:val="00897903"/>
    <w:rsid w:val="008A01E6"/>
    <w:rsid w:val="008A0334"/>
    <w:rsid w:val="008A0D28"/>
    <w:rsid w:val="008A0F61"/>
    <w:rsid w:val="008A142D"/>
    <w:rsid w:val="008A1626"/>
    <w:rsid w:val="008A1697"/>
    <w:rsid w:val="008A1AB1"/>
    <w:rsid w:val="008A1BBD"/>
    <w:rsid w:val="008A1E5B"/>
    <w:rsid w:val="008A1F83"/>
    <w:rsid w:val="008A203E"/>
    <w:rsid w:val="008A2102"/>
    <w:rsid w:val="008A21B1"/>
    <w:rsid w:val="008A22B8"/>
    <w:rsid w:val="008A2827"/>
    <w:rsid w:val="008A291E"/>
    <w:rsid w:val="008A2B9E"/>
    <w:rsid w:val="008A3119"/>
    <w:rsid w:val="008A31CC"/>
    <w:rsid w:val="008A3366"/>
    <w:rsid w:val="008A33AD"/>
    <w:rsid w:val="008A3476"/>
    <w:rsid w:val="008A348D"/>
    <w:rsid w:val="008A37F6"/>
    <w:rsid w:val="008A3A04"/>
    <w:rsid w:val="008A3F9B"/>
    <w:rsid w:val="008A4409"/>
    <w:rsid w:val="008A46D3"/>
    <w:rsid w:val="008A476D"/>
    <w:rsid w:val="008A4A8B"/>
    <w:rsid w:val="008A4BF5"/>
    <w:rsid w:val="008A4E36"/>
    <w:rsid w:val="008A5372"/>
    <w:rsid w:val="008A54B4"/>
    <w:rsid w:val="008A56DF"/>
    <w:rsid w:val="008A585E"/>
    <w:rsid w:val="008A5868"/>
    <w:rsid w:val="008A5A95"/>
    <w:rsid w:val="008A5AE7"/>
    <w:rsid w:val="008A5CFE"/>
    <w:rsid w:val="008A6179"/>
    <w:rsid w:val="008A6184"/>
    <w:rsid w:val="008A6185"/>
    <w:rsid w:val="008A66F3"/>
    <w:rsid w:val="008A68B8"/>
    <w:rsid w:val="008A6B5D"/>
    <w:rsid w:val="008A76B0"/>
    <w:rsid w:val="008A79F7"/>
    <w:rsid w:val="008B04D4"/>
    <w:rsid w:val="008B056E"/>
    <w:rsid w:val="008B0790"/>
    <w:rsid w:val="008B0AC2"/>
    <w:rsid w:val="008B0C99"/>
    <w:rsid w:val="008B0D70"/>
    <w:rsid w:val="008B0EE9"/>
    <w:rsid w:val="008B108C"/>
    <w:rsid w:val="008B1092"/>
    <w:rsid w:val="008B12D0"/>
    <w:rsid w:val="008B16AA"/>
    <w:rsid w:val="008B1939"/>
    <w:rsid w:val="008B1D38"/>
    <w:rsid w:val="008B23AE"/>
    <w:rsid w:val="008B28B7"/>
    <w:rsid w:val="008B31AB"/>
    <w:rsid w:val="008B36C9"/>
    <w:rsid w:val="008B3856"/>
    <w:rsid w:val="008B38DD"/>
    <w:rsid w:val="008B3AFA"/>
    <w:rsid w:val="008B3D0E"/>
    <w:rsid w:val="008B3ECD"/>
    <w:rsid w:val="008B493C"/>
    <w:rsid w:val="008B4FC6"/>
    <w:rsid w:val="008B5135"/>
    <w:rsid w:val="008B5321"/>
    <w:rsid w:val="008B53D2"/>
    <w:rsid w:val="008B58F6"/>
    <w:rsid w:val="008B5A5A"/>
    <w:rsid w:val="008B5CC2"/>
    <w:rsid w:val="008B5DD7"/>
    <w:rsid w:val="008B5ECF"/>
    <w:rsid w:val="008B5F57"/>
    <w:rsid w:val="008B6006"/>
    <w:rsid w:val="008B677D"/>
    <w:rsid w:val="008B6931"/>
    <w:rsid w:val="008B6A20"/>
    <w:rsid w:val="008B6D97"/>
    <w:rsid w:val="008B732B"/>
    <w:rsid w:val="008B7399"/>
    <w:rsid w:val="008B7AD6"/>
    <w:rsid w:val="008B7BC9"/>
    <w:rsid w:val="008B7EF5"/>
    <w:rsid w:val="008C0B73"/>
    <w:rsid w:val="008C0C52"/>
    <w:rsid w:val="008C10AF"/>
    <w:rsid w:val="008C10E9"/>
    <w:rsid w:val="008C1796"/>
    <w:rsid w:val="008C1A09"/>
    <w:rsid w:val="008C1A8B"/>
    <w:rsid w:val="008C1FCD"/>
    <w:rsid w:val="008C2108"/>
    <w:rsid w:val="008C32CF"/>
    <w:rsid w:val="008C3524"/>
    <w:rsid w:val="008C3653"/>
    <w:rsid w:val="008C3736"/>
    <w:rsid w:val="008C3862"/>
    <w:rsid w:val="008C387A"/>
    <w:rsid w:val="008C418F"/>
    <w:rsid w:val="008C41E7"/>
    <w:rsid w:val="008C42F9"/>
    <w:rsid w:val="008C440B"/>
    <w:rsid w:val="008C4491"/>
    <w:rsid w:val="008C4633"/>
    <w:rsid w:val="008C471D"/>
    <w:rsid w:val="008C4AAF"/>
    <w:rsid w:val="008C4BD1"/>
    <w:rsid w:val="008C5164"/>
    <w:rsid w:val="008C5456"/>
    <w:rsid w:val="008C5F60"/>
    <w:rsid w:val="008C60DF"/>
    <w:rsid w:val="008C61FD"/>
    <w:rsid w:val="008C6883"/>
    <w:rsid w:val="008C6944"/>
    <w:rsid w:val="008C6952"/>
    <w:rsid w:val="008C6BFA"/>
    <w:rsid w:val="008C6EE2"/>
    <w:rsid w:val="008C6FFA"/>
    <w:rsid w:val="008C7383"/>
    <w:rsid w:val="008C765A"/>
    <w:rsid w:val="008C7CA6"/>
    <w:rsid w:val="008C7E33"/>
    <w:rsid w:val="008D017A"/>
    <w:rsid w:val="008D0333"/>
    <w:rsid w:val="008D035F"/>
    <w:rsid w:val="008D0537"/>
    <w:rsid w:val="008D0664"/>
    <w:rsid w:val="008D0B95"/>
    <w:rsid w:val="008D0EA1"/>
    <w:rsid w:val="008D124F"/>
    <w:rsid w:val="008D12AE"/>
    <w:rsid w:val="008D1330"/>
    <w:rsid w:val="008D17F3"/>
    <w:rsid w:val="008D1F05"/>
    <w:rsid w:val="008D1F0C"/>
    <w:rsid w:val="008D2002"/>
    <w:rsid w:val="008D20E8"/>
    <w:rsid w:val="008D2645"/>
    <w:rsid w:val="008D2660"/>
    <w:rsid w:val="008D280E"/>
    <w:rsid w:val="008D2EE6"/>
    <w:rsid w:val="008D3521"/>
    <w:rsid w:val="008D3786"/>
    <w:rsid w:val="008D38AC"/>
    <w:rsid w:val="008D3DFC"/>
    <w:rsid w:val="008D3E15"/>
    <w:rsid w:val="008D3F88"/>
    <w:rsid w:val="008D402E"/>
    <w:rsid w:val="008D43AC"/>
    <w:rsid w:val="008D4554"/>
    <w:rsid w:val="008D47E8"/>
    <w:rsid w:val="008D47FF"/>
    <w:rsid w:val="008D4920"/>
    <w:rsid w:val="008D4C07"/>
    <w:rsid w:val="008D5959"/>
    <w:rsid w:val="008D5962"/>
    <w:rsid w:val="008D5AB3"/>
    <w:rsid w:val="008D5E28"/>
    <w:rsid w:val="008D5FAE"/>
    <w:rsid w:val="008D62FB"/>
    <w:rsid w:val="008D65EE"/>
    <w:rsid w:val="008D692D"/>
    <w:rsid w:val="008D6D22"/>
    <w:rsid w:val="008D7097"/>
    <w:rsid w:val="008D7128"/>
    <w:rsid w:val="008D71C7"/>
    <w:rsid w:val="008D72A0"/>
    <w:rsid w:val="008D7EFD"/>
    <w:rsid w:val="008E003A"/>
    <w:rsid w:val="008E0234"/>
    <w:rsid w:val="008E0601"/>
    <w:rsid w:val="008E069F"/>
    <w:rsid w:val="008E0B20"/>
    <w:rsid w:val="008E0C18"/>
    <w:rsid w:val="008E10FE"/>
    <w:rsid w:val="008E204E"/>
    <w:rsid w:val="008E2549"/>
    <w:rsid w:val="008E296D"/>
    <w:rsid w:val="008E2A0D"/>
    <w:rsid w:val="008E332A"/>
    <w:rsid w:val="008E3461"/>
    <w:rsid w:val="008E390E"/>
    <w:rsid w:val="008E3AAC"/>
    <w:rsid w:val="008E3E1C"/>
    <w:rsid w:val="008E3E2B"/>
    <w:rsid w:val="008E3F01"/>
    <w:rsid w:val="008E40E0"/>
    <w:rsid w:val="008E41E5"/>
    <w:rsid w:val="008E460A"/>
    <w:rsid w:val="008E48D4"/>
    <w:rsid w:val="008E48F1"/>
    <w:rsid w:val="008E49CE"/>
    <w:rsid w:val="008E4AC0"/>
    <w:rsid w:val="008E4ADC"/>
    <w:rsid w:val="008E4B6F"/>
    <w:rsid w:val="008E4C5A"/>
    <w:rsid w:val="008E4DA8"/>
    <w:rsid w:val="008E4FF3"/>
    <w:rsid w:val="008E536F"/>
    <w:rsid w:val="008E5C6D"/>
    <w:rsid w:val="008E5CAB"/>
    <w:rsid w:val="008E626A"/>
    <w:rsid w:val="008E6699"/>
    <w:rsid w:val="008E6993"/>
    <w:rsid w:val="008E6C2D"/>
    <w:rsid w:val="008E6DAE"/>
    <w:rsid w:val="008E7141"/>
    <w:rsid w:val="008E7316"/>
    <w:rsid w:val="008E7488"/>
    <w:rsid w:val="008E748B"/>
    <w:rsid w:val="008E76BE"/>
    <w:rsid w:val="008E76C1"/>
    <w:rsid w:val="008E7802"/>
    <w:rsid w:val="008E7929"/>
    <w:rsid w:val="008E7A4F"/>
    <w:rsid w:val="008F01A9"/>
    <w:rsid w:val="008F0297"/>
    <w:rsid w:val="008F10F2"/>
    <w:rsid w:val="008F13EE"/>
    <w:rsid w:val="008F1413"/>
    <w:rsid w:val="008F1714"/>
    <w:rsid w:val="008F1964"/>
    <w:rsid w:val="008F1CFF"/>
    <w:rsid w:val="008F2C98"/>
    <w:rsid w:val="008F2CE9"/>
    <w:rsid w:val="008F2D31"/>
    <w:rsid w:val="008F2F2C"/>
    <w:rsid w:val="008F308F"/>
    <w:rsid w:val="008F327B"/>
    <w:rsid w:val="008F3554"/>
    <w:rsid w:val="008F364B"/>
    <w:rsid w:val="008F3950"/>
    <w:rsid w:val="008F3A29"/>
    <w:rsid w:val="008F3A2B"/>
    <w:rsid w:val="008F3F1A"/>
    <w:rsid w:val="008F4079"/>
    <w:rsid w:val="008F4461"/>
    <w:rsid w:val="008F449B"/>
    <w:rsid w:val="008F45AE"/>
    <w:rsid w:val="008F47E3"/>
    <w:rsid w:val="008F49BD"/>
    <w:rsid w:val="008F4D81"/>
    <w:rsid w:val="008F5281"/>
    <w:rsid w:val="008F52DC"/>
    <w:rsid w:val="008F52E1"/>
    <w:rsid w:val="008F6006"/>
    <w:rsid w:val="008F61AF"/>
    <w:rsid w:val="008F6246"/>
    <w:rsid w:val="008F6444"/>
    <w:rsid w:val="008F678D"/>
    <w:rsid w:val="008F690E"/>
    <w:rsid w:val="008F69D3"/>
    <w:rsid w:val="008F6AB2"/>
    <w:rsid w:val="008F6D70"/>
    <w:rsid w:val="008F7597"/>
    <w:rsid w:val="008F7700"/>
    <w:rsid w:val="008F776E"/>
    <w:rsid w:val="008F7BE4"/>
    <w:rsid w:val="00900170"/>
    <w:rsid w:val="0090017A"/>
    <w:rsid w:val="009004AD"/>
    <w:rsid w:val="0090054A"/>
    <w:rsid w:val="00900C31"/>
    <w:rsid w:val="00901293"/>
    <w:rsid w:val="00901301"/>
    <w:rsid w:val="0090164D"/>
    <w:rsid w:val="0090166D"/>
    <w:rsid w:val="00901FAE"/>
    <w:rsid w:val="00902240"/>
    <w:rsid w:val="0090288C"/>
    <w:rsid w:val="00902E1D"/>
    <w:rsid w:val="00903193"/>
    <w:rsid w:val="00903BC0"/>
    <w:rsid w:val="00904481"/>
    <w:rsid w:val="00904726"/>
    <w:rsid w:val="009049C3"/>
    <w:rsid w:val="00904FEC"/>
    <w:rsid w:val="009051B5"/>
    <w:rsid w:val="009058DD"/>
    <w:rsid w:val="00905B07"/>
    <w:rsid w:val="00905FF8"/>
    <w:rsid w:val="00906079"/>
    <w:rsid w:val="00906EF4"/>
    <w:rsid w:val="0090711C"/>
    <w:rsid w:val="00907176"/>
    <w:rsid w:val="009073E8"/>
    <w:rsid w:val="00907849"/>
    <w:rsid w:val="00907BC3"/>
    <w:rsid w:val="00907BD7"/>
    <w:rsid w:val="009105C6"/>
    <w:rsid w:val="00910A2C"/>
    <w:rsid w:val="00911084"/>
    <w:rsid w:val="009110C1"/>
    <w:rsid w:val="009112E5"/>
    <w:rsid w:val="0091147C"/>
    <w:rsid w:val="00911B9C"/>
    <w:rsid w:val="00911DA8"/>
    <w:rsid w:val="00911E68"/>
    <w:rsid w:val="0091222E"/>
    <w:rsid w:val="00912420"/>
    <w:rsid w:val="0091260B"/>
    <w:rsid w:val="00912733"/>
    <w:rsid w:val="0091283C"/>
    <w:rsid w:val="00912A37"/>
    <w:rsid w:val="00912BBE"/>
    <w:rsid w:val="00913214"/>
    <w:rsid w:val="00913409"/>
    <w:rsid w:val="0091345F"/>
    <w:rsid w:val="009139C9"/>
    <w:rsid w:val="00913D50"/>
    <w:rsid w:val="00913E2E"/>
    <w:rsid w:val="009140E5"/>
    <w:rsid w:val="0091414A"/>
    <w:rsid w:val="009142BA"/>
    <w:rsid w:val="009142C8"/>
    <w:rsid w:val="009148D7"/>
    <w:rsid w:val="00914987"/>
    <w:rsid w:val="00914C12"/>
    <w:rsid w:val="00914CB0"/>
    <w:rsid w:val="0091570A"/>
    <w:rsid w:val="00915776"/>
    <w:rsid w:val="009157FA"/>
    <w:rsid w:val="00915CBB"/>
    <w:rsid w:val="009160DD"/>
    <w:rsid w:val="0091633C"/>
    <w:rsid w:val="0091696D"/>
    <w:rsid w:val="00916983"/>
    <w:rsid w:val="00916FF3"/>
    <w:rsid w:val="009170BE"/>
    <w:rsid w:val="009171A6"/>
    <w:rsid w:val="00917333"/>
    <w:rsid w:val="009179EA"/>
    <w:rsid w:val="00917C52"/>
    <w:rsid w:val="00917D52"/>
    <w:rsid w:val="00917E2B"/>
    <w:rsid w:val="00920523"/>
    <w:rsid w:val="009206A2"/>
    <w:rsid w:val="00920B86"/>
    <w:rsid w:val="00920FF3"/>
    <w:rsid w:val="0092136C"/>
    <w:rsid w:val="00921514"/>
    <w:rsid w:val="00921C4A"/>
    <w:rsid w:val="00921CDC"/>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5BA"/>
    <w:rsid w:val="009247A6"/>
    <w:rsid w:val="00924B32"/>
    <w:rsid w:val="009257B1"/>
    <w:rsid w:val="00925E36"/>
    <w:rsid w:val="009261D2"/>
    <w:rsid w:val="00926320"/>
    <w:rsid w:val="009267FA"/>
    <w:rsid w:val="00927072"/>
    <w:rsid w:val="00927155"/>
    <w:rsid w:val="009272FD"/>
    <w:rsid w:val="009277BE"/>
    <w:rsid w:val="00927AB4"/>
    <w:rsid w:val="00927BBD"/>
    <w:rsid w:val="00927EC4"/>
    <w:rsid w:val="009300AF"/>
    <w:rsid w:val="00930571"/>
    <w:rsid w:val="00930D1C"/>
    <w:rsid w:val="00930F4D"/>
    <w:rsid w:val="00931A3B"/>
    <w:rsid w:val="00931E2F"/>
    <w:rsid w:val="00931F3F"/>
    <w:rsid w:val="009325AD"/>
    <w:rsid w:val="009327BB"/>
    <w:rsid w:val="00932AC4"/>
    <w:rsid w:val="00932C73"/>
    <w:rsid w:val="0093319C"/>
    <w:rsid w:val="009331BC"/>
    <w:rsid w:val="00933368"/>
    <w:rsid w:val="00933816"/>
    <w:rsid w:val="00933B4E"/>
    <w:rsid w:val="00933B80"/>
    <w:rsid w:val="00933DBA"/>
    <w:rsid w:val="00933E92"/>
    <w:rsid w:val="00934024"/>
    <w:rsid w:val="00934053"/>
    <w:rsid w:val="00934142"/>
    <w:rsid w:val="00934510"/>
    <w:rsid w:val="00934723"/>
    <w:rsid w:val="009347DA"/>
    <w:rsid w:val="00934EA6"/>
    <w:rsid w:val="00934EB6"/>
    <w:rsid w:val="009352B6"/>
    <w:rsid w:val="00935EBD"/>
    <w:rsid w:val="00935EDA"/>
    <w:rsid w:val="00935F1C"/>
    <w:rsid w:val="009361B4"/>
    <w:rsid w:val="0093666F"/>
    <w:rsid w:val="009367C9"/>
    <w:rsid w:val="00936B76"/>
    <w:rsid w:val="00936C62"/>
    <w:rsid w:val="00936F1F"/>
    <w:rsid w:val="00936F69"/>
    <w:rsid w:val="009375A8"/>
    <w:rsid w:val="0093796B"/>
    <w:rsid w:val="00937EAF"/>
    <w:rsid w:val="00937F4D"/>
    <w:rsid w:val="009400DF"/>
    <w:rsid w:val="00940253"/>
    <w:rsid w:val="009405A0"/>
    <w:rsid w:val="009405A5"/>
    <w:rsid w:val="009406B9"/>
    <w:rsid w:val="00940993"/>
    <w:rsid w:val="009419BE"/>
    <w:rsid w:val="0094274C"/>
    <w:rsid w:val="0094274D"/>
    <w:rsid w:val="00942A39"/>
    <w:rsid w:val="00942B33"/>
    <w:rsid w:val="00942F31"/>
    <w:rsid w:val="0094346F"/>
    <w:rsid w:val="009434A0"/>
    <w:rsid w:val="009434BA"/>
    <w:rsid w:val="0094398D"/>
    <w:rsid w:val="00943BB1"/>
    <w:rsid w:val="00943FD5"/>
    <w:rsid w:val="00944336"/>
    <w:rsid w:val="0094470B"/>
    <w:rsid w:val="0094479C"/>
    <w:rsid w:val="009449C9"/>
    <w:rsid w:val="00944E29"/>
    <w:rsid w:val="00944E96"/>
    <w:rsid w:val="00945123"/>
    <w:rsid w:val="0094526D"/>
    <w:rsid w:val="0094568F"/>
    <w:rsid w:val="009459A7"/>
    <w:rsid w:val="009460B3"/>
    <w:rsid w:val="009462CF"/>
    <w:rsid w:val="009465E6"/>
    <w:rsid w:val="00946650"/>
    <w:rsid w:val="0094669E"/>
    <w:rsid w:val="00946B1B"/>
    <w:rsid w:val="00946BFE"/>
    <w:rsid w:val="00946F67"/>
    <w:rsid w:val="00947138"/>
    <w:rsid w:val="00947308"/>
    <w:rsid w:val="00947682"/>
    <w:rsid w:val="0095006C"/>
    <w:rsid w:val="0095072F"/>
    <w:rsid w:val="00950BD8"/>
    <w:rsid w:val="00950CFE"/>
    <w:rsid w:val="00950DEB"/>
    <w:rsid w:val="009512DB"/>
    <w:rsid w:val="009514F1"/>
    <w:rsid w:val="00951827"/>
    <w:rsid w:val="009518B6"/>
    <w:rsid w:val="00952395"/>
    <w:rsid w:val="00952424"/>
    <w:rsid w:val="00952558"/>
    <w:rsid w:val="009528EB"/>
    <w:rsid w:val="0095294A"/>
    <w:rsid w:val="00952CF6"/>
    <w:rsid w:val="00952DEC"/>
    <w:rsid w:val="0095324B"/>
    <w:rsid w:val="0095370C"/>
    <w:rsid w:val="00953857"/>
    <w:rsid w:val="00953A4D"/>
    <w:rsid w:val="00953CC4"/>
    <w:rsid w:val="00953D70"/>
    <w:rsid w:val="00953E30"/>
    <w:rsid w:val="00954271"/>
    <w:rsid w:val="00954331"/>
    <w:rsid w:val="009545AD"/>
    <w:rsid w:val="00954781"/>
    <w:rsid w:val="00954A47"/>
    <w:rsid w:val="00954ABC"/>
    <w:rsid w:val="00954B7B"/>
    <w:rsid w:val="0095541A"/>
    <w:rsid w:val="00955437"/>
    <w:rsid w:val="00955AA4"/>
    <w:rsid w:val="00955FC6"/>
    <w:rsid w:val="00956042"/>
    <w:rsid w:val="00956090"/>
    <w:rsid w:val="0095616B"/>
    <w:rsid w:val="009566C5"/>
    <w:rsid w:val="0095756E"/>
    <w:rsid w:val="00957686"/>
    <w:rsid w:val="00957A91"/>
    <w:rsid w:val="00957C93"/>
    <w:rsid w:val="00957D30"/>
    <w:rsid w:val="00957F8A"/>
    <w:rsid w:val="00957FC9"/>
    <w:rsid w:val="009603EE"/>
    <w:rsid w:val="00960978"/>
    <w:rsid w:val="009609A7"/>
    <w:rsid w:val="00960A2B"/>
    <w:rsid w:val="00960A5B"/>
    <w:rsid w:val="00960C60"/>
    <w:rsid w:val="00960D99"/>
    <w:rsid w:val="00960E50"/>
    <w:rsid w:val="00961276"/>
    <w:rsid w:val="00961906"/>
    <w:rsid w:val="00961CD8"/>
    <w:rsid w:val="0096206A"/>
    <w:rsid w:val="0096218F"/>
    <w:rsid w:val="0096236D"/>
    <w:rsid w:val="009623DB"/>
    <w:rsid w:val="009624C8"/>
    <w:rsid w:val="009624DB"/>
    <w:rsid w:val="009629AD"/>
    <w:rsid w:val="00962F4E"/>
    <w:rsid w:val="00962FFD"/>
    <w:rsid w:val="00963364"/>
    <w:rsid w:val="00963397"/>
    <w:rsid w:val="009633A4"/>
    <w:rsid w:val="0096357A"/>
    <w:rsid w:val="0096379D"/>
    <w:rsid w:val="0096389E"/>
    <w:rsid w:val="00963D96"/>
    <w:rsid w:val="0096404A"/>
    <w:rsid w:val="0096414E"/>
    <w:rsid w:val="009641CD"/>
    <w:rsid w:val="009642DC"/>
    <w:rsid w:val="009649B2"/>
    <w:rsid w:val="00964A2F"/>
    <w:rsid w:val="00964C81"/>
    <w:rsid w:val="00964F4F"/>
    <w:rsid w:val="009652E5"/>
    <w:rsid w:val="0096544E"/>
    <w:rsid w:val="00965858"/>
    <w:rsid w:val="00965A88"/>
    <w:rsid w:val="00965F54"/>
    <w:rsid w:val="0096630E"/>
    <w:rsid w:val="0096658E"/>
    <w:rsid w:val="00966CAB"/>
    <w:rsid w:val="00966D7C"/>
    <w:rsid w:val="00966E5D"/>
    <w:rsid w:val="00966EAE"/>
    <w:rsid w:val="009671B3"/>
    <w:rsid w:val="0096734B"/>
    <w:rsid w:val="009673AB"/>
    <w:rsid w:val="0096740A"/>
    <w:rsid w:val="00967662"/>
    <w:rsid w:val="00967973"/>
    <w:rsid w:val="00967ABF"/>
    <w:rsid w:val="00967C93"/>
    <w:rsid w:val="00967DC4"/>
    <w:rsid w:val="00970285"/>
    <w:rsid w:val="009702E2"/>
    <w:rsid w:val="00970545"/>
    <w:rsid w:val="009707C9"/>
    <w:rsid w:val="00970A93"/>
    <w:rsid w:val="00970AC8"/>
    <w:rsid w:val="009712E5"/>
    <w:rsid w:val="009719C6"/>
    <w:rsid w:val="00971BA5"/>
    <w:rsid w:val="00971D55"/>
    <w:rsid w:val="009720F2"/>
    <w:rsid w:val="00972412"/>
    <w:rsid w:val="009728FC"/>
    <w:rsid w:val="00972947"/>
    <w:rsid w:val="00972BCB"/>
    <w:rsid w:val="00972C50"/>
    <w:rsid w:val="00972E44"/>
    <w:rsid w:val="009735A0"/>
    <w:rsid w:val="00973658"/>
    <w:rsid w:val="00973755"/>
    <w:rsid w:val="00973AF7"/>
    <w:rsid w:val="00973B90"/>
    <w:rsid w:val="00973F1E"/>
    <w:rsid w:val="0097401F"/>
    <w:rsid w:val="0097450B"/>
    <w:rsid w:val="00974A98"/>
    <w:rsid w:val="00974DCD"/>
    <w:rsid w:val="00975370"/>
    <w:rsid w:val="00975C36"/>
    <w:rsid w:val="0097601B"/>
    <w:rsid w:val="00976436"/>
    <w:rsid w:val="0097650C"/>
    <w:rsid w:val="009767BA"/>
    <w:rsid w:val="00976A20"/>
    <w:rsid w:val="00976CCF"/>
    <w:rsid w:val="00977284"/>
    <w:rsid w:val="00977312"/>
    <w:rsid w:val="00977399"/>
    <w:rsid w:val="009773B1"/>
    <w:rsid w:val="0097744F"/>
    <w:rsid w:val="0097757C"/>
    <w:rsid w:val="009800DD"/>
    <w:rsid w:val="009800ED"/>
    <w:rsid w:val="00980177"/>
    <w:rsid w:val="00980545"/>
    <w:rsid w:val="0098076F"/>
    <w:rsid w:val="009808F4"/>
    <w:rsid w:val="0098174B"/>
    <w:rsid w:val="00981C32"/>
    <w:rsid w:val="00981CAE"/>
    <w:rsid w:val="00981D2E"/>
    <w:rsid w:val="00981D55"/>
    <w:rsid w:val="00981EE9"/>
    <w:rsid w:val="00981EED"/>
    <w:rsid w:val="00982647"/>
    <w:rsid w:val="009826F4"/>
    <w:rsid w:val="0098271D"/>
    <w:rsid w:val="00982B79"/>
    <w:rsid w:val="00982E26"/>
    <w:rsid w:val="0098325A"/>
    <w:rsid w:val="00983CFB"/>
    <w:rsid w:val="00983EE6"/>
    <w:rsid w:val="0098456D"/>
    <w:rsid w:val="009846E7"/>
    <w:rsid w:val="00984B16"/>
    <w:rsid w:val="00984C46"/>
    <w:rsid w:val="00984E95"/>
    <w:rsid w:val="009857E9"/>
    <w:rsid w:val="00985BAA"/>
    <w:rsid w:val="00985C0D"/>
    <w:rsid w:val="00985C59"/>
    <w:rsid w:val="00985D29"/>
    <w:rsid w:val="00985D2A"/>
    <w:rsid w:val="00985DED"/>
    <w:rsid w:val="00985FB3"/>
    <w:rsid w:val="0098631B"/>
    <w:rsid w:val="0098647D"/>
    <w:rsid w:val="0098649F"/>
    <w:rsid w:val="009864B7"/>
    <w:rsid w:val="00986650"/>
    <w:rsid w:val="009868EB"/>
    <w:rsid w:val="00986D7C"/>
    <w:rsid w:val="00986FF4"/>
    <w:rsid w:val="009873D8"/>
    <w:rsid w:val="00987432"/>
    <w:rsid w:val="00987872"/>
    <w:rsid w:val="00987DB9"/>
    <w:rsid w:val="00990343"/>
    <w:rsid w:val="00990767"/>
    <w:rsid w:val="00990C09"/>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6C"/>
    <w:rsid w:val="00992CB4"/>
    <w:rsid w:val="00992EF2"/>
    <w:rsid w:val="009930AE"/>
    <w:rsid w:val="009934C4"/>
    <w:rsid w:val="0099350D"/>
    <w:rsid w:val="00993A2E"/>
    <w:rsid w:val="00993C14"/>
    <w:rsid w:val="00993DE4"/>
    <w:rsid w:val="009940BE"/>
    <w:rsid w:val="009940D3"/>
    <w:rsid w:val="009943E5"/>
    <w:rsid w:val="00994485"/>
    <w:rsid w:val="009950A8"/>
    <w:rsid w:val="0099511C"/>
    <w:rsid w:val="00995141"/>
    <w:rsid w:val="009956F8"/>
    <w:rsid w:val="00995827"/>
    <w:rsid w:val="00995849"/>
    <w:rsid w:val="00995A64"/>
    <w:rsid w:val="0099648D"/>
    <w:rsid w:val="009966F0"/>
    <w:rsid w:val="0099681F"/>
    <w:rsid w:val="00996C38"/>
    <w:rsid w:val="00996CB6"/>
    <w:rsid w:val="00996DFE"/>
    <w:rsid w:val="00996E0F"/>
    <w:rsid w:val="00997448"/>
    <w:rsid w:val="009974A2"/>
    <w:rsid w:val="00997515"/>
    <w:rsid w:val="00997668"/>
    <w:rsid w:val="009976BF"/>
    <w:rsid w:val="00997794"/>
    <w:rsid w:val="00997987"/>
    <w:rsid w:val="00997B6A"/>
    <w:rsid w:val="009A003D"/>
    <w:rsid w:val="009A004B"/>
    <w:rsid w:val="009A075D"/>
    <w:rsid w:val="009A09F4"/>
    <w:rsid w:val="009A1201"/>
    <w:rsid w:val="009A1345"/>
    <w:rsid w:val="009A1865"/>
    <w:rsid w:val="009A1A15"/>
    <w:rsid w:val="009A1A20"/>
    <w:rsid w:val="009A1B0A"/>
    <w:rsid w:val="009A1FBF"/>
    <w:rsid w:val="009A204C"/>
    <w:rsid w:val="009A230E"/>
    <w:rsid w:val="009A2A48"/>
    <w:rsid w:val="009A2B86"/>
    <w:rsid w:val="009A2BDD"/>
    <w:rsid w:val="009A2C1E"/>
    <w:rsid w:val="009A31D8"/>
    <w:rsid w:val="009A31F3"/>
    <w:rsid w:val="009A3816"/>
    <w:rsid w:val="009A3B65"/>
    <w:rsid w:val="009A3B76"/>
    <w:rsid w:val="009A3BA3"/>
    <w:rsid w:val="009A3F8B"/>
    <w:rsid w:val="009A411E"/>
    <w:rsid w:val="009A4198"/>
    <w:rsid w:val="009A42D2"/>
    <w:rsid w:val="009A4385"/>
    <w:rsid w:val="009A441B"/>
    <w:rsid w:val="009A4C18"/>
    <w:rsid w:val="009A5714"/>
    <w:rsid w:val="009A5CF0"/>
    <w:rsid w:val="009A5D96"/>
    <w:rsid w:val="009A5E74"/>
    <w:rsid w:val="009A5EF2"/>
    <w:rsid w:val="009A6137"/>
    <w:rsid w:val="009A6182"/>
    <w:rsid w:val="009A61F2"/>
    <w:rsid w:val="009A6258"/>
    <w:rsid w:val="009A635F"/>
    <w:rsid w:val="009A658E"/>
    <w:rsid w:val="009A6591"/>
    <w:rsid w:val="009A68BB"/>
    <w:rsid w:val="009A6B64"/>
    <w:rsid w:val="009A6D60"/>
    <w:rsid w:val="009A757B"/>
    <w:rsid w:val="009A76BF"/>
    <w:rsid w:val="009A7955"/>
    <w:rsid w:val="009B0022"/>
    <w:rsid w:val="009B00E5"/>
    <w:rsid w:val="009B08FD"/>
    <w:rsid w:val="009B0932"/>
    <w:rsid w:val="009B0A18"/>
    <w:rsid w:val="009B0D39"/>
    <w:rsid w:val="009B0EE6"/>
    <w:rsid w:val="009B11F0"/>
    <w:rsid w:val="009B153F"/>
    <w:rsid w:val="009B160E"/>
    <w:rsid w:val="009B1AC8"/>
    <w:rsid w:val="009B1C2A"/>
    <w:rsid w:val="009B240C"/>
    <w:rsid w:val="009B2AB4"/>
    <w:rsid w:val="009B2C90"/>
    <w:rsid w:val="009B30BD"/>
    <w:rsid w:val="009B310A"/>
    <w:rsid w:val="009B3650"/>
    <w:rsid w:val="009B3717"/>
    <w:rsid w:val="009B39FC"/>
    <w:rsid w:val="009B3BCC"/>
    <w:rsid w:val="009B3D81"/>
    <w:rsid w:val="009B413A"/>
    <w:rsid w:val="009B48F1"/>
    <w:rsid w:val="009B4903"/>
    <w:rsid w:val="009B4D63"/>
    <w:rsid w:val="009B4DC9"/>
    <w:rsid w:val="009B51B2"/>
    <w:rsid w:val="009B5357"/>
    <w:rsid w:val="009B54ED"/>
    <w:rsid w:val="009B5717"/>
    <w:rsid w:val="009B5E27"/>
    <w:rsid w:val="009B5E5D"/>
    <w:rsid w:val="009B5F15"/>
    <w:rsid w:val="009B5FE7"/>
    <w:rsid w:val="009B638B"/>
    <w:rsid w:val="009B7CED"/>
    <w:rsid w:val="009C03F0"/>
    <w:rsid w:val="009C0498"/>
    <w:rsid w:val="009C0512"/>
    <w:rsid w:val="009C077A"/>
    <w:rsid w:val="009C09F2"/>
    <w:rsid w:val="009C0FBC"/>
    <w:rsid w:val="009C1067"/>
    <w:rsid w:val="009C11F8"/>
    <w:rsid w:val="009C131E"/>
    <w:rsid w:val="009C1497"/>
    <w:rsid w:val="009C1503"/>
    <w:rsid w:val="009C1833"/>
    <w:rsid w:val="009C18FD"/>
    <w:rsid w:val="009C1976"/>
    <w:rsid w:val="009C1A97"/>
    <w:rsid w:val="009C1D32"/>
    <w:rsid w:val="009C2462"/>
    <w:rsid w:val="009C254A"/>
    <w:rsid w:val="009C27A8"/>
    <w:rsid w:val="009C2D4C"/>
    <w:rsid w:val="009C2E48"/>
    <w:rsid w:val="009C2F24"/>
    <w:rsid w:val="009C33DD"/>
    <w:rsid w:val="009C3467"/>
    <w:rsid w:val="009C3DFA"/>
    <w:rsid w:val="009C4A12"/>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41"/>
    <w:rsid w:val="009D01C0"/>
    <w:rsid w:val="009D027B"/>
    <w:rsid w:val="009D09F9"/>
    <w:rsid w:val="009D0C77"/>
    <w:rsid w:val="009D0D38"/>
    <w:rsid w:val="009D160D"/>
    <w:rsid w:val="009D1F24"/>
    <w:rsid w:val="009D294C"/>
    <w:rsid w:val="009D2986"/>
    <w:rsid w:val="009D2BFC"/>
    <w:rsid w:val="009D3136"/>
    <w:rsid w:val="009D3180"/>
    <w:rsid w:val="009D33D0"/>
    <w:rsid w:val="009D35C0"/>
    <w:rsid w:val="009D3969"/>
    <w:rsid w:val="009D3CED"/>
    <w:rsid w:val="009D3EA6"/>
    <w:rsid w:val="009D42AB"/>
    <w:rsid w:val="009D439C"/>
    <w:rsid w:val="009D477B"/>
    <w:rsid w:val="009D484D"/>
    <w:rsid w:val="009D4AD9"/>
    <w:rsid w:val="009D5317"/>
    <w:rsid w:val="009D53F5"/>
    <w:rsid w:val="009D57C0"/>
    <w:rsid w:val="009D59D1"/>
    <w:rsid w:val="009D5AEB"/>
    <w:rsid w:val="009D5FB8"/>
    <w:rsid w:val="009D6122"/>
    <w:rsid w:val="009D6224"/>
    <w:rsid w:val="009D688B"/>
    <w:rsid w:val="009D6B6D"/>
    <w:rsid w:val="009D6BBA"/>
    <w:rsid w:val="009D701F"/>
    <w:rsid w:val="009D72B4"/>
    <w:rsid w:val="009D72DC"/>
    <w:rsid w:val="009D790F"/>
    <w:rsid w:val="009D7BD1"/>
    <w:rsid w:val="009D7FC8"/>
    <w:rsid w:val="009E081E"/>
    <w:rsid w:val="009E092A"/>
    <w:rsid w:val="009E0B25"/>
    <w:rsid w:val="009E0DB5"/>
    <w:rsid w:val="009E10D2"/>
    <w:rsid w:val="009E1C1D"/>
    <w:rsid w:val="009E1C4B"/>
    <w:rsid w:val="009E204F"/>
    <w:rsid w:val="009E2273"/>
    <w:rsid w:val="009E2791"/>
    <w:rsid w:val="009E28D1"/>
    <w:rsid w:val="009E2ABB"/>
    <w:rsid w:val="009E2F72"/>
    <w:rsid w:val="009E3104"/>
    <w:rsid w:val="009E3338"/>
    <w:rsid w:val="009E337E"/>
    <w:rsid w:val="009E364E"/>
    <w:rsid w:val="009E3962"/>
    <w:rsid w:val="009E3BE0"/>
    <w:rsid w:val="009E3EAA"/>
    <w:rsid w:val="009E437F"/>
    <w:rsid w:val="009E44DF"/>
    <w:rsid w:val="009E4631"/>
    <w:rsid w:val="009E4AB5"/>
    <w:rsid w:val="009E4AE5"/>
    <w:rsid w:val="009E4E82"/>
    <w:rsid w:val="009E5063"/>
    <w:rsid w:val="009E52C6"/>
    <w:rsid w:val="009E591E"/>
    <w:rsid w:val="009E5BA8"/>
    <w:rsid w:val="009E5F91"/>
    <w:rsid w:val="009E5FDA"/>
    <w:rsid w:val="009E6152"/>
    <w:rsid w:val="009E6599"/>
    <w:rsid w:val="009E66D8"/>
    <w:rsid w:val="009E6DE1"/>
    <w:rsid w:val="009E6E25"/>
    <w:rsid w:val="009E7140"/>
    <w:rsid w:val="009E77B6"/>
    <w:rsid w:val="009E77D9"/>
    <w:rsid w:val="009E78A3"/>
    <w:rsid w:val="009E7B9C"/>
    <w:rsid w:val="009F044B"/>
    <w:rsid w:val="009F069E"/>
    <w:rsid w:val="009F08F3"/>
    <w:rsid w:val="009F0A1C"/>
    <w:rsid w:val="009F0D03"/>
    <w:rsid w:val="009F0D59"/>
    <w:rsid w:val="009F14B3"/>
    <w:rsid w:val="009F16A1"/>
    <w:rsid w:val="009F17B3"/>
    <w:rsid w:val="009F1824"/>
    <w:rsid w:val="009F1AA9"/>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922"/>
    <w:rsid w:val="009F4C5C"/>
    <w:rsid w:val="009F5059"/>
    <w:rsid w:val="009F5082"/>
    <w:rsid w:val="009F5196"/>
    <w:rsid w:val="009F54B0"/>
    <w:rsid w:val="009F5509"/>
    <w:rsid w:val="009F598C"/>
    <w:rsid w:val="009F5B4A"/>
    <w:rsid w:val="009F5B5F"/>
    <w:rsid w:val="009F5BF3"/>
    <w:rsid w:val="009F61F2"/>
    <w:rsid w:val="009F6268"/>
    <w:rsid w:val="009F62FD"/>
    <w:rsid w:val="009F6A8B"/>
    <w:rsid w:val="009F6AEE"/>
    <w:rsid w:val="009F6B7A"/>
    <w:rsid w:val="009F70B8"/>
    <w:rsid w:val="009F7277"/>
    <w:rsid w:val="009F745D"/>
    <w:rsid w:val="009F7A21"/>
    <w:rsid w:val="009F7C93"/>
    <w:rsid w:val="00A003AF"/>
    <w:rsid w:val="00A00510"/>
    <w:rsid w:val="00A00ADD"/>
    <w:rsid w:val="00A00B8F"/>
    <w:rsid w:val="00A011AA"/>
    <w:rsid w:val="00A013C0"/>
    <w:rsid w:val="00A013F6"/>
    <w:rsid w:val="00A014EC"/>
    <w:rsid w:val="00A01877"/>
    <w:rsid w:val="00A01BFF"/>
    <w:rsid w:val="00A023AA"/>
    <w:rsid w:val="00A02832"/>
    <w:rsid w:val="00A0294E"/>
    <w:rsid w:val="00A0373E"/>
    <w:rsid w:val="00A03A85"/>
    <w:rsid w:val="00A03E2D"/>
    <w:rsid w:val="00A04FF0"/>
    <w:rsid w:val="00A05496"/>
    <w:rsid w:val="00A055A0"/>
    <w:rsid w:val="00A05611"/>
    <w:rsid w:val="00A0589D"/>
    <w:rsid w:val="00A05AC6"/>
    <w:rsid w:val="00A05B0A"/>
    <w:rsid w:val="00A05BF6"/>
    <w:rsid w:val="00A05C2A"/>
    <w:rsid w:val="00A05C65"/>
    <w:rsid w:val="00A05DBF"/>
    <w:rsid w:val="00A06710"/>
    <w:rsid w:val="00A067C3"/>
    <w:rsid w:val="00A06ABB"/>
    <w:rsid w:val="00A06EAA"/>
    <w:rsid w:val="00A06F95"/>
    <w:rsid w:val="00A070EA"/>
    <w:rsid w:val="00A07269"/>
    <w:rsid w:val="00A07326"/>
    <w:rsid w:val="00A07621"/>
    <w:rsid w:val="00A076CC"/>
    <w:rsid w:val="00A07946"/>
    <w:rsid w:val="00A07B82"/>
    <w:rsid w:val="00A07CA6"/>
    <w:rsid w:val="00A07E0D"/>
    <w:rsid w:val="00A10C51"/>
    <w:rsid w:val="00A10DF5"/>
    <w:rsid w:val="00A10E9F"/>
    <w:rsid w:val="00A11145"/>
    <w:rsid w:val="00A11A19"/>
    <w:rsid w:val="00A11BCC"/>
    <w:rsid w:val="00A11F60"/>
    <w:rsid w:val="00A12342"/>
    <w:rsid w:val="00A12396"/>
    <w:rsid w:val="00A1247B"/>
    <w:rsid w:val="00A129BC"/>
    <w:rsid w:val="00A12A34"/>
    <w:rsid w:val="00A12B13"/>
    <w:rsid w:val="00A12E0D"/>
    <w:rsid w:val="00A1339A"/>
    <w:rsid w:val="00A13B4E"/>
    <w:rsid w:val="00A13CC1"/>
    <w:rsid w:val="00A14382"/>
    <w:rsid w:val="00A1439D"/>
    <w:rsid w:val="00A147B3"/>
    <w:rsid w:val="00A14907"/>
    <w:rsid w:val="00A14D5A"/>
    <w:rsid w:val="00A1544D"/>
    <w:rsid w:val="00A156D6"/>
    <w:rsid w:val="00A157AD"/>
    <w:rsid w:val="00A158F5"/>
    <w:rsid w:val="00A1595F"/>
    <w:rsid w:val="00A15ADA"/>
    <w:rsid w:val="00A15DBC"/>
    <w:rsid w:val="00A15EB5"/>
    <w:rsid w:val="00A16307"/>
    <w:rsid w:val="00A16504"/>
    <w:rsid w:val="00A16636"/>
    <w:rsid w:val="00A16BA0"/>
    <w:rsid w:val="00A16CFF"/>
    <w:rsid w:val="00A17007"/>
    <w:rsid w:val="00A17395"/>
    <w:rsid w:val="00A17A90"/>
    <w:rsid w:val="00A17C9C"/>
    <w:rsid w:val="00A206E5"/>
    <w:rsid w:val="00A2085E"/>
    <w:rsid w:val="00A20D3A"/>
    <w:rsid w:val="00A20DF8"/>
    <w:rsid w:val="00A21076"/>
    <w:rsid w:val="00A21E3C"/>
    <w:rsid w:val="00A222A5"/>
    <w:rsid w:val="00A22460"/>
    <w:rsid w:val="00A22658"/>
    <w:rsid w:val="00A23245"/>
    <w:rsid w:val="00A2330E"/>
    <w:rsid w:val="00A23607"/>
    <w:rsid w:val="00A23814"/>
    <w:rsid w:val="00A2384A"/>
    <w:rsid w:val="00A23B82"/>
    <w:rsid w:val="00A23BDC"/>
    <w:rsid w:val="00A23EC7"/>
    <w:rsid w:val="00A23FEA"/>
    <w:rsid w:val="00A24073"/>
    <w:rsid w:val="00A2407D"/>
    <w:rsid w:val="00A240E2"/>
    <w:rsid w:val="00A2482A"/>
    <w:rsid w:val="00A24882"/>
    <w:rsid w:val="00A248BA"/>
    <w:rsid w:val="00A249B8"/>
    <w:rsid w:val="00A24B0E"/>
    <w:rsid w:val="00A24B17"/>
    <w:rsid w:val="00A24B2D"/>
    <w:rsid w:val="00A25009"/>
    <w:rsid w:val="00A2525C"/>
    <w:rsid w:val="00A25324"/>
    <w:rsid w:val="00A254BA"/>
    <w:rsid w:val="00A25671"/>
    <w:rsid w:val="00A25AB3"/>
    <w:rsid w:val="00A25DC1"/>
    <w:rsid w:val="00A2606B"/>
    <w:rsid w:val="00A261C2"/>
    <w:rsid w:val="00A264E0"/>
    <w:rsid w:val="00A26542"/>
    <w:rsid w:val="00A267C1"/>
    <w:rsid w:val="00A271B4"/>
    <w:rsid w:val="00A2737D"/>
    <w:rsid w:val="00A27459"/>
    <w:rsid w:val="00A275B7"/>
    <w:rsid w:val="00A276B5"/>
    <w:rsid w:val="00A277B5"/>
    <w:rsid w:val="00A27B32"/>
    <w:rsid w:val="00A27D77"/>
    <w:rsid w:val="00A30172"/>
    <w:rsid w:val="00A3055F"/>
    <w:rsid w:val="00A30651"/>
    <w:rsid w:val="00A3072B"/>
    <w:rsid w:val="00A30752"/>
    <w:rsid w:val="00A307EF"/>
    <w:rsid w:val="00A30B0A"/>
    <w:rsid w:val="00A31270"/>
    <w:rsid w:val="00A3129F"/>
    <w:rsid w:val="00A312DA"/>
    <w:rsid w:val="00A31FD1"/>
    <w:rsid w:val="00A3214C"/>
    <w:rsid w:val="00A327E8"/>
    <w:rsid w:val="00A329AF"/>
    <w:rsid w:val="00A329E2"/>
    <w:rsid w:val="00A32A3F"/>
    <w:rsid w:val="00A32AF8"/>
    <w:rsid w:val="00A32C4F"/>
    <w:rsid w:val="00A32DB3"/>
    <w:rsid w:val="00A3386C"/>
    <w:rsid w:val="00A33EDE"/>
    <w:rsid w:val="00A349A3"/>
    <w:rsid w:val="00A34F9F"/>
    <w:rsid w:val="00A3503B"/>
    <w:rsid w:val="00A35121"/>
    <w:rsid w:val="00A3512F"/>
    <w:rsid w:val="00A356BD"/>
    <w:rsid w:val="00A357E0"/>
    <w:rsid w:val="00A3593B"/>
    <w:rsid w:val="00A35CB4"/>
    <w:rsid w:val="00A366F6"/>
    <w:rsid w:val="00A36F59"/>
    <w:rsid w:val="00A3700C"/>
    <w:rsid w:val="00A375BD"/>
    <w:rsid w:val="00A37D8A"/>
    <w:rsid w:val="00A37F85"/>
    <w:rsid w:val="00A401D0"/>
    <w:rsid w:val="00A405FB"/>
    <w:rsid w:val="00A40BDD"/>
    <w:rsid w:val="00A40C5B"/>
    <w:rsid w:val="00A40D18"/>
    <w:rsid w:val="00A40FA1"/>
    <w:rsid w:val="00A41081"/>
    <w:rsid w:val="00A411A4"/>
    <w:rsid w:val="00A413FE"/>
    <w:rsid w:val="00A415DD"/>
    <w:rsid w:val="00A4171F"/>
    <w:rsid w:val="00A41AA1"/>
    <w:rsid w:val="00A41EED"/>
    <w:rsid w:val="00A41F98"/>
    <w:rsid w:val="00A42237"/>
    <w:rsid w:val="00A42725"/>
    <w:rsid w:val="00A4286B"/>
    <w:rsid w:val="00A42C96"/>
    <w:rsid w:val="00A42D96"/>
    <w:rsid w:val="00A42DAE"/>
    <w:rsid w:val="00A43044"/>
    <w:rsid w:val="00A4376B"/>
    <w:rsid w:val="00A437B9"/>
    <w:rsid w:val="00A4395D"/>
    <w:rsid w:val="00A43D39"/>
    <w:rsid w:val="00A43E37"/>
    <w:rsid w:val="00A43F80"/>
    <w:rsid w:val="00A44005"/>
    <w:rsid w:val="00A44209"/>
    <w:rsid w:val="00A443E8"/>
    <w:rsid w:val="00A44641"/>
    <w:rsid w:val="00A44E9C"/>
    <w:rsid w:val="00A45133"/>
    <w:rsid w:val="00A45350"/>
    <w:rsid w:val="00A455FF"/>
    <w:rsid w:val="00A4567C"/>
    <w:rsid w:val="00A456C4"/>
    <w:rsid w:val="00A45C3A"/>
    <w:rsid w:val="00A45D85"/>
    <w:rsid w:val="00A45E55"/>
    <w:rsid w:val="00A464B3"/>
    <w:rsid w:val="00A468F4"/>
    <w:rsid w:val="00A46953"/>
    <w:rsid w:val="00A46978"/>
    <w:rsid w:val="00A46A5A"/>
    <w:rsid w:val="00A46B70"/>
    <w:rsid w:val="00A46C3D"/>
    <w:rsid w:val="00A46DE4"/>
    <w:rsid w:val="00A4744F"/>
    <w:rsid w:val="00A474CB"/>
    <w:rsid w:val="00A47595"/>
    <w:rsid w:val="00A47B48"/>
    <w:rsid w:val="00A50217"/>
    <w:rsid w:val="00A5036C"/>
    <w:rsid w:val="00A50B73"/>
    <w:rsid w:val="00A50F9A"/>
    <w:rsid w:val="00A51190"/>
    <w:rsid w:val="00A51737"/>
    <w:rsid w:val="00A519A6"/>
    <w:rsid w:val="00A51C86"/>
    <w:rsid w:val="00A51EE5"/>
    <w:rsid w:val="00A51EEB"/>
    <w:rsid w:val="00A52889"/>
    <w:rsid w:val="00A52ADF"/>
    <w:rsid w:val="00A52B35"/>
    <w:rsid w:val="00A52BC8"/>
    <w:rsid w:val="00A531D7"/>
    <w:rsid w:val="00A5325B"/>
    <w:rsid w:val="00A5346D"/>
    <w:rsid w:val="00A53B01"/>
    <w:rsid w:val="00A53D38"/>
    <w:rsid w:val="00A54078"/>
    <w:rsid w:val="00A542B7"/>
    <w:rsid w:val="00A54BE2"/>
    <w:rsid w:val="00A54F46"/>
    <w:rsid w:val="00A554C5"/>
    <w:rsid w:val="00A554EF"/>
    <w:rsid w:val="00A55583"/>
    <w:rsid w:val="00A55661"/>
    <w:rsid w:val="00A556FB"/>
    <w:rsid w:val="00A55AD7"/>
    <w:rsid w:val="00A5616E"/>
    <w:rsid w:val="00A56256"/>
    <w:rsid w:val="00A56357"/>
    <w:rsid w:val="00A570B4"/>
    <w:rsid w:val="00A57349"/>
    <w:rsid w:val="00A57683"/>
    <w:rsid w:val="00A57689"/>
    <w:rsid w:val="00A57C11"/>
    <w:rsid w:val="00A57CE2"/>
    <w:rsid w:val="00A57E15"/>
    <w:rsid w:val="00A57FFC"/>
    <w:rsid w:val="00A60328"/>
    <w:rsid w:val="00A6060D"/>
    <w:rsid w:val="00A60785"/>
    <w:rsid w:val="00A60E61"/>
    <w:rsid w:val="00A61890"/>
    <w:rsid w:val="00A61E54"/>
    <w:rsid w:val="00A6209B"/>
    <w:rsid w:val="00A62289"/>
    <w:rsid w:val="00A6230F"/>
    <w:rsid w:val="00A6282E"/>
    <w:rsid w:val="00A62D49"/>
    <w:rsid w:val="00A633CD"/>
    <w:rsid w:val="00A6387A"/>
    <w:rsid w:val="00A63965"/>
    <w:rsid w:val="00A63AF0"/>
    <w:rsid w:val="00A643E1"/>
    <w:rsid w:val="00A64EAC"/>
    <w:rsid w:val="00A64FFC"/>
    <w:rsid w:val="00A651AD"/>
    <w:rsid w:val="00A652B1"/>
    <w:rsid w:val="00A65492"/>
    <w:rsid w:val="00A655D9"/>
    <w:rsid w:val="00A65A38"/>
    <w:rsid w:val="00A65DF3"/>
    <w:rsid w:val="00A65F64"/>
    <w:rsid w:val="00A665BC"/>
    <w:rsid w:val="00A66A3B"/>
    <w:rsid w:val="00A66AAE"/>
    <w:rsid w:val="00A670E7"/>
    <w:rsid w:val="00A6721D"/>
    <w:rsid w:val="00A67496"/>
    <w:rsid w:val="00A674C9"/>
    <w:rsid w:val="00A67510"/>
    <w:rsid w:val="00A67741"/>
    <w:rsid w:val="00A678E5"/>
    <w:rsid w:val="00A67C76"/>
    <w:rsid w:val="00A67C77"/>
    <w:rsid w:val="00A67E54"/>
    <w:rsid w:val="00A7009C"/>
    <w:rsid w:val="00A702A2"/>
    <w:rsid w:val="00A70DD3"/>
    <w:rsid w:val="00A7152B"/>
    <w:rsid w:val="00A71735"/>
    <w:rsid w:val="00A71EA6"/>
    <w:rsid w:val="00A72121"/>
    <w:rsid w:val="00A72C16"/>
    <w:rsid w:val="00A72CF7"/>
    <w:rsid w:val="00A73E4F"/>
    <w:rsid w:val="00A745EA"/>
    <w:rsid w:val="00A746DA"/>
    <w:rsid w:val="00A7471C"/>
    <w:rsid w:val="00A74743"/>
    <w:rsid w:val="00A74D01"/>
    <w:rsid w:val="00A74DAC"/>
    <w:rsid w:val="00A7578E"/>
    <w:rsid w:val="00A757CC"/>
    <w:rsid w:val="00A75B4C"/>
    <w:rsid w:val="00A766A3"/>
    <w:rsid w:val="00A76D35"/>
    <w:rsid w:val="00A7730D"/>
    <w:rsid w:val="00A77399"/>
    <w:rsid w:val="00A774BE"/>
    <w:rsid w:val="00A77669"/>
    <w:rsid w:val="00A7772D"/>
    <w:rsid w:val="00A7775C"/>
    <w:rsid w:val="00A80094"/>
    <w:rsid w:val="00A8028E"/>
    <w:rsid w:val="00A802DB"/>
    <w:rsid w:val="00A80322"/>
    <w:rsid w:val="00A80337"/>
    <w:rsid w:val="00A80477"/>
    <w:rsid w:val="00A806D4"/>
    <w:rsid w:val="00A8094C"/>
    <w:rsid w:val="00A80C74"/>
    <w:rsid w:val="00A81269"/>
    <w:rsid w:val="00A81A0E"/>
    <w:rsid w:val="00A81AC2"/>
    <w:rsid w:val="00A81F76"/>
    <w:rsid w:val="00A82067"/>
    <w:rsid w:val="00A8210A"/>
    <w:rsid w:val="00A82113"/>
    <w:rsid w:val="00A821A1"/>
    <w:rsid w:val="00A821EA"/>
    <w:rsid w:val="00A826E2"/>
    <w:rsid w:val="00A827B5"/>
    <w:rsid w:val="00A82E82"/>
    <w:rsid w:val="00A82FB7"/>
    <w:rsid w:val="00A831C4"/>
    <w:rsid w:val="00A83219"/>
    <w:rsid w:val="00A8385E"/>
    <w:rsid w:val="00A8394A"/>
    <w:rsid w:val="00A83A63"/>
    <w:rsid w:val="00A83C5E"/>
    <w:rsid w:val="00A840AB"/>
    <w:rsid w:val="00A841B8"/>
    <w:rsid w:val="00A842A4"/>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37"/>
    <w:rsid w:val="00A87BED"/>
    <w:rsid w:val="00A87C96"/>
    <w:rsid w:val="00A87C98"/>
    <w:rsid w:val="00A87CB6"/>
    <w:rsid w:val="00A90073"/>
    <w:rsid w:val="00A904C0"/>
    <w:rsid w:val="00A90626"/>
    <w:rsid w:val="00A90664"/>
    <w:rsid w:val="00A906A7"/>
    <w:rsid w:val="00A90743"/>
    <w:rsid w:val="00A90761"/>
    <w:rsid w:val="00A907B6"/>
    <w:rsid w:val="00A90D17"/>
    <w:rsid w:val="00A916B9"/>
    <w:rsid w:val="00A91FF3"/>
    <w:rsid w:val="00A925D5"/>
    <w:rsid w:val="00A926A1"/>
    <w:rsid w:val="00A92CA1"/>
    <w:rsid w:val="00A93033"/>
    <w:rsid w:val="00A93585"/>
    <w:rsid w:val="00A935AF"/>
    <w:rsid w:val="00A937C6"/>
    <w:rsid w:val="00A939AF"/>
    <w:rsid w:val="00A93A19"/>
    <w:rsid w:val="00A93D21"/>
    <w:rsid w:val="00A93DC7"/>
    <w:rsid w:val="00A93EE3"/>
    <w:rsid w:val="00A9499F"/>
    <w:rsid w:val="00A94A82"/>
    <w:rsid w:val="00A94B07"/>
    <w:rsid w:val="00A94B54"/>
    <w:rsid w:val="00A94C85"/>
    <w:rsid w:val="00A94DE6"/>
    <w:rsid w:val="00A95897"/>
    <w:rsid w:val="00A95D6D"/>
    <w:rsid w:val="00A96162"/>
    <w:rsid w:val="00A96634"/>
    <w:rsid w:val="00A966F8"/>
    <w:rsid w:val="00A96761"/>
    <w:rsid w:val="00A96EC6"/>
    <w:rsid w:val="00A97176"/>
    <w:rsid w:val="00A9756F"/>
    <w:rsid w:val="00A97762"/>
    <w:rsid w:val="00A977C9"/>
    <w:rsid w:val="00A9799A"/>
    <w:rsid w:val="00A97E8E"/>
    <w:rsid w:val="00A97FF9"/>
    <w:rsid w:val="00AA08EB"/>
    <w:rsid w:val="00AA0A93"/>
    <w:rsid w:val="00AA0C12"/>
    <w:rsid w:val="00AA0D48"/>
    <w:rsid w:val="00AA1087"/>
    <w:rsid w:val="00AA113B"/>
    <w:rsid w:val="00AA2104"/>
    <w:rsid w:val="00AA223E"/>
    <w:rsid w:val="00AA254F"/>
    <w:rsid w:val="00AA25A1"/>
    <w:rsid w:val="00AA27E7"/>
    <w:rsid w:val="00AA2E5D"/>
    <w:rsid w:val="00AA39BF"/>
    <w:rsid w:val="00AA3F73"/>
    <w:rsid w:val="00AA424B"/>
    <w:rsid w:val="00AA464C"/>
    <w:rsid w:val="00AA46DA"/>
    <w:rsid w:val="00AA4AB5"/>
    <w:rsid w:val="00AA4E00"/>
    <w:rsid w:val="00AA5441"/>
    <w:rsid w:val="00AA5807"/>
    <w:rsid w:val="00AA5B54"/>
    <w:rsid w:val="00AA5CDD"/>
    <w:rsid w:val="00AA6799"/>
    <w:rsid w:val="00AA6C15"/>
    <w:rsid w:val="00AA6D95"/>
    <w:rsid w:val="00AA6DB8"/>
    <w:rsid w:val="00AA70B8"/>
    <w:rsid w:val="00AA749A"/>
    <w:rsid w:val="00AA7636"/>
    <w:rsid w:val="00AA7A45"/>
    <w:rsid w:val="00AA7A49"/>
    <w:rsid w:val="00AA7AF5"/>
    <w:rsid w:val="00AB025F"/>
    <w:rsid w:val="00AB0546"/>
    <w:rsid w:val="00AB0786"/>
    <w:rsid w:val="00AB0AFE"/>
    <w:rsid w:val="00AB0D5C"/>
    <w:rsid w:val="00AB10C9"/>
    <w:rsid w:val="00AB1427"/>
    <w:rsid w:val="00AB15E6"/>
    <w:rsid w:val="00AB17FE"/>
    <w:rsid w:val="00AB1880"/>
    <w:rsid w:val="00AB18F5"/>
    <w:rsid w:val="00AB1950"/>
    <w:rsid w:val="00AB1A0D"/>
    <w:rsid w:val="00AB1EEB"/>
    <w:rsid w:val="00AB1F45"/>
    <w:rsid w:val="00AB238C"/>
    <w:rsid w:val="00AB23FF"/>
    <w:rsid w:val="00AB244F"/>
    <w:rsid w:val="00AB2ADC"/>
    <w:rsid w:val="00AB31E1"/>
    <w:rsid w:val="00AB3280"/>
    <w:rsid w:val="00AB3663"/>
    <w:rsid w:val="00AB39D9"/>
    <w:rsid w:val="00AB3B63"/>
    <w:rsid w:val="00AB3DB3"/>
    <w:rsid w:val="00AB3DF3"/>
    <w:rsid w:val="00AB4053"/>
    <w:rsid w:val="00AB405B"/>
    <w:rsid w:val="00AB469A"/>
    <w:rsid w:val="00AB46BA"/>
    <w:rsid w:val="00AB479E"/>
    <w:rsid w:val="00AB4B5A"/>
    <w:rsid w:val="00AB4D82"/>
    <w:rsid w:val="00AB51AC"/>
    <w:rsid w:val="00AB5630"/>
    <w:rsid w:val="00AB5640"/>
    <w:rsid w:val="00AB59CD"/>
    <w:rsid w:val="00AB5A98"/>
    <w:rsid w:val="00AB5C37"/>
    <w:rsid w:val="00AB5D77"/>
    <w:rsid w:val="00AB5E7C"/>
    <w:rsid w:val="00AB701C"/>
    <w:rsid w:val="00AB7226"/>
    <w:rsid w:val="00AB73C8"/>
    <w:rsid w:val="00AB74CF"/>
    <w:rsid w:val="00AB7539"/>
    <w:rsid w:val="00AB780E"/>
    <w:rsid w:val="00AB7F27"/>
    <w:rsid w:val="00AC0160"/>
    <w:rsid w:val="00AC01C4"/>
    <w:rsid w:val="00AC043C"/>
    <w:rsid w:val="00AC08A4"/>
    <w:rsid w:val="00AC0CEB"/>
    <w:rsid w:val="00AC193A"/>
    <w:rsid w:val="00AC1B81"/>
    <w:rsid w:val="00AC242C"/>
    <w:rsid w:val="00AC2495"/>
    <w:rsid w:val="00AC2A77"/>
    <w:rsid w:val="00AC2CA5"/>
    <w:rsid w:val="00AC2FE9"/>
    <w:rsid w:val="00AC31B1"/>
    <w:rsid w:val="00AC31E6"/>
    <w:rsid w:val="00AC31E8"/>
    <w:rsid w:val="00AC3322"/>
    <w:rsid w:val="00AC35E7"/>
    <w:rsid w:val="00AC386A"/>
    <w:rsid w:val="00AC3D85"/>
    <w:rsid w:val="00AC3DB9"/>
    <w:rsid w:val="00AC4138"/>
    <w:rsid w:val="00AC459A"/>
    <w:rsid w:val="00AC45A6"/>
    <w:rsid w:val="00AC4718"/>
    <w:rsid w:val="00AC4B42"/>
    <w:rsid w:val="00AC4B77"/>
    <w:rsid w:val="00AC4BE2"/>
    <w:rsid w:val="00AC4DAB"/>
    <w:rsid w:val="00AC5089"/>
    <w:rsid w:val="00AC52C9"/>
    <w:rsid w:val="00AC53E0"/>
    <w:rsid w:val="00AC54A7"/>
    <w:rsid w:val="00AC568F"/>
    <w:rsid w:val="00AC5967"/>
    <w:rsid w:val="00AC5C62"/>
    <w:rsid w:val="00AC6294"/>
    <w:rsid w:val="00AC63F9"/>
    <w:rsid w:val="00AC643A"/>
    <w:rsid w:val="00AC6485"/>
    <w:rsid w:val="00AC64C4"/>
    <w:rsid w:val="00AC6532"/>
    <w:rsid w:val="00AC6A46"/>
    <w:rsid w:val="00AC6AD6"/>
    <w:rsid w:val="00AC6BCE"/>
    <w:rsid w:val="00AC6E5E"/>
    <w:rsid w:val="00AC6F04"/>
    <w:rsid w:val="00AC6F57"/>
    <w:rsid w:val="00AC6FD5"/>
    <w:rsid w:val="00AC6FF2"/>
    <w:rsid w:val="00AC761B"/>
    <w:rsid w:val="00AC796E"/>
    <w:rsid w:val="00AC7A81"/>
    <w:rsid w:val="00AD0156"/>
    <w:rsid w:val="00AD04AB"/>
    <w:rsid w:val="00AD069D"/>
    <w:rsid w:val="00AD069F"/>
    <w:rsid w:val="00AD07FA"/>
    <w:rsid w:val="00AD0885"/>
    <w:rsid w:val="00AD0AEE"/>
    <w:rsid w:val="00AD0F5D"/>
    <w:rsid w:val="00AD1021"/>
    <w:rsid w:val="00AD14F2"/>
    <w:rsid w:val="00AD1528"/>
    <w:rsid w:val="00AD16C0"/>
    <w:rsid w:val="00AD1D80"/>
    <w:rsid w:val="00AD1FD7"/>
    <w:rsid w:val="00AD2378"/>
    <w:rsid w:val="00AD2513"/>
    <w:rsid w:val="00AD2591"/>
    <w:rsid w:val="00AD2867"/>
    <w:rsid w:val="00AD2936"/>
    <w:rsid w:val="00AD2CBE"/>
    <w:rsid w:val="00AD2EFD"/>
    <w:rsid w:val="00AD339F"/>
    <w:rsid w:val="00AD3439"/>
    <w:rsid w:val="00AD3564"/>
    <w:rsid w:val="00AD35C2"/>
    <w:rsid w:val="00AD3826"/>
    <w:rsid w:val="00AD3C52"/>
    <w:rsid w:val="00AD4100"/>
    <w:rsid w:val="00AD4567"/>
    <w:rsid w:val="00AD4A4B"/>
    <w:rsid w:val="00AD4B25"/>
    <w:rsid w:val="00AD4C9B"/>
    <w:rsid w:val="00AD4E39"/>
    <w:rsid w:val="00AD4EDA"/>
    <w:rsid w:val="00AD52FB"/>
    <w:rsid w:val="00AD56F5"/>
    <w:rsid w:val="00AD5B39"/>
    <w:rsid w:val="00AD5EDA"/>
    <w:rsid w:val="00AD608C"/>
    <w:rsid w:val="00AD68C5"/>
    <w:rsid w:val="00AD6AE0"/>
    <w:rsid w:val="00AD6D2C"/>
    <w:rsid w:val="00AD6F93"/>
    <w:rsid w:val="00AD715C"/>
    <w:rsid w:val="00AD79B0"/>
    <w:rsid w:val="00AD79E9"/>
    <w:rsid w:val="00AD7A6F"/>
    <w:rsid w:val="00AD7D99"/>
    <w:rsid w:val="00AD7F43"/>
    <w:rsid w:val="00AE04EB"/>
    <w:rsid w:val="00AE0656"/>
    <w:rsid w:val="00AE069B"/>
    <w:rsid w:val="00AE1018"/>
    <w:rsid w:val="00AE1123"/>
    <w:rsid w:val="00AE1144"/>
    <w:rsid w:val="00AE1660"/>
    <w:rsid w:val="00AE1736"/>
    <w:rsid w:val="00AE1DBC"/>
    <w:rsid w:val="00AE1E65"/>
    <w:rsid w:val="00AE1E75"/>
    <w:rsid w:val="00AE240B"/>
    <w:rsid w:val="00AE2836"/>
    <w:rsid w:val="00AE2AB8"/>
    <w:rsid w:val="00AE2B01"/>
    <w:rsid w:val="00AE2E85"/>
    <w:rsid w:val="00AE3A51"/>
    <w:rsid w:val="00AE3E25"/>
    <w:rsid w:val="00AE404A"/>
    <w:rsid w:val="00AE42A9"/>
    <w:rsid w:val="00AE4393"/>
    <w:rsid w:val="00AE4681"/>
    <w:rsid w:val="00AE4D99"/>
    <w:rsid w:val="00AE5450"/>
    <w:rsid w:val="00AE5696"/>
    <w:rsid w:val="00AE56C5"/>
    <w:rsid w:val="00AE59A9"/>
    <w:rsid w:val="00AE5B44"/>
    <w:rsid w:val="00AE6106"/>
    <w:rsid w:val="00AE6214"/>
    <w:rsid w:val="00AE687C"/>
    <w:rsid w:val="00AE68D7"/>
    <w:rsid w:val="00AE68F3"/>
    <w:rsid w:val="00AE6D30"/>
    <w:rsid w:val="00AE6DCB"/>
    <w:rsid w:val="00AE708A"/>
    <w:rsid w:val="00AE717D"/>
    <w:rsid w:val="00AE7724"/>
    <w:rsid w:val="00AE79E1"/>
    <w:rsid w:val="00AE7A3C"/>
    <w:rsid w:val="00AE7A69"/>
    <w:rsid w:val="00AF00EC"/>
    <w:rsid w:val="00AF020C"/>
    <w:rsid w:val="00AF03D0"/>
    <w:rsid w:val="00AF0673"/>
    <w:rsid w:val="00AF0948"/>
    <w:rsid w:val="00AF09BF"/>
    <w:rsid w:val="00AF0D5B"/>
    <w:rsid w:val="00AF10A2"/>
    <w:rsid w:val="00AF10D3"/>
    <w:rsid w:val="00AF1290"/>
    <w:rsid w:val="00AF13AB"/>
    <w:rsid w:val="00AF1515"/>
    <w:rsid w:val="00AF1764"/>
    <w:rsid w:val="00AF1AE1"/>
    <w:rsid w:val="00AF1DB2"/>
    <w:rsid w:val="00AF2304"/>
    <w:rsid w:val="00AF2890"/>
    <w:rsid w:val="00AF2959"/>
    <w:rsid w:val="00AF2976"/>
    <w:rsid w:val="00AF315D"/>
    <w:rsid w:val="00AF32E4"/>
    <w:rsid w:val="00AF388A"/>
    <w:rsid w:val="00AF399C"/>
    <w:rsid w:val="00AF39B9"/>
    <w:rsid w:val="00AF3FEF"/>
    <w:rsid w:val="00AF49C5"/>
    <w:rsid w:val="00AF50BA"/>
    <w:rsid w:val="00AF5266"/>
    <w:rsid w:val="00AF5611"/>
    <w:rsid w:val="00AF57DC"/>
    <w:rsid w:val="00AF5B03"/>
    <w:rsid w:val="00AF5BE5"/>
    <w:rsid w:val="00AF61FE"/>
    <w:rsid w:val="00AF6523"/>
    <w:rsid w:val="00AF66B3"/>
    <w:rsid w:val="00AF6A49"/>
    <w:rsid w:val="00AF6AAB"/>
    <w:rsid w:val="00AF6BAE"/>
    <w:rsid w:val="00AF6BBC"/>
    <w:rsid w:val="00AF6DE0"/>
    <w:rsid w:val="00AF6EE1"/>
    <w:rsid w:val="00AF6F1E"/>
    <w:rsid w:val="00AF6F98"/>
    <w:rsid w:val="00AF6FDC"/>
    <w:rsid w:val="00AF7282"/>
    <w:rsid w:val="00AF7DE0"/>
    <w:rsid w:val="00AF7FE8"/>
    <w:rsid w:val="00B000E7"/>
    <w:rsid w:val="00B00144"/>
    <w:rsid w:val="00B0033D"/>
    <w:rsid w:val="00B00574"/>
    <w:rsid w:val="00B00B7E"/>
    <w:rsid w:val="00B01001"/>
    <w:rsid w:val="00B01396"/>
    <w:rsid w:val="00B0149C"/>
    <w:rsid w:val="00B015E6"/>
    <w:rsid w:val="00B0171C"/>
    <w:rsid w:val="00B01B5E"/>
    <w:rsid w:val="00B0229B"/>
    <w:rsid w:val="00B02719"/>
    <w:rsid w:val="00B02843"/>
    <w:rsid w:val="00B028DF"/>
    <w:rsid w:val="00B02A0E"/>
    <w:rsid w:val="00B02B1E"/>
    <w:rsid w:val="00B02DFD"/>
    <w:rsid w:val="00B02E3D"/>
    <w:rsid w:val="00B02E40"/>
    <w:rsid w:val="00B035D2"/>
    <w:rsid w:val="00B0361C"/>
    <w:rsid w:val="00B03D3E"/>
    <w:rsid w:val="00B03D4E"/>
    <w:rsid w:val="00B0408B"/>
    <w:rsid w:val="00B0440C"/>
    <w:rsid w:val="00B04A5D"/>
    <w:rsid w:val="00B04CA6"/>
    <w:rsid w:val="00B04DCD"/>
    <w:rsid w:val="00B05346"/>
    <w:rsid w:val="00B053A6"/>
    <w:rsid w:val="00B055FA"/>
    <w:rsid w:val="00B058C9"/>
    <w:rsid w:val="00B058D2"/>
    <w:rsid w:val="00B05D35"/>
    <w:rsid w:val="00B0603E"/>
    <w:rsid w:val="00B06058"/>
    <w:rsid w:val="00B06065"/>
    <w:rsid w:val="00B0632E"/>
    <w:rsid w:val="00B0653D"/>
    <w:rsid w:val="00B06783"/>
    <w:rsid w:val="00B067D5"/>
    <w:rsid w:val="00B06C39"/>
    <w:rsid w:val="00B075D2"/>
    <w:rsid w:val="00B1021D"/>
    <w:rsid w:val="00B10255"/>
    <w:rsid w:val="00B10608"/>
    <w:rsid w:val="00B1060E"/>
    <w:rsid w:val="00B10620"/>
    <w:rsid w:val="00B10940"/>
    <w:rsid w:val="00B10994"/>
    <w:rsid w:val="00B10AC0"/>
    <w:rsid w:val="00B10B93"/>
    <w:rsid w:val="00B10F75"/>
    <w:rsid w:val="00B10FBC"/>
    <w:rsid w:val="00B110D7"/>
    <w:rsid w:val="00B111BA"/>
    <w:rsid w:val="00B11555"/>
    <w:rsid w:val="00B11695"/>
    <w:rsid w:val="00B1186D"/>
    <w:rsid w:val="00B1192E"/>
    <w:rsid w:val="00B11BA1"/>
    <w:rsid w:val="00B12413"/>
    <w:rsid w:val="00B125B2"/>
    <w:rsid w:val="00B12A39"/>
    <w:rsid w:val="00B13D84"/>
    <w:rsid w:val="00B141F2"/>
    <w:rsid w:val="00B1421C"/>
    <w:rsid w:val="00B15898"/>
    <w:rsid w:val="00B15B68"/>
    <w:rsid w:val="00B15C4E"/>
    <w:rsid w:val="00B15D94"/>
    <w:rsid w:val="00B15F4F"/>
    <w:rsid w:val="00B1626B"/>
    <w:rsid w:val="00B166BC"/>
    <w:rsid w:val="00B16C08"/>
    <w:rsid w:val="00B16F51"/>
    <w:rsid w:val="00B170E0"/>
    <w:rsid w:val="00B170EA"/>
    <w:rsid w:val="00B17410"/>
    <w:rsid w:val="00B176A0"/>
    <w:rsid w:val="00B203AF"/>
    <w:rsid w:val="00B2074E"/>
    <w:rsid w:val="00B20A69"/>
    <w:rsid w:val="00B20D6C"/>
    <w:rsid w:val="00B21013"/>
    <w:rsid w:val="00B21421"/>
    <w:rsid w:val="00B216F9"/>
    <w:rsid w:val="00B21A51"/>
    <w:rsid w:val="00B21B36"/>
    <w:rsid w:val="00B21D45"/>
    <w:rsid w:val="00B21E4E"/>
    <w:rsid w:val="00B2262F"/>
    <w:rsid w:val="00B226AE"/>
    <w:rsid w:val="00B22830"/>
    <w:rsid w:val="00B22B6B"/>
    <w:rsid w:val="00B2357C"/>
    <w:rsid w:val="00B23AE7"/>
    <w:rsid w:val="00B23C76"/>
    <w:rsid w:val="00B23CF7"/>
    <w:rsid w:val="00B24021"/>
    <w:rsid w:val="00B2423E"/>
    <w:rsid w:val="00B24EEB"/>
    <w:rsid w:val="00B260A2"/>
    <w:rsid w:val="00B2627A"/>
    <w:rsid w:val="00B265F7"/>
    <w:rsid w:val="00B267CD"/>
    <w:rsid w:val="00B26A8B"/>
    <w:rsid w:val="00B26B9D"/>
    <w:rsid w:val="00B27374"/>
    <w:rsid w:val="00B2744C"/>
    <w:rsid w:val="00B27567"/>
    <w:rsid w:val="00B27740"/>
    <w:rsid w:val="00B278D6"/>
    <w:rsid w:val="00B27CDB"/>
    <w:rsid w:val="00B27EFE"/>
    <w:rsid w:val="00B27F62"/>
    <w:rsid w:val="00B302F2"/>
    <w:rsid w:val="00B307DD"/>
    <w:rsid w:val="00B308BB"/>
    <w:rsid w:val="00B30CC1"/>
    <w:rsid w:val="00B30EDE"/>
    <w:rsid w:val="00B30F99"/>
    <w:rsid w:val="00B3100E"/>
    <w:rsid w:val="00B313D1"/>
    <w:rsid w:val="00B314B4"/>
    <w:rsid w:val="00B314E7"/>
    <w:rsid w:val="00B31908"/>
    <w:rsid w:val="00B31A40"/>
    <w:rsid w:val="00B322B3"/>
    <w:rsid w:val="00B32890"/>
    <w:rsid w:val="00B32AD5"/>
    <w:rsid w:val="00B32B1F"/>
    <w:rsid w:val="00B32C0C"/>
    <w:rsid w:val="00B33042"/>
    <w:rsid w:val="00B330FA"/>
    <w:rsid w:val="00B33107"/>
    <w:rsid w:val="00B3355C"/>
    <w:rsid w:val="00B3392A"/>
    <w:rsid w:val="00B33A2E"/>
    <w:rsid w:val="00B33D97"/>
    <w:rsid w:val="00B34217"/>
    <w:rsid w:val="00B34652"/>
    <w:rsid w:val="00B349F3"/>
    <w:rsid w:val="00B34FDD"/>
    <w:rsid w:val="00B35033"/>
    <w:rsid w:val="00B35288"/>
    <w:rsid w:val="00B35825"/>
    <w:rsid w:val="00B359F1"/>
    <w:rsid w:val="00B35A4A"/>
    <w:rsid w:val="00B35AF5"/>
    <w:rsid w:val="00B35B59"/>
    <w:rsid w:val="00B35C07"/>
    <w:rsid w:val="00B35C75"/>
    <w:rsid w:val="00B35CF8"/>
    <w:rsid w:val="00B35F36"/>
    <w:rsid w:val="00B36442"/>
    <w:rsid w:val="00B364B7"/>
    <w:rsid w:val="00B367AD"/>
    <w:rsid w:val="00B367FA"/>
    <w:rsid w:val="00B368C1"/>
    <w:rsid w:val="00B36F94"/>
    <w:rsid w:val="00B372F6"/>
    <w:rsid w:val="00B37714"/>
    <w:rsid w:val="00B379CC"/>
    <w:rsid w:val="00B37A3D"/>
    <w:rsid w:val="00B37A71"/>
    <w:rsid w:val="00B37B32"/>
    <w:rsid w:val="00B37B63"/>
    <w:rsid w:val="00B37D07"/>
    <w:rsid w:val="00B40006"/>
    <w:rsid w:val="00B4016B"/>
    <w:rsid w:val="00B4023F"/>
    <w:rsid w:val="00B40266"/>
    <w:rsid w:val="00B404F5"/>
    <w:rsid w:val="00B40515"/>
    <w:rsid w:val="00B40561"/>
    <w:rsid w:val="00B40965"/>
    <w:rsid w:val="00B40F19"/>
    <w:rsid w:val="00B41126"/>
    <w:rsid w:val="00B4115C"/>
    <w:rsid w:val="00B41410"/>
    <w:rsid w:val="00B414EC"/>
    <w:rsid w:val="00B416CE"/>
    <w:rsid w:val="00B418BB"/>
    <w:rsid w:val="00B420A8"/>
    <w:rsid w:val="00B4235F"/>
    <w:rsid w:val="00B42381"/>
    <w:rsid w:val="00B423A5"/>
    <w:rsid w:val="00B423A9"/>
    <w:rsid w:val="00B42C71"/>
    <w:rsid w:val="00B42E91"/>
    <w:rsid w:val="00B4312E"/>
    <w:rsid w:val="00B43226"/>
    <w:rsid w:val="00B43A3A"/>
    <w:rsid w:val="00B43AD3"/>
    <w:rsid w:val="00B4497E"/>
    <w:rsid w:val="00B44ADB"/>
    <w:rsid w:val="00B44B8D"/>
    <w:rsid w:val="00B450AA"/>
    <w:rsid w:val="00B4544D"/>
    <w:rsid w:val="00B45476"/>
    <w:rsid w:val="00B45E1B"/>
    <w:rsid w:val="00B460B1"/>
    <w:rsid w:val="00B4634E"/>
    <w:rsid w:val="00B467BA"/>
    <w:rsid w:val="00B46909"/>
    <w:rsid w:val="00B46AF2"/>
    <w:rsid w:val="00B46B77"/>
    <w:rsid w:val="00B474B2"/>
    <w:rsid w:val="00B47693"/>
    <w:rsid w:val="00B478E7"/>
    <w:rsid w:val="00B47904"/>
    <w:rsid w:val="00B47BD8"/>
    <w:rsid w:val="00B47C4A"/>
    <w:rsid w:val="00B47C91"/>
    <w:rsid w:val="00B47E74"/>
    <w:rsid w:val="00B50037"/>
    <w:rsid w:val="00B50126"/>
    <w:rsid w:val="00B502C3"/>
    <w:rsid w:val="00B5034C"/>
    <w:rsid w:val="00B50586"/>
    <w:rsid w:val="00B505C8"/>
    <w:rsid w:val="00B506EE"/>
    <w:rsid w:val="00B509BE"/>
    <w:rsid w:val="00B50CBD"/>
    <w:rsid w:val="00B50CBF"/>
    <w:rsid w:val="00B50DF5"/>
    <w:rsid w:val="00B50F2C"/>
    <w:rsid w:val="00B50F7F"/>
    <w:rsid w:val="00B51D2A"/>
    <w:rsid w:val="00B51E55"/>
    <w:rsid w:val="00B51FFC"/>
    <w:rsid w:val="00B52021"/>
    <w:rsid w:val="00B52100"/>
    <w:rsid w:val="00B52195"/>
    <w:rsid w:val="00B521BD"/>
    <w:rsid w:val="00B529F8"/>
    <w:rsid w:val="00B52C7C"/>
    <w:rsid w:val="00B52CC0"/>
    <w:rsid w:val="00B52D82"/>
    <w:rsid w:val="00B52DCA"/>
    <w:rsid w:val="00B52FFF"/>
    <w:rsid w:val="00B530E4"/>
    <w:rsid w:val="00B53150"/>
    <w:rsid w:val="00B531E0"/>
    <w:rsid w:val="00B5381A"/>
    <w:rsid w:val="00B53849"/>
    <w:rsid w:val="00B5404D"/>
    <w:rsid w:val="00B544AC"/>
    <w:rsid w:val="00B545FC"/>
    <w:rsid w:val="00B54670"/>
    <w:rsid w:val="00B54742"/>
    <w:rsid w:val="00B54C0E"/>
    <w:rsid w:val="00B54DA2"/>
    <w:rsid w:val="00B5542A"/>
    <w:rsid w:val="00B554C1"/>
    <w:rsid w:val="00B555C7"/>
    <w:rsid w:val="00B55659"/>
    <w:rsid w:val="00B55873"/>
    <w:rsid w:val="00B558B9"/>
    <w:rsid w:val="00B55978"/>
    <w:rsid w:val="00B559C0"/>
    <w:rsid w:val="00B55B12"/>
    <w:rsid w:val="00B55BB5"/>
    <w:rsid w:val="00B55C17"/>
    <w:rsid w:val="00B56566"/>
    <w:rsid w:val="00B5666A"/>
    <w:rsid w:val="00B56A5E"/>
    <w:rsid w:val="00B56F0B"/>
    <w:rsid w:val="00B57410"/>
    <w:rsid w:val="00B57D4D"/>
    <w:rsid w:val="00B6034B"/>
    <w:rsid w:val="00B606F7"/>
    <w:rsid w:val="00B60798"/>
    <w:rsid w:val="00B60B98"/>
    <w:rsid w:val="00B60F07"/>
    <w:rsid w:val="00B60F3D"/>
    <w:rsid w:val="00B615EC"/>
    <w:rsid w:val="00B619E0"/>
    <w:rsid w:val="00B61A26"/>
    <w:rsid w:val="00B61A6E"/>
    <w:rsid w:val="00B61C5E"/>
    <w:rsid w:val="00B61DC2"/>
    <w:rsid w:val="00B6253C"/>
    <w:rsid w:val="00B627FE"/>
    <w:rsid w:val="00B6288F"/>
    <w:rsid w:val="00B629F5"/>
    <w:rsid w:val="00B62BC5"/>
    <w:rsid w:val="00B62F0B"/>
    <w:rsid w:val="00B632DB"/>
    <w:rsid w:val="00B63312"/>
    <w:rsid w:val="00B63703"/>
    <w:rsid w:val="00B63724"/>
    <w:rsid w:val="00B63742"/>
    <w:rsid w:val="00B63849"/>
    <w:rsid w:val="00B638B1"/>
    <w:rsid w:val="00B63919"/>
    <w:rsid w:val="00B63F6A"/>
    <w:rsid w:val="00B641E7"/>
    <w:rsid w:val="00B6427E"/>
    <w:rsid w:val="00B6450D"/>
    <w:rsid w:val="00B645AE"/>
    <w:rsid w:val="00B6467D"/>
    <w:rsid w:val="00B64A57"/>
    <w:rsid w:val="00B64EF1"/>
    <w:rsid w:val="00B64FAF"/>
    <w:rsid w:val="00B65A33"/>
    <w:rsid w:val="00B65FC8"/>
    <w:rsid w:val="00B6612A"/>
    <w:rsid w:val="00B6613F"/>
    <w:rsid w:val="00B66885"/>
    <w:rsid w:val="00B66B4F"/>
    <w:rsid w:val="00B66F7D"/>
    <w:rsid w:val="00B6721D"/>
    <w:rsid w:val="00B672C9"/>
    <w:rsid w:val="00B678E9"/>
    <w:rsid w:val="00B67B13"/>
    <w:rsid w:val="00B67D15"/>
    <w:rsid w:val="00B67FED"/>
    <w:rsid w:val="00B702EB"/>
    <w:rsid w:val="00B70CFD"/>
    <w:rsid w:val="00B70E23"/>
    <w:rsid w:val="00B71467"/>
    <w:rsid w:val="00B71BB1"/>
    <w:rsid w:val="00B71CD5"/>
    <w:rsid w:val="00B71D9B"/>
    <w:rsid w:val="00B71FA6"/>
    <w:rsid w:val="00B72079"/>
    <w:rsid w:val="00B72914"/>
    <w:rsid w:val="00B72B6E"/>
    <w:rsid w:val="00B72C03"/>
    <w:rsid w:val="00B73240"/>
    <w:rsid w:val="00B73291"/>
    <w:rsid w:val="00B73328"/>
    <w:rsid w:val="00B7392C"/>
    <w:rsid w:val="00B73DB9"/>
    <w:rsid w:val="00B73E87"/>
    <w:rsid w:val="00B74067"/>
    <w:rsid w:val="00B7444F"/>
    <w:rsid w:val="00B744BB"/>
    <w:rsid w:val="00B746FD"/>
    <w:rsid w:val="00B748CC"/>
    <w:rsid w:val="00B7497F"/>
    <w:rsid w:val="00B74A44"/>
    <w:rsid w:val="00B74BFC"/>
    <w:rsid w:val="00B74EA7"/>
    <w:rsid w:val="00B74F98"/>
    <w:rsid w:val="00B751F5"/>
    <w:rsid w:val="00B7529E"/>
    <w:rsid w:val="00B75A18"/>
    <w:rsid w:val="00B75BF8"/>
    <w:rsid w:val="00B75DEC"/>
    <w:rsid w:val="00B76601"/>
    <w:rsid w:val="00B76670"/>
    <w:rsid w:val="00B76A82"/>
    <w:rsid w:val="00B76D5F"/>
    <w:rsid w:val="00B76E14"/>
    <w:rsid w:val="00B76FD2"/>
    <w:rsid w:val="00B774CD"/>
    <w:rsid w:val="00B7785C"/>
    <w:rsid w:val="00B77E20"/>
    <w:rsid w:val="00B800E8"/>
    <w:rsid w:val="00B80231"/>
    <w:rsid w:val="00B802B0"/>
    <w:rsid w:val="00B80D32"/>
    <w:rsid w:val="00B80D95"/>
    <w:rsid w:val="00B80EFB"/>
    <w:rsid w:val="00B8109B"/>
    <w:rsid w:val="00B81236"/>
    <w:rsid w:val="00B814CF"/>
    <w:rsid w:val="00B8199B"/>
    <w:rsid w:val="00B81CC7"/>
    <w:rsid w:val="00B81E12"/>
    <w:rsid w:val="00B820EB"/>
    <w:rsid w:val="00B82571"/>
    <w:rsid w:val="00B82A60"/>
    <w:rsid w:val="00B830B2"/>
    <w:rsid w:val="00B839B4"/>
    <w:rsid w:val="00B83A29"/>
    <w:rsid w:val="00B83A7E"/>
    <w:rsid w:val="00B841BE"/>
    <w:rsid w:val="00B84716"/>
    <w:rsid w:val="00B8492F"/>
    <w:rsid w:val="00B84A7F"/>
    <w:rsid w:val="00B84D70"/>
    <w:rsid w:val="00B84EB4"/>
    <w:rsid w:val="00B851F5"/>
    <w:rsid w:val="00B855C6"/>
    <w:rsid w:val="00B85A22"/>
    <w:rsid w:val="00B85A71"/>
    <w:rsid w:val="00B85DB6"/>
    <w:rsid w:val="00B86242"/>
    <w:rsid w:val="00B86A3F"/>
    <w:rsid w:val="00B86A54"/>
    <w:rsid w:val="00B87014"/>
    <w:rsid w:val="00B875DB"/>
    <w:rsid w:val="00B87942"/>
    <w:rsid w:val="00B87A63"/>
    <w:rsid w:val="00B87E23"/>
    <w:rsid w:val="00B901AC"/>
    <w:rsid w:val="00B90432"/>
    <w:rsid w:val="00B9062C"/>
    <w:rsid w:val="00B9099F"/>
    <w:rsid w:val="00B90D32"/>
    <w:rsid w:val="00B90F1D"/>
    <w:rsid w:val="00B90F41"/>
    <w:rsid w:val="00B914AD"/>
    <w:rsid w:val="00B9225A"/>
    <w:rsid w:val="00B9227C"/>
    <w:rsid w:val="00B925AB"/>
    <w:rsid w:val="00B9260D"/>
    <w:rsid w:val="00B92631"/>
    <w:rsid w:val="00B92A48"/>
    <w:rsid w:val="00B92B6A"/>
    <w:rsid w:val="00B92F5B"/>
    <w:rsid w:val="00B9332D"/>
    <w:rsid w:val="00B93373"/>
    <w:rsid w:val="00B93852"/>
    <w:rsid w:val="00B93FF5"/>
    <w:rsid w:val="00B9405C"/>
    <w:rsid w:val="00B94129"/>
    <w:rsid w:val="00B942E2"/>
    <w:rsid w:val="00B943DF"/>
    <w:rsid w:val="00B9448A"/>
    <w:rsid w:val="00B9448E"/>
    <w:rsid w:val="00B94740"/>
    <w:rsid w:val="00B94A0E"/>
    <w:rsid w:val="00B94ABC"/>
    <w:rsid w:val="00B94E81"/>
    <w:rsid w:val="00B95353"/>
    <w:rsid w:val="00B95398"/>
    <w:rsid w:val="00B95449"/>
    <w:rsid w:val="00B95779"/>
    <w:rsid w:val="00B9604D"/>
    <w:rsid w:val="00B9611E"/>
    <w:rsid w:val="00B968D5"/>
    <w:rsid w:val="00B96C37"/>
    <w:rsid w:val="00B96F49"/>
    <w:rsid w:val="00B97411"/>
    <w:rsid w:val="00B97A47"/>
    <w:rsid w:val="00BA026A"/>
    <w:rsid w:val="00BA0287"/>
    <w:rsid w:val="00BA05B9"/>
    <w:rsid w:val="00BA1224"/>
    <w:rsid w:val="00BA12B3"/>
    <w:rsid w:val="00BA1365"/>
    <w:rsid w:val="00BA145F"/>
    <w:rsid w:val="00BA14DA"/>
    <w:rsid w:val="00BA16D0"/>
    <w:rsid w:val="00BA1730"/>
    <w:rsid w:val="00BA1CDF"/>
    <w:rsid w:val="00BA1EAE"/>
    <w:rsid w:val="00BA284B"/>
    <w:rsid w:val="00BA292B"/>
    <w:rsid w:val="00BA2AC8"/>
    <w:rsid w:val="00BA2C49"/>
    <w:rsid w:val="00BA2D06"/>
    <w:rsid w:val="00BA2DD3"/>
    <w:rsid w:val="00BA2F3A"/>
    <w:rsid w:val="00BA3050"/>
    <w:rsid w:val="00BA33B0"/>
    <w:rsid w:val="00BA36C5"/>
    <w:rsid w:val="00BA3EBC"/>
    <w:rsid w:val="00BA4234"/>
    <w:rsid w:val="00BA4A33"/>
    <w:rsid w:val="00BA4D96"/>
    <w:rsid w:val="00BA561B"/>
    <w:rsid w:val="00BA5803"/>
    <w:rsid w:val="00BA58E0"/>
    <w:rsid w:val="00BA5FBC"/>
    <w:rsid w:val="00BA61CA"/>
    <w:rsid w:val="00BA66A9"/>
    <w:rsid w:val="00BA69D9"/>
    <w:rsid w:val="00BA6CB4"/>
    <w:rsid w:val="00BA7232"/>
    <w:rsid w:val="00BA72BE"/>
    <w:rsid w:val="00BA75F6"/>
    <w:rsid w:val="00BA763B"/>
    <w:rsid w:val="00BA7868"/>
    <w:rsid w:val="00BA7885"/>
    <w:rsid w:val="00BA7A79"/>
    <w:rsid w:val="00BA7B0A"/>
    <w:rsid w:val="00BA7C22"/>
    <w:rsid w:val="00BA7C25"/>
    <w:rsid w:val="00BA7E54"/>
    <w:rsid w:val="00BB039F"/>
    <w:rsid w:val="00BB0658"/>
    <w:rsid w:val="00BB08FF"/>
    <w:rsid w:val="00BB0BE6"/>
    <w:rsid w:val="00BB0D4D"/>
    <w:rsid w:val="00BB13FA"/>
    <w:rsid w:val="00BB1599"/>
    <w:rsid w:val="00BB180A"/>
    <w:rsid w:val="00BB1EC9"/>
    <w:rsid w:val="00BB1F31"/>
    <w:rsid w:val="00BB2035"/>
    <w:rsid w:val="00BB2EA1"/>
    <w:rsid w:val="00BB30D8"/>
    <w:rsid w:val="00BB3421"/>
    <w:rsid w:val="00BB40C7"/>
    <w:rsid w:val="00BB43C9"/>
    <w:rsid w:val="00BB4645"/>
    <w:rsid w:val="00BB4682"/>
    <w:rsid w:val="00BB47D1"/>
    <w:rsid w:val="00BB49F7"/>
    <w:rsid w:val="00BB4A33"/>
    <w:rsid w:val="00BB4AF0"/>
    <w:rsid w:val="00BB4B62"/>
    <w:rsid w:val="00BB4BDB"/>
    <w:rsid w:val="00BB4D7B"/>
    <w:rsid w:val="00BB4FDB"/>
    <w:rsid w:val="00BB5603"/>
    <w:rsid w:val="00BB5656"/>
    <w:rsid w:val="00BB5A1D"/>
    <w:rsid w:val="00BB5AA1"/>
    <w:rsid w:val="00BB5E78"/>
    <w:rsid w:val="00BB6141"/>
    <w:rsid w:val="00BB6216"/>
    <w:rsid w:val="00BB626B"/>
    <w:rsid w:val="00BB6520"/>
    <w:rsid w:val="00BB6922"/>
    <w:rsid w:val="00BB6E3C"/>
    <w:rsid w:val="00BB7058"/>
    <w:rsid w:val="00BB7867"/>
    <w:rsid w:val="00BB78DB"/>
    <w:rsid w:val="00BB7D0A"/>
    <w:rsid w:val="00BB7E2C"/>
    <w:rsid w:val="00BC01D1"/>
    <w:rsid w:val="00BC025E"/>
    <w:rsid w:val="00BC0449"/>
    <w:rsid w:val="00BC0738"/>
    <w:rsid w:val="00BC0DE1"/>
    <w:rsid w:val="00BC10A2"/>
    <w:rsid w:val="00BC16B2"/>
    <w:rsid w:val="00BC2177"/>
    <w:rsid w:val="00BC23BC"/>
    <w:rsid w:val="00BC25CA"/>
    <w:rsid w:val="00BC2E30"/>
    <w:rsid w:val="00BC30C9"/>
    <w:rsid w:val="00BC32DD"/>
    <w:rsid w:val="00BC33B3"/>
    <w:rsid w:val="00BC362B"/>
    <w:rsid w:val="00BC3757"/>
    <w:rsid w:val="00BC392E"/>
    <w:rsid w:val="00BC3FE8"/>
    <w:rsid w:val="00BC4037"/>
    <w:rsid w:val="00BC42B5"/>
    <w:rsid w:val="00BC482E"/>
    <w:rsid w:val="00BC5012"/>
    <w:rsid w:val="00BC5062"/>
    <w:rsid w:val="00BC5711"/>
    <w:rsid w:val="00BC58B3"/>
    <w:rsid w:val="00BC5B50"/>
    <w:rsid w:val="00BC5BA0"/>
    <w:rsid w:val="00BC5CFC"/>
    <w:rsid w:val="00BC5EC0"/>
    <w:rsid w:val="00BC5EEC"/>
    <w:rsid w:val="00BC6367"/>
    <w:rsid w:val="00BC66B0"/>
    <w:rsid w:val="00BC6704"/>
    <w:rsid w:val="00BC698E"/>
    <w:rsid w:val="00BC6BB5"/>
    <w:rsid w:val="00BC6ECB"/>
    <w:rsid w:val="00BC714D"/>
    <w:rsid w:val="00BC71F5"/>
    <w:rsid w:val="00BC760F"/>
    <w:rsid w:val="00BC7B92"/>
    <w:rsid w:val="00BC7E81"/>
    <w:rsid w:val="00BC7FA7"/>
    <w:rsid w:val="00BD0127"/>
    <w:rsid w:val="00BD0280"/>
    <w:rsid w:val="00BD02C3"/>
    <w:rsid w:val="00BD0577"/>
    <w:rsid w:val="00BD0743"/>
    <w:rsid w:val="00BD0ACD"/>
    <w:rsid w:val="00BD0C53"/>
    <w:rsid w:val="00BD0CB9"/>
    <w:rsid w:val="00BD1081"/>
    <w:rsid w:val="00BD112B"/>
    <w:rsid w:val="00BD14CB"/>
    <w:rsid w:val="00BD1693"/>
    <w:rsid w:val="00BD178C"/>
    <w:rsid w:val="00BD1B4E"/>
    <w:rsid w:val="00BD1CB6"/>
    <w:rsid w:val="00BD1D41"/>
    <w:rsid w:val="00BD1D6B"/>
    <w:rsid w:val="00BD1FF7"/>
    <w:rsid w:val="00BD290B"/>
    <w:rsid w:val="00BD2C59"/>
    <w:rsid w:val="00BD2CE4"/>
    <w:rsid w:val="00BD39A8"/>
    <w:rsid w:val="00BD3C9E"/>
    <w:rsid w:val="00BD3DFD"/>
    <w:rsid w:val="00BD4057"/>
    <w:rsid w:val="00BD405E"/>
    <w:rsid w:val="00BD4126"/>
    <w:rsid w:val="00BD428C"/>
    <w:rsid w:val="00BD4CAC"/>
    <w:rsid w:val="00BD500C"/>
    <w:rsid w:val="00BD52F1"/>
    <w:rsid w:val="00BD5944"/>
    <w:rsid w:val="00BD5FBA"/>
    <w:rsid w:val="00BD60D8"/>
    <w:rsid w:val="00BD617A"/>
    <w:rsid w:val="00BD64F2"/>
    <w:rsid w:val="00BD6850"/>
    <w:rsid w:val="00BD6C9B"/>
    <w:rsid w:val="00BD6FD8"/>
    <w:rsid w:val="00BD7011"/>
    <w:rsid w:val="00BD7624"/>
    <w:rsid w:val="00BD7A77"/>
    <w:rsid w:val="00BE040D"/>
    <w:rsid w:val="00BE05E9"/>
    <w:rsid w:val="00BE0A00"/>
    <w:rsid w:val="00BE0BEB"/>
    <w:rsid w:val="00BE0C77"/>
    <w:rsid w:val="00BE11A1"/>
    <w:rsid w:val="00BE11C2"/>
    <w:rsid w:val="00BE1305"/>
    <w:rsid w:val="00BE1427"/>
    <w:rsid w:val="00BE14A0"/>
    <w:rsid w:val="00BE16B3"/>
    <w:rsid w:val="00BE16CE"/>
    <w:rsid w:val="00BE18D7"/>
    <w:rsid w:val="00BE19D8"/>
    <w:rsid w:val="00BE19FD"/>
    <w:rsid w:val="00BE1A63"/>
    <w:rsid w:val="00BE1E9D"/>
    <w:rsid w:val="00BE1FC4"/>
    <w:rsid w:val="00BE21F6"/>
    <w:rsid w:val="00BE2DFB"/>
    <w:rsid w:val="00BE33CA"/>
    <w:rsid w:val="00BE36B5"/>
    <w:rsid w:val="00BE39D2"/>
    <w:rsid w:val="00BE3DA6"/>
    <w:rsid w:val="00BE414C"/>
    <w:rsid w:val="00BE4160"/>
    <w:rsid w:val="00BE45AE"/>
    <w:rsid w:val="00BE488E"/>
    <w:rsid w:val="00BE4A00"/>
    <w:rsid w:val="00BE4A68"/>
    <w:rsid w:val="00BE4A9A"/>
    <w:rsid w:val="00BE4C6F"/>
    <w:rsid w:val="00BE4C86"/>
    <w:rsid w:val="00BE4FE1"/>
    <w:rsid w:val="00BE5965"/>
    <w:rsid w:val="00BE5ADB"/>
    <w:rsid w:val="00BE5E8F"/>
    <w:rsid w:val="00BE6312"/>
    <w:rsid w:val="00BE636F"/>
    <w:rsid w:val="00BE63B6"/>
    <w:rsid w:val="00BE6494"/>
    <w:rsid w:val="00BE68AD"/>
    <w:rsid w:val="00BE6A17"/>
    <w:rsid w:val="00BE6A64"/>
    <w:rsid w:val="00BE71A9"/>
    <w:rsid w:val="00BE74FD"/>
    <w:rsid w:val="00BE7AC8"/>
    <w:rsid w:val="00BE7CE3"/>
    <w:rsid w:val="00BE7FC2"/>
    <w:rsid w:val="00BF0276"/>
    <w:rsid w:val="00BF0321"/>
    <w:rsid w:val="00BF0749"/>
    <w:rsid w:val="00BF1043"/>
    <w:rsid w:val="00BF10F1"/>
    <w:rsid w:val="00BF159B"/>
    <w:rsid w:val="00BF163C"/>
    <w:rsid w:val="00BF191B"/>
    <w:rsid w:val="00BF1C64"/>
    <w:rsid w:val="00BF1F19"/>
    <w:rsid w:val="00BF221A"/>
    <w:rsid w:val="00BF25A1"/>
    <w:rsid w:val="00BF25BD"/>
    <w:rsid w:val="00BF2786"/>
    <w:rsid w:val="00BF2AE0"/>
    <w:rsid w:val="00BF2EC8"/>
    <w:rsid w:val="00BF3183"/>
    <w:rsid w:val="00BF31BC"/>
    <w:rsid w:val="00BF38B5"/>
    <w:rsid w:val="00BF39A9"/>
    <w:rsid w:val="00BF3DD9"/>
    <w:rsid w:val="00BF40B2"/>
    <w:rsid w:val="00BF40D5"/>
    <w:rsid w:val="00BF40FE"/>
    <w:rsid w:val="00BF4169"/>
    <w:rsid w:val="00BF438A"/>
    <w:rsid w:val="00BF469F"/>
    <w:rsid w:val="00BF47F7"/>
    <w:rsid w:val="00BF4A17"/>
    <w:rsid w:val="00BF4B35"/>
    <w:rsid w:val="00BF4C06"/>
    <w:rsid w:val="00BF4E0A"/>
    <w:rsid w:val="00BF4EA7"/>
    <w:rsid w:val="00BF5214"/>
    <w:rsid w:val="00BF5945"/>
    <w:rsid w:val="00BF5A65"/>
    <w:rsid w:val="00BF5B52"/>
    <w:rsid w:val="00BF5F0B"/>
    <w:rsid w:val="00BF64A0"/>
    <w:rsid w:val="00BF7600"/>
    <w:rsid w:val="00BF7DCD"/>
    <w:rsid w:val="00C0021D"/>
    <w:rsid w:val="00C002D3"/>
    <w:rsid w:val="00C007C6"/>
    <w:rsid w:val="00C011FD"/>
    <w:rsid w:val="00C01432"/>
    <w:rsid w:val="00C0145B"/>
    <w:rsid w:val="00C01490"/>
    <w:rsid w:val="00C014D5"/>
    <w:rsid w:val="00C016C5"/>
    <w:rsid w:val="00C016E8"/>
    <w:rsid w:val="00C0173A"/>
    <w:rsid w:val="00C0174F"/>
    <w:rsid w:val="00C0184A"/>
    <w:rsid w:val="00C01AAC"/>
    <w:rsid w:val="00C01B09"/>
    <w:rsid w:val="00C01D42"/>
    <w:rsid w:val="00C01D92"/>
    <w:rsid w:val="00C0207F"/>
    <w:rsid w:val="00C0250B"/>
    <w:rsid w:val="00C02A43"/>
    <w:rsid w:val="00C02BDC"/>
    <w:rsid w:val="00C02D23"/>
    <w:rsid w:val="00C02FB2"/>
    <w:rsid w:val="00C0358E"/>
    <w:rsid w:val="00C03767"/>
    <w:rsid w:val="00C039A0"/>
    <w:rsid w:val="00C03AA2"/>
    <w:rsid w:val="00C03B49"/>
    <w:rsid w:val="00C03BBC"/>
    <w:rsid w:val="00C03BF6"/>
    <w:rsid w:val="00C03C68"/>
    <w:rsid w:val="00C03C75"/>
    <w:rsid w:val="00C03CDB"/>
    <w:rsid w:val="00C03D22"/>
    <w:rsid w:val="00C043B5"/>
    <w:rsid w:val="00C04741"/>
    <w:rsid w:val="00C04926"/>
    <w:rsid w:val="00C04E3C"/>
    <w:rsid w:val="00C0534E"/>
    <w:rsid w:val="00C054B3"/>
    <w:rsid w:val="00C0568F"/>
    <w:rsid w:val="00C05C75"/>
    <w:rsid w:val="00C060F0"/>
    <w:rsid w:val="00C063D4"/>
    <w:rsid w:val="00C06684"/>
    <w:rsid w:val="00C067D4"/>
    <w:rsid w:val="00C06AB7"/>
    <w:rsid w:val="00C06B31"/>
    <w:rsid w:val="00C06FEC"/>
    <w:rsid w:val="00C074A3"/>
    <w:rsid w:val="00C1047D"/>
    <w:rsid w:val="00C106BE"/>
    <w:rsid w:val="00C10758"/>
    <w:rsid w:val="00C10DAF"/>
    <w:rsid w:val="00C10F37"/>
    <w:rsid w:val="00C11038"/>
    <w:rsid w:val="00C114E4"/>
    <w:rsid w:val="00C119C6"/>
    <w:rsid w:val="00C11C0D"/>
    <w:rsid w:val="00C11D20"/>
    <w:rsid w:val="00C11E1F"/>
    <w:rsid w:val="00C11EF2"/>
    <w:rsid w:val="00C11F8F"/>
    <w:rsid w:val="00C1204F"/>
    <w:rsid w:val="00C120BE"/>
    <w:rsid w:val="00C122C1"/>
    <w:rsid w:val="00C12380"/>
    <w:rsid w:val="00C12794"/>
    <w:rsid w:val="00C129AE"/>
    <w:rsid w:val="00C13125"/>
    <w:rsid w:val="00C131E8"/>
    <w:rsid w:val="00C134C3"/>
    <w:rsid w:val="00C1399E"/>
    <w:rsid w:val="00C13BBD"/>
    <w:rsid w:val="00C13ED7"/>
    <w:rsid w:val="00C14287"/>
    <w:rsid w:val="00C142E6"/>
    <w:rsid w:val="00C1447C"/>
    <w:rsid w:val="00C147C2"/>
    <w:rsid w:val="00C14A56"/>
    <w:rsid w:val="00C14CA8"/>
    <w:rsid w:val="00C15600"/>
    <w:rsid w:val="00C15922"/>
    <w:rsid w:val="00C15C8A"/>
    <w:rsid w:val="00C16374"/>
    <w:rsid w:val="00C16693"/>
    <w:rsid w:val="00C16853"/>
    <w:rsid w:val="00C16898"/>
    <w:rsid w:val="00C16F30"/>
    <w:rsid w:val="00C17085"/>
    <w:rsid w:val="00C171C0"/>
    <w:rsid w:val="00C172E2"/>
    <w:rsid w:val="00C17EBA"/>
    <w:rsid w:val="00C17F63"/>
    <w:rsid w:val="00C20179"/>
    <w:rsid w:val="00C204C4"/>
    <w:rsid w:val="00C20584"/>
    <w:rsid w:val="00C20A11"/>
    <w:rsid w:val="00C20A15"/>
    <w:rsid w:val="00C20A8C"/>
    <w:rsid w:val="00C211B3"/>
    <w:rsid w:val="00C21273"/>
    <w:rsid w:val="00C212ED"/>
    <w:rsid w:val="00C2144E"/>
    <w:rsid w:val="00C216AD"/>
    <w:rsid w:val="00C217AF"/>
    <w:rsid w:val="00C2191A"/>
    <w:rsid w:val="00C21D75"/>
    <w:rsid w:val="00C224C9"/>
    <w:rsid w:val="00C225D9"/>
    <w:rsid w:val="00C22C9A"/>
    <w:rsid w:val="00C22DD2"/>
    <w:rsid w:val="00C231D1"/>
    <w:rsid w:val="00C23360"/>
    <w:rsid w:val="00C23499"/>
    <w:rsid w:val="00C23665"/>
    <w:rsid w:val="00C23854"/>
    <w:rsid w:val="00C238F2"/>
    <w:rsid w:val="00C23C0E"/>
    <w:rsid w:val="00C23E90"/>
    <w:rsid w:val="00C23E9D"/>
    <w:rsid w:val="00C24052"/>
    <w:rsid w:val="00C241B1"/>
    <w:rsid w:val="00C2452E"/>
    <w:rsid w:val="00C2460F"/>
    <w:rsid w:val="00C24BA6"/>
    <w:rsid w:val="00C24CC8"/>
    <w:rsid w:val="00C24E8F"/>
    <w:rsid w:val="00C24F58"/>
    <w:rsid w:val="00C25166"/>
    <w:rsid w:val="00C25240"/>
    <w:rsid w:val="00C253B7"/>
    <w:rsid w:val="00C2546C"/>
    <w:rsid w:val="00C25B2B"/>
    <w:rsid w:val="00C25C12"/>
    <w:rsid w:val="00C262D1"/>
    <w:rsid w:val="00C26413"/>
    <w:rsid w:val="00C267FA"/>
    <w:rsid w:val="00C26E95"/>
    <w:rsid w:val="00C26F09"/>
    <w:rsid w:val="00C26F83"/>
    <w:rsid w:val="00C26F86"/>
    <w:rsid w:val="00C27215"/>
    <w:rsid w:val="00C272EA"/>
    <w:rsid w:val="00C2737D"/>
    <w:rsid w:val="00C27632"/>
    <w:rsid w:val="00C27835"/>
    <w:rsid w:val="00C2794F"/>
    <w:rsid w:val="00C27B50"/>
    <w:rsid w:val="00C27F9B"/>
    <w:rsid w:val="00C27FDF"/>
    <w:rsid w:val="00C30092"/>
    <w:rsid w:val="00C3024C"/>
    <w:rsid w:val="00C306C5"/>
    <w:rsid w:val="00C30908"/>
    <w:rsid w:val="00C30964"/>
    <w:rsid w:val="00C30A9D"/>
    <w:rsid w:val="00C30EC8"/>
    <w:rsid w:val="00C30FB9"/>
    <w:rsid w:val="00C3110E"/>
    <w:rsid w:val="00C31828"/>
    <w:rsid w:val="00C318CE"/>
    <w:rsid w:val="00C31D59"/>
    <w:rsid w:val="00C31EDF"/>
    <w:rsid w:val="00C31F0D"/>
    <w:rsid w:val="00C31F50"/>
    <w:rsid w:val="00C32338"/>
    <w:rsid w:val="00C325C5"/>
    <w:rsid w:val="00C327E2"/>
    <w:rsid w:val="00C32A0C"/>
    <w:rsid w:val="00C32BE4"/>
    <w:rsid w:val="00C32CB4"/>
    <w:rsid w:val="00C3327D"/>
    <w:rsid w:val="00C3365F"/>
    <w:rsid w:val="00C33824"/>
    <w:rsid w:val="00C33BF5"/>
    <w:rsid w:val="00C341E1"/>
    <w:rsid w:val="00C3427A"/>
    <w:rsid w:val="00C346F9"/>
    <w:rsid w:val="00C34810"/>
    <w:rsid w:val="00C34B39"/>
    <w:rsid w:val="00C351A4"/>
    <w:rsid w:val="00C356D6"/>
    <w:rsid w:val="00C3584F"/>
    <w:rsid w:val="00C359A1"/>
    <w:rsid w:val="00C360C1"/>
    <w:rsid w:val="00C3612F"/>
    <w:rsid w:val="00C36253"/>
    <w:rsid w:val="00C36591"/>
    <w:rsid w:val="00C36659"/>
    <w:rsid w:val="00C36EA0"/>
    <w:rsid w:val="00C36ECB"/>
    <w:rsid w:val="00C36F07"/>
    <w:rsid w:val="00C36FBB"/>
    <w:rsid w:val="00C36FDB"/>
    <w:rsid w:val="00C3745E"/>
    <w:rsid w:val="00C3768D"/>
    <w:rsid w:val="00C376A4"/>
    <w:rsid w:val="00C37948"/>
    <w:rsid w:val="00C37A11"/>
    <w:rsid w:val="00C37AA5"/>
    <w:rsid w:val="00C40007"/>
    <w:rsid w:val="00C400C4"/>
    <w:rsid w:val="00C40A63"/>
    <w:rsid w:val="00C40A82"/>
    <w:rsid w:val="00C40CB7"/>
    <w:rsid w:val="00C41031"/>
    <w:rsid w:val="00C41082"/>
    <w:rsid w:val="00C4124A"/>
    <w:rsid w:val="00C413BD"/>
    <w:rsid w:val="00C413C1"/>
    <w:rsid w:val="00C41517"/>
    <w:rsid w:val="00C41562"/>
    <w:rsid w:val="00C4178E"/>
    <w:rsid w:val="00C41814"/>
    <w:rsid w:val="00C419E4"/>
    <w:rsid w:val="00C41F0D"/>
    <w:rsid w:val="00C41FEA"/>
    <w:rsid w:val="00C421B0"/>
    <w:rsid w:val="00C426E6"/>
    <w:rsid w:val="00C42858"/>
    <w:rsid w:val="00C429B4"/>
    <w:rsid w:val="00C42A28"/>
    <w:rsid w:val="00C42CBB"/>
    <w:rsid w:val="00C42F24"/>
    <w:rsid w:val="00C4321B"/>
    <w:rsid w:val="00C432F1"/>
    <w:rsid w:val="00C4370C"/>
    <w:rsid w:val="00C43AE0"/>
    <w:rsid w:val="00C43C4B"/>
    <w:rsid w:val="00C44168"/>
    <w:rsid w:val="00C449B1"/>
    <w:rsid w:val="00C44D4E"/>
    <w:rsid w:val="00C4596E"/>
    <w:rsid w:val="00C45AEC"/>
    <w:rsid w:val="00C462DB"/>
    <w:rsid w:val="00C46707"/>
    <w:rsid w:val="00C46C22"/>
    <w:rsid w:val="00C46E6A"/>
    <w:rsid w:val="00C470F3"/>
    <w:rsid w:val="00C472C4"/>
    <w:rsid w:val="00C47A31"/>
    <w:rsid w:val="00C47A8F"/>
    <w:rsid w:val="00C47B6F"/>
    <w:rsid w:val="00C50071"/>
    <w:rsid w:val="00C50138"/>
    <w:rsid w:val="00C50734"/>
    <w:rsid w:val="00C50C5B"/>
    <w:rsid w:val="00C51248"/>
    <w:rsid w:val="00C512BD"/>
    <w:rsid w:val="00C51763"/>
    <w:rsid w:val="00C51ADB"/>
    <w:rsid w:val="00C51E78"/>
    <w:rsid w:val="00C52303"/>
    <w:rsid w:val="00C523D8"/>
    <w:rsid w:val="00C5269C"/>
    <w:rsid w:val="00C52C55"/>
    <w:rsid w:val="00C52E15"/>
    <w:rsid w:val="00C53173"/>
    <w:rsid w:val="00C532BD"/>
    <w:rsid w:val="00C53AD7"/>
    <w:rsid w:val="00C53ADE"/>
    <w:rsid w:val="00C53DD9"/>
    <w:rsid w:val="00C542A2"/>
    <w:rsid w:val="00C54374"/>
    <w:rsid w:val="00C547B1"/>
    <w:rsid w:val="00C5484C"/>
    <w:rsid w:val="00C54FE0"/>
    <w:rsid w:val="00C550B8"/>
    <w:rsid w:val="00C55456"/>
    <w:rsid w:val="00C55639"/>
    <w:rsid w:val="00C55C53"/>
    <w:rsid w:val="00C55CF5"/>
    <w:rsid w:val="00C55D89"/>
    <w:rsid w:val="00C56642"/>
    <w:rsid w:val="00C569D3"/>
    <w:rsid w:val="00C56B97"/>
    <w:rsid w:val="00C5728D"/>
    <w:rsid w:val="00C57796"/>
    <w:rsid w:val="00C578EF"/>
    <w:rsid w:val="00C57A8A"/>
    <w:rsid w:val="00C57BFA"/>
    <w:rsid w:val="00C57C22"/>
    <w:rsid w:val="00C57EA4"/>
    <w:rsid w:val="00C60671"/>
    <w:rsid w:val="00C6087E"/>
    <w:rsid w:val="00C60927"/>
    <w:rsid w:val="00C60982"/>
    <w:rsid w:val="00C609BF"/>
    <w:rsid w:val="00C60CB1"/>
    <w:rsid w:val="00C60E80"/>
    <w:rsid w:val="00C6108A"/>
    <w:rsid w:val="00C61D2A"/>
    <w:rsid w:val="00C61D50"/>
    <w:rsid w:val="00C62260"/>
    <w:rsid w:val="00C62438"/>
    <w:rsid w:val="00C6311D"/>
    <w:rsid w:val="00C63651"/>
    <w:rsid w:val="00C63A4A"/>
    <w:rsid w:val="00C63EB4"/>
    <w:rsid w:val="00C64172"/>
    <w:rsid w:val="00C64508"/>
    <w:rsid w:val="00C64965"/>
    <w:rsid w:val="00C64BB2"/>
    <w:rsid w:val="00C64D31"/>
    <w:rsid w:val="00C64D85"/>
    <w:rsid w:val="00C65181"/>
    <w:rsid w:val="00C6577F"/>
    <w:rsid w:val="00C65A5A"/>
    <w:rsid w:val="00C65C08"/>
    <w:rsid w:val="00C660C5"/>
    <w:rsid w:val="00C660DD"/>
    <w:rsid w:val="00C6611C"/>
    <w:rsid w:val="00C66541"/>
    <w:rsid w:val="00C666B6"/>
    <w:rsid w:val="00C667FF"/>
    <w:rsid w:val="00C668E1"/>
    <w:rsid w:val="00C66C25"/>
    <w:rsid w:val="00C66D2F"/>
    <w:rsid w:val="00C67427"/>
    <w:rsid w:val="00C67504"/>
    <w:rsid w:val="00C6799F"/>
    <w:rsid w:val="00C67B52"/>
    <w:rsid w:val="00C67F13"/>
    <w:rsid w:val="00C67FDF"/>
    <w:rsid w:val="00C7007A"/>
    <w:rsid w:val="00C7081A"/>
    <w:rsid w:val="00C70870"/>
    <w:rsid w:val="00C708BB"/>
    <w:rsid w:val="00C70921"/>
    <w:rsid w:val="00C70B54"/>
    <w:rsid w:val="00C713E5"/>
    <w:rsid w:val="00C7143D"/>
    <w:rsid w:val="00C7154E"/>
    <w:rsid w:val="00C7185B"/>
    <w:rsid w:val="00C72014"/>
    <w:rsid w:val="00C72192"/>
    <w:rsid w:val="00C72404"/>
    <w:rsid w:val="00C729E2"/>
    <w:rsid w:val="00C72E2D"/>
    <w:rsid w:val="00C72E74"/>
    <w:rsid w:val="00C73371"/>
    <w:rsid w:val="00C73504"/>
    <w:rsid w:val="00C73A28"/>
    <w:rsid w:val="00C73AEB"/>
    <w:rsid w:val="00C73B51"/>
    <w:rsid w:val="00C73E14"/>
    <w:rsid w:val="00C73F66"/>
    <w:rsid w:val="00C740C3"/>
    <w:rsid w:val="00C74429"/>
    <w:rsid w:val="00C74677"/>
    <w:rsid w:val="00C74797"/>
    <w:rsid w:val="00C74EE7"/>
    <w:rsid w:val="00C75233"/>
    <w:rsid w:val="00C752AC"/>
    <w:rsid w:val="00C757EF"/>
    <w:rsid w:val="00C75905"/>
    <w:rsid w:val="00C75C7D"/>
    <w:rsid w:val="00C75D7A"/>
    <w:rsid w:val="00C7602C"/>
    <w:rsid w:val="00C76039"/>
    <w:rsid w:val="00C76263"/>
    <w:rsid w:val="00C76344"/>
    <w:rsid w:val="00C7642E"/>
    <w:rsid w:val="00C7655E"/>
    <w:rsid w:val="00C768E7"/>
    <w:rsid w:val="00C76925"/>
    <w:rsid w:val="00C769FB"/>
    <w:rsid w:val="00C76F51"/>
    <w:rsid w:val="00C77181"/>
    <w:rsid w:val="00C77EAC"/>
    <w:rsid w:val="00C803B6"/>
    <w:rsid w:val="00C80984"/>
    <w:rsid w:val="00C80B1C"/>
    <w:rsid w:val="00C8122F"/>
    <w:rsid w:val="00C814FA"/>
    <w:rsid w:val="00C81601"/>
    <w:rsid w:val="00C8185A"/>
    <w:rsid w:val="00C8190C"/>
    <w:rsid w:val="00C81E45"/>
    <w:rsid w:val="00C8225C"/>
    <w:rsid w:val="00C82A59"/>
    <w:rsid w:val="00C83504"/>
    <w:rsid w:val="00C83B59"/>
    <w:rsid w:val="00C83BDC"/>
    <w:rsid w:val="00C83F2D"/>
    <w:rsid w:val="00C83F62"/>
    <w:rsid w:val="00C84269"/>
    <w:rsid w:val="00C842BA"/>
    <w:rsid w:val="00C8484F"/>
    <w:rsid w:val="00C84E71"/>
    <w:rsid w:val="00C854BA"/>
    <w:rsid w:val="00C8572C"/>
    <w:rsid w:val="00C85770"/>
    <w:rsid w:val="00C8624A"/>
    <w:rsid w:val="00C86289"/>
    <w:rsid w:val="00C86D9B"/>
    <w:rsid w:val="00C86F55"/>
    <w:rsid w:val="00C870F5"/>
    <w:rsid w:val="00C871E6"/>
    <w:rsid w:val="00C87292"/>
    <w:rsid w:val="00C8735A"/>
    <w:rsid w:val="00C87476"/>
    <w:rsid w:val="00C875F9"/>
    <w:rsid w:val="00C87FAC"/>
    <w:rsid w:val="00C90709"/>
    <w:rsid w:val="00C9074F"/>
    <w:rsid w:val="00C90B23"/>
    <w:rsid w:val="00C9104E"/>
    <w:rsid w:val="00C91269"/>
    <w:rsid w:val="00C9126B"/>
    <w:rsid w:val="00C9153C"/>
    <w:rsid w:val="00C9182F"/>
    <w:rsid w:val="00C918BF"/>
    <w:rsid w:val="00C9198F"/>
    <w:rsid w:val="00C91CAF"/>
    <w:rsid w:val="00C9238E"/>
    <w:rsid w:val="00C931B6"/>
    <w:rsid w:val="00C932F9"/>
    <w:rsid w:val="00C9358C"/>
    <w:rsid w:val="00C938CF"/>
    <w:rsid w:val="00C93DCF"/>
    <w:rsid w:val="00C94014"/>
    <w:rsid w:val="00C94086"/>
    <w:rsid w:val="00C94393"/>
    <w:rsid w:val="00C945C9"/>
    <w:rsid w:val="00C9466B"/>
    <w:rsid w:val="00C94C20"/>
    <w:rsid w:val="00C94CD6"/>
    <w:rsid w:val="00C95002"/>
    <w:rsid w:val="00C95167"/>
    <w:rsid w:val="00C951AA"/>
    <w:rsid w:val="00C95470"/>
    <w:rsid w:val="00C9554C"/>
    <w:rsid w:val="00C95550"/>
    <w:rsid w:val="00C9583F"/>
    <w:rsid w:val="00C959DC"/>
    <w:rsid w:val="00C95A08"/>
    <w:rsid w:val="00C95CD7"/>
    <w:rsid w:val="00C96071"/>
    <w:rsid w:val="00C96772"/>
    <w:rsid w:val="00C9681B"/>
    <w:rsid w:val="00C96853"/>
    <w:rsid w:val="00C96A77"/>
    <w:rsid w:val="00C96BA0"/>
    <w:rsid w:val="00C96C97"/>
    <w:rsid w:val="00C974C0"/>
    <w:rsid w:val="00C9774F"/>
    <w:rsid w:val="00C97867"/>
    <w:rsid w:val="00C978B0"/>
    <w:rsid w:val="00C97C1C"/>
    <w:rsid w:val="00C97D2E"/>
    <w:rsid w:val="00C97D64"/>
    <w:rsid w:val="00CA01A4"/>
    <w:rsid w:val="00CA04F4"/>
    <w:rsid w:val="00CA05E1"/>
    <w:rsid w:val="00CA06C9"/>
    <w:rsid w:val="00CA0861"/>
    <w:rsid w:val="00CA0BF0"/>
    <w:rsid w:val="00CA0D2E"/>
    <w:rsid w:val="00CA0D8E"/>
    <w:rsid w:val="00CA11BB"/>
    <w:rsid w:val="00CA127B"/>
    <w:rsid w:val="00CA164C"/>
    <w:rsid w:val="00CA1720"/>
    <w:rsid w:val="00CA19C4"/>
    <w:rsid w:val="00CA25A0"/>
    <w:rsid w:val="00CA2D74"/>
    <w:rsid w:val="00CA32C7"/>
    <w:rsid w:val="00CA3413"/>
    <w:rsid w:val="00CA37DB"/>
    <w:rsid w:val="00CA3AEB"/>
    <w:rsid w:val="00CA3BB5"/>
    <w:rsid w:val="00CA3C8B"/>
    <w:rsid w:val="00CA3DA3"/>
    <w:rsid w:val="00CA3EEB"/>
    <w:rsid w:val="00CA4332"/>
    <w:rsid w:val="00CA4448"/>
    <w:rsid w:val="00CA44AB"/>
    <w:rsid w:val="00CA4532"/>
    <w:rsid w:val="00CA4BB2"/>
    <w:rsid w:val="00CA4C30"/>
    <w:rsid w:val="00CA4F10"/>
    <w:rsid w:val="00CA5448"/>
    <w:rsid w:val="00CA54F9"/>
    <w:rsid w:val="00CA5662"/>
    <w:rsid w:val="00CA58C5"/>
    <w:rsid w:val="00CA5A0A"/>
    <w:rsid w:val="00CA5A4D"/>
    <w:rsid w:val="00CA5C14"/>
    <w:rsid w:val="00CA5FDD"/>
    <w:rsid w:val="00CA6022"/>
    <w:rsid w:val="00CA604F"/>
    <w:rsid w:val="00CA651F"/>
    <w:rsid w:val="00CA657B"/>
    <w:rsid w:val="00CA6871"/>
    <w:rsid w:val="00CA6C42"/>
    <w:rsid w:val="00CA6C9E"/>
    <w:rsid w:val="00CA6E37"/>
    <w:rsid w:val="00CA701A"/>
    <w:rsid w:val="00CA7115"/>
    <w:rsid w:val="00CA733B"/>
    <w:rsid w:val="00CA76DF"/>
    <w:rsid w:val="00CA7A54"/>
    <w:rsid w:val="00CA7E46"/>
    <w:rsid w:val="00CA7E73"/>
    <w:rsid w:val="00CA7F7A"/>
    <w:rsid w:val="00CB0830"/>
    <w:rsid w:val="00CB0AEB"/>
    <w:rsid w:val="00CB0EA7"/>
    <w:rsid w:val="00CB0F0F"/>
    <w:rsid w:val="00CB11A7"/>
    <w:rsid w:val="00CB1444"/>
    <w:rsid w:val="00CB1484"/>
    <w:rsid w:val="00CB20D6"/>
    <w:rsid w:val="00CB2407"/>
    <w:rsid w:val="00CB25A3"/>
    <w:rsid w:val="00CB25C3"/>
    <w:rsid w:val="00CB2EA1"/>
    <w:rsid w:val="00CB2F56"/>
    <w:rsid w:val="00CB3043"/>
    <w:rsid w:val="00CB312E"/>
    <w:rsid w:val="00CB31B9"/>
    <w:rsid w:val="00CB3F4B"/>
    <w:rsid w:val="00CB43FC"/>
    <w:rsid w:val="00CB498D"/>
    <w:rsid w:val="00CB4D79"/>
    <w:rsid w:val="00CB4E8F"/>
    <w:rsid w:val="00CB5329"/>
    <w:rsid w:val="00CB53F6"/>
    <w:rsid w:val="00CB5499"/>
    <w:rsid w:val="00CB597B"/>
    <w:rsid w:val="00CB5C59"/>
    <w:rsid w:val="00CB5E50"/>
    <w:rsid w:val="00CB60A1"/>
    <w:rsid w:val="00CB60EF"/>
    <w:rsid w:val="00CB63B9"/>
    <w:rsid w:val="00CB67EE"/>
    <w:rsid w:val="00CB6B18"/>
    <w:rsid w:val="00CB6D62"/>
    <w:rsid w:val="00CB6FCA"/>
    <w:rsid w:val="00CB73C6"/>
    <w:rsid w:val="00CB7994"/>
    <w:rsid w:val="00CB7CA6"/>
    <w:rsid w:val="00CB7E24"/>
    <w:rsid w:val="00CB7F91"/>
    <w:rsid w:val="00CC03D2"/>
    <w:rsid w:val="00CC0713"/>
    <w:rsid w:val="00CC0A1B"/>
    <w:rsid w:val="00CC0C2D"/>
    <w:rsid w:val="00CC0CD1"/>
    <w:rsid w:val="00CC12C2"/>
    <w:rsid w:val="00CC13D8"/>
    <w:rsid w:val="00CC14E5"/>
    <w:rsid w:val="00CC2381"/>
    <w:rsid w:val="00CC2490"/>
    <w:rsid w:val="00CC251B"/>
    <w:rsid w:val="00CC29EF"/>
    <w:rsid w:val="00CC2DE8"/>
    <w:rsid w:val="00CC305B"/>
    <w:rsid w:val="00CC35AF"/>
    <w:rsid w:val="00CC37C5"/>
    <w:rsid w:val="00CC3BDC"/>
    <w:rsid w:val="00CC3EDB"/>
    <w:rsid w:val="00CC3FBA"/>
    <w:rsid w:val="00CC43BB"/>
    <w:rsid w:val="00CC4A03"/>
    <w:rsid w:val="00CC4A43"/>
    <w:rsid w:val="00CC5054"/>
    <w:rsid w:val="00CC50A2"/>
    <w:rsid w:val="00CC50C0"/>
    <w:rsid w:val="00CC523D"/>
    <w:rsid w:val="00CC5313"/>
    <w:rsid w:val="00CC557D"/>
    <w:rsid w:val="00CC58AD"/>
    <w:rsid w:val="00CC5905"/>
    <w:rsid w:val="00CC5978"/>
    <w:rsid w:val="00CC598E"/>
    <w:rsid w:val="00CC5C74"/>
    <w:rsid w:val="00CC5F32"/>
    <w:rsid w:val="00CC6455"/>
    <w:rsid w:val="00CC6A7A"/>
    <w:rsid w:val="00CC6B4E"/>
    <w:rsid w:val="00CC6CAD"/>
    <w:rsid w:val="00CC6E12"/>
    <w:rsid w:val="00CC725E"/>
    <w:rsid w:val="00CC7910"/>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8AE"/>
    <w:rsid w:val="00CD3CEB"/>
    <w:rsid w:val="00CD3D4D"/>
    <w:rsid w:val="00CD3E9E"/>
    <w:rsid w:val="00CD4167"/>
    <w:rsid w:val="00CD480B"/>
    <w:rsid w:val="00CD4814"/>
    <w:rsid w:val="00CD48B7"/>
    <w:rsid w:val="00CD48DE"/>
    <w:rsid w:val="00CD4AAA"/>
    <w:rsid w:val="00CD4DDF"/>
    <w:rsid w:val="00CD50FB"/>
    <w:rsid w:val="00CD68A8"/>
    <w:rsid w:val="00CD6C5B"/>
    <w:rsid w:val="00CD6DEB"/>
    <w:rsid w:val="00CD6F81"/>
    <w:rsid w:val="00CD71B6"/>
    <w:rsid w:val="00CD75AA"/>
    <w:rsid w:val="00CD7A7B"/>
    <w:rsid w:val="00CD7C2A"/>
    <w:rsid w:val="00CD7D23"/>
    <w:rsid w:val="00CD7F02"/>
    <w:rsid w:val="00CE00E3"/>
    <w:rsid w:val="00CE01C7"/>
    <w:rsid w:val="00CE02B1"/>
    <w:rsid w:val="00CE0844"/>
    <w:rsid w:val="00CE0C43"/>
    <w:rsid w:val="00CE0C88"/>
    <w:rsid w:val="00CE0E46"/>
    <w:rsid w:val="00CE13F1"/>
    <w:rsid w:val="00CE19A2"/>
    <w:rsid w:val="00CE1B94"/>
    <w:rsid w:val="00CE1D54"/>
    <w:rsid w:val="00CE1FFA"/>
    <w:rsid w:val="00CE205D"/>
    <w:rsid w:val="00CE234B"/>
    <w:rsid w:val="00CE2925"/>
    <w:rsid w:val="00CE2E8F"/>
    <w:rsid w:val="00CE3008"/>
    <w:rsid w:val="00CE32BB"/>
    <w:rsid w:val="00CE369D"/>
    <w:rsid w:val="00CE375E"/>
    <w:rsid w:val="00CE3FFF"/>
    <w:rsid w:val="00CE4246"/>
    <w:rsid w:val="00CE4587"/>
    <w:rsid w:val="00CE4653"/>
    <w:rsid w:val="00CE4671"/>
    <w:rsid w:val="00CE4AFB"/>
    <w:rsid w:val="00CE4EB6"/>
    <w:rsid w:val="00CE5029"/>
    <w:rsid w:val="00CE5080"/>
    <w:rsid w:val="00CE5620"/>
    <w:rsid w:val="00CE57D8"/>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2C6"/>
    <w:rsid w:val="00CF078E"/>
    <w:rsid w:val="00CF0AC3"/>
    <w:rsid w:val="00CF0F9C"/>
    <w:rsid w:val="00CF1181"/>
    <w:rsid w:val="00CF15BC"/>
    <w:rsid w:val="00CF21C7"/>
    <w:rsid w:val="00CF263C"/>
    <w:rsid w:val="00CF29A5"/>
    <w:rsid w:val="00CF2A3C"/>
    <w:rsid w:val="00CF2F9D"/>
    <w:rsid w:val="00CF315C"/>
    <w:rsid w:val="00CF3529"/>
    <w:rsid w:val="00CF35E6"/>
    <w:rsid w:val="00CF378F"/>
    <w:rsid w:val="00CF39D2"/>
    <w:rsid w:val="00CF39DD"/>
    <w:rsid w:val="00CF3E1E"/>
    <w:rsid w:val="00CF3F44"/>
    <w:rsid w:val="00CF4015"/>
    <w:rsid w:val="00CF4023"/>
    <w:rsid w:val="00CF4099"/>
    <w:rsid w:val="00CF41ED"/>
    <w:rsid w:val="00CF437E"/>
    <w:rsid w:val="00CF44D0"/>
    <w:rsid w:val="00CF470A"/>
    <w:rsid w:val="00CF4883"/>
    <w:rsid w:val="00CF4B2D"/>
    <w:rsid w:val="00CF4B38"/>
    <w:rsid w:val="00CF4CA5"/>
    <w:rsid w:val="00CF5141"/>
    <w:rsid w:val="00CF5365"/>
    <w:rsid w:val="00CF57B9"/>
    <w:rsid w:val="00CF5832"/>
    <w:rsid w:val="00CF5930"/>
    <w:rsid w:val="00CF599A"/>
    <w:rsid w:val="00CF5D89"/>
    <w:rsid w:val="00CF62BA"/>
    <w:rsid w:val="00CF684F"/>
    <w:rsid w:val="00CF704C"/>
    <w:rsid w:val="00CF7055"/>
    <w:rsid w:val="00CF799B"/>
    <w:rsid w:val="00CF7C62"/>
    <w:rsid w:val="00D00261"/>
    <w:rsid w:val="00D0068C"/>
    <w:rsid w:val="00D007A5"/>
    <w:rsid w:val="00D00857"/>
    <w:rsid w:val="00D00B50"/>
    <w:rsid w:val="00D00F5C"/>
    <w:rsid w:val="00D010A3"/>
    <w:rsid w:val="00D011D0"/>
    <w:rsid w:val="00D01282"/>
    <w:rsid w:val="00D018B3"/>
    <w:rsid w:val="00D01ABC"/>
    <w:rsid w:val="00D01B7D"/>
    <w:rsid w:val="00D01DFB"/>
    <w:rsid w:val="00D01E78"/>
    <w:rsid w:val="00D01FD5"/>
    <w:rsid w:val="00D02002"/>
    <w:rsid w:val="00D021DF"/>
    <w:rsid w:val="00D02679"/>
    <w:rsid w:val="00D027EF"/>
    <w:rsid w:val="00D02803"/>
    <w:rsid w:val="00D028EE"/>
    <w:rsid w:val="00D02B7F"/>
    <w:rsid w:val="00D02C47"/>
    <w:rsid w:val="00D02E9A"/>
    <w:rsid w:val="00D030DA"/>
    <w:rsid w:val="00D0328B"/>
    <w:rsid w:val="00D03521"/>
    <w:rsid w:val="00D04083"/>
    <w:rsid w:val="00D04211"/>
    <w:rsid w:val="00D0423D"/>
    <w:rsid w:val="00D044B3"/>
    <w:rsid w:val="00D045DB"/>
    <w:rsid w:val="00D04624"/>
    <w:rsid w:val="00D04729"/>
    <w:rsid w:val="00D048EC"/>
    <w:rsid w:val="00D04A41"/>
    <w:rsid w:val="00D04B71"/>
    <w:rsid w:val="00D04DC5"/>
    <w:rsid w:val="00D04F51"/>
    <w:rsid w:val="00D04F80"/>
    <w:rsid w:val="00D053FB"/>
    <w:rsid w:val="00D0549E"/>
    <w:rsid w:val="00D05585"/>
    <w:rsid w:val="00D058B8"/>
    <w:rsid w:val="00D05A1F"/>
    <w:rsid w:val="00D05DA5"/>
    <w:rsid w:val="00D05EAD"/>
    <w:rsid w:val="00D06236"/>
    <w:rsid w:val="00D0636A"/>
    <w:rsid w:val="00D0639A"/>
    <w:rsid w:val="00D068B3"/>
    <w:rsid w:val="00D06D69"/>
    <w:rsid w:val="00D07026"/>
    <w:rsid w:val="00D0707F"/>
    <w:rsid w:val="00D071EF"/>
    <w:rsid w:val="00D073BC"/>
    <w:rsid w:val="00D07649"/>
    <w:rsid w:val="00D077CA"/>
    <w:rsid w:val="00D07D83"/>
    <w:rsid w:val="00D07FB7"/>
    <w:rsid w:val="00D07FC9"/>
    <w:rsid w:val="00D1004F"/>
    <w:rsid w:val="00D101A2"/>
    <w:rsid w:val="00D10317"/>
    <w:rsid w:val="00D109CE"/>
    <w:rsid w:val="00D10AA9"/>
    <w:rsid w:val="00D10B16"/>
    <w:rsid w:val="00D10BFB"/>
    <w:rsid w:val="00D10C19"/>
    <w:rsid w:val="00D10DEC"/>
    <w:rsid w:val="00D10FAF"/>
    <w:rsid w:val="00D10FD9"/>
    <w:rsid w:val="00D1106D"/>
    <w:rsid w:val="00D11312"/>
    <w:rsid w:val="00D11819"/>
    <w:rsid w:val="00D11BD1"/>
    <w:rsid w:val="00D12218"/>
    <w:rsid w:val="00D1236B"/>
    <w:rsid w:val="00D124A9"/>
    <w:rsid w:val="00D12833"/>
    <w:rsid w:val="00D131D8"/>
    <w:rsid w:val="00D13A62"/>
    <w:rsid w:val="00D13C58"/>
    <w:rsid w:val="00D13FE7"/>
    <w:rsid w:val="00D14044"/>
    <w:rsid w:val="00D14465"/>
    <w:rsid w:val="00D145E9"/>
    <w:rsid w:val="00D14778"/>
    <w:rsid w:val="00D14F8A"/>
    <w:rsid w:val="00D150ED"/>
    <w:rsid w:val="00D158CA"/>
    <w:rsid w:val="00D15A5F"/>
    <w:rsid w:val="00D15B44"/>
    <w:rsid w:val="00D15CF6"/>
    <w:rsid w:val="00D15D94"/>
    <w:rsid w:val="00D15DB2"/>
    <w:rsid w:val="00D16126"/>
    <w:rsid w:val="00D1612F"/>
    <w:rsid w:val="00D16368"/>
    <w:rsid w:val="00D16486"/>
    <w:rsid w:val="00D16E2B"/>
    <w:rsid w:val="00D17270"/>
    <w:rsid w:val="00D17813"/>
    <w:rsid w:val="00D17B88"/>
    <w:rsid w:val="00D17BE0"/>
    <w:rsid w:val="00D202AC"/>
    <w:rsid w:val="00D203B0"/>
    <w:rsid w:val="00D20433"/>
    <w:rsid w:val="00D204D6"/>
    <w:rsid w:val="00D20A6F"/>
    <w:rsid w:val="00D20EEF"/>
    <w:rsid w:val="00D2104F"/>
    <w:rsid w:val="00D21074"/>
    <w:rsid w:val="00D210C3"/>
    <w:rsid w:val="00D21572"/>
    <w:rsid w:val="00D21821"/>
    <w:rsid w:val="00D218C2"/>
    <w:rsid w:val="00D21E90"/>
    <w:rsid w:val="00D22185"/>
    <w:rsid w:val="00D22563"/>
    <w:rsid w:val="00D225F9"/>
    <w:rsid w:val="00D22674"/>
    <w:rsid w:val="00D22787"/>
    <w:rsid w:val="00D22ABA"/>
    <w:rsid w:val="00D22C37"/>
    <w:rsid w:val="00D23011"/>
    <w:rsid w:val="00D234F6"/>
    <w:rsid w:val="00D2352C"/>
    <w:rsid w:val="00D23719"/>
    <w:rsid w:val="00D23AA9"/>
    <w:rsid w:val="00D23F97"/>
    <w:rsid w:val="00D241F2"/>
    <w:rsid w:val="00D24612"/>
    <w:rsid w:val="00D246E8"/>
    <w:rsid w:val="00D24700"/>
    <w:rsid w:val="00D2486F"/>
    <w:rsid w:val="00D24885"/>
    <w:rsid w:val="00D248E0"/>
    <w:rsid w:val="00D24DBF"/>
    <w:rsid w:val="00D251CC"/>
    <w:rsid w:val="00D2573E"/>
    <w:rsid w:val="00D25CAE"/>
    <w:rsid w:val="00D26017"/>
    <w:rsid w:val="00D261F2"/>
    <w:rsid w:val="00D26560"/>
    <w:rsid w:val="00D2663B"/>
    <w:rsid w:val="00D268A8"/>
    <w:rsid w:val="00D26F18"/>
    <w:rsid w:val="00D2737B"/>
    <w:rsid w:val="00D277ED"/>
    <w:rsid w:val="00D278CD"/>
    <w:rsid w:val="00D27C3A"/>
    <w:rsid w:val="00D27ED8"/>
    <w:rsid w:val="00D3010B"/>
    <w:rsid w:val="00D301BE"/>
    <w:rsid w:val="00D301FD"/>
    <w:rsid w:val="00D30400"/>
    <w:rsid w:val="00D30ADF"/>
    <w:rsid w:val="00D30B7E"/>
    <w:rsid w:val="00D30C28"/>
    <w:rsid w:val="00D312D6"/>
    <w:rsid w:val="00D313D3"/>
    <w:rsid w:val="00D315E0"/>
    <w:rsid w:val="00D3175B"/>
    <w:rsid w:val="00D31919"/>
    <w:rsid w:val="00D31D1D"/>
    <w:rsid w:val="00D32190"/>
    <w:rsid w:val="00D32435"/>
    <w:rsid w:val="00D32862"/>
    <w:rsid w:val="00D329C9"/>
    <w:rsid w:val="00D32C2B"/>
    <w:rsid w:val="00D32D7A"/>
    <w:rsid w:val="00D33126"/>
    <w:rsid w:val="00D33478"/>
    <w:rsid w:val="00D335B6"/>
    <w:rsid w:val="00D336B9"/>
    <w:rsid w:val="00D336F0"/>
    <w:rsid w:val="00D33A81"/>
    <w:rsid w:val="00D33C6C"/>
    <w:rsid w:val="00D34199"/>
    <w:rsid w:val="00D344B0"/>
    <w:rsid w:val="00D3462A"/>
    <w:rsid w:val="00D3462E"/>
    <w:rsid w:val="00D34850"/>
    <w:rsid w:val="00D34C69"/>
    <w:rsid w:val="00D3512F"/>
    <w:rsid w:val="00D353C9"/>
    <w:rsid w:val="00D35A33"/>
    <w:rsid w:val="00D35C5B"/>
    <w:rsid w:val="00D35CB1"/>
    <w:rsid w:val="00D35EEE"/>
    <w:rsid w:val="00D35F22"/>
    <w:rsid w:val="00D361A2"/>
    <w:rsid w:val="00D36971"/>
    <w:rsid w:val="00D36A83"/>
    <w:rsid w:val="00D36C46"/>
    <w:rsid w:val="00D3705D"/>
    <w:rsid w:val="00D3743A"/>
    <w:rsid w:val="00D37901"/>
    <w:rsid w:val="00D379F0"/>
    <w:rsid w:val="00D37BA8"/>
    <w:rsid w:val="00D37F9D"/>
    <w:rsid w:val="00D401FC"/>
    <w:rsid w:val="00D40BC4"/>
    <w:rsid w:val="00D410A3"/>
    <w:rsid w:val="00D41AAF"/>
    <w:rsid w:val="00D41C2B"/>
    <w:rsid w:val="00D41C38"/>
    <w:rsid w:val="00D41E82"/>
    <w:rsid w:val="00D42182"/>
    <w:rsid w:val="00D42201"/>
    <w:rsid w:val="00D42775"/>
    <w:rsid w:val="00D427EE"/>
    <w:rsid w:val="00D428FD"/>
    <w:rsid w:val="00D42A9A"/>
    <w:rsid w:val="00D42E3C"/>
    <w:rsid w:val="00D43465"/>
    <w:rsid w:val="00D43593"/>
    <w:rsid w:val="00D436FA"/>
    <w:rsid w:val="00D43B8C"/>
    <w:rsid w:val="00D44247"/>
    <w:rsid w:val="00D442A9"/>
    <w:rsid w:val="00D4479C"/>
    <w:rsid w:val="00D4498C"/>
    <w:rsid w:val="00D451BC"/>
    <w:rsid w:val="00D452FB"/>
    <w:rsid w:val="00D45516"/>
    <w:rsid w:val="00D45624"/>
    <w:rsid w:val="00D45ECB"/>
    <w:rsid w:val="00D4609C"/>
    <w:rsid w:val="00D468A6"/>
    <w:rsid w:val="00D46AC0"/>
    <w:rsid w:val="00D47380"/>
    <w:rsid w:val="00D474A6"/>
    <w:rsid w:val="00D4762C"/>
    <w:rsid w:val="00D476E9"/>
    <w:rsid w:val="00D478D4"/>
    <w:rsid w:val="00D47AFB"/>
    <w:rsid w:val="00D50248"/>
    <w:rsid w:val="00D50464"/>
    <w:rsid w:val="00D504DD"/>
    <w:rsid w:val="00D506B2"/>
    <w:rsid w:val="00D5082B"/>
    <w:rsid w:val="00D50962"/>
    <w:rsid w:val="00D509E9"/>
    <w:rsid w:val="00D50B18"/>
    <w:rsid w:val="00D50B96"/>
    <w:rsid w:val="00D50ECA"/>
    <w:rsid w:val="00D510AF"/>
    <w:rsid w:val="00D5132E"/>
    <w:rsid w:val="00D51367"/>
    <w:rsid w:val="00D51B2B"/>
    <w:rsid w:val="00D51B5D"/>
    <w:rsid w:val="00D520A8"/>
    <w:rsid w:val="00D5229B"/>
    <w:rsid w:val="00D52665"/>
    <w:rsid w:val="00D52BA3"/>
    <w:rsid w:val="00D52EC4"/>
    <w:rsid w:val="00D530BC"/>
    <w:rsid w:val="00D5337C"/>
    <w:rsid w:val="00D53526"/>
    <w:rsid w:val="00D53645"/>
    <w:rsid w:val="00D537B4"/>
    <w:rsid w:val="00D53A87"/>
    <w:rsid w:val="00D54168"/>
    <w:rsid w:val="00D541E0"/>
    <w:rsid w:val="00D543AB"/>
    <w:rsid w:val="00D543CB"/>
    <w:rsid w:val="00D5450A"/>
    <w:rsid w:val="00D5460F"/>
    <w:rsid w:val="00D548E7"/>
    <w:rsid w:val="00D54A7D"/>
    <w:rsid w:val="00D54F6B"/>
    <w:rsid w:val="00D551C6"/>
    <w:rsid w:val="00D551D8"/>
    <w:rsid w:val="00D5528E"/>
    <w:rsid w:val="00D554D5"/>
    <w:rsid w:val="00D5559D"/>
    <w:rsid w:val="00D55675"/>
    <w:rsid w:val="00D55B0D"/>
    <w:rsid w:val="00D55BA8"/>
    <w:rsid w:val="00D55F8D"/>
    <w:rsid w:val="00D560FE"/>
    <w:rsid w:val="00D5630C"/>
    <w:rsid w:val="00D5655C"/>
    <w:rsid w:val="00D56B75"/>
    <w:rsid w:val="00D56CC8"/>
    <w:rsid w:val="00D570B0"/>
    <w:rsid w:val="00D57189"/>
    <w:rsid w:val="00D57263"/>
    <w:rsid w:val="00D57471"/>
    <w:rsid w:val="00D576B0"/>
    <w:rsid w:val="00D576B6"/>
    <w:rsid w:val="00D5795E"/>
    <w:rsid w:val="00D57BAB"/>
    <w:rsid w:val="00D60D49"/>
    <w:rsid w:val="00D60E9B"/>
    <w:rsid w:val="00D61BD5"/>
    <w:rsid w:val="00D61D79"/>
    <w:rsid w:val="00D62837"/>
    <w:rsid w:val="00D62C17"/>
    <w:rsid w:val="00D62C6F"/>
    <w:rsid w:val="00D62CDC"/>
    <w:rsid w:val="00D63A32"/>
    <w:rsid w:val="00D641FF"/>
    <w:rsid w:val="00D6478B"/>
    <w:rsid w:val="00D6478D"/>
    <w:rsid w:val="00D64B42"/>
    <w:rsid w:val="00D64CEE"/>
    <w:rsid w:val="00D65D31"/>
    <w:rsid w:val="00D65DFA"/>
    <w:rsid w:val="00D65EB7"/>
    <w:rsid w:val="00D6601B"/>
    <w:rsid w:val="00D6613F"/>
    <w:rsid w:val="00D66E18"/>
    <w:rsid w:val="00D673F6"/>
    <w:rsid w:val="00D675F0"/>
    <w:rsid w:val="00D6783E"/>
    <w:rsid w:val="00D678AE"/>
    <w:rsid w:val="00D67DCD"/>
    <w:rsid w:val="00D70306"/>
    <w:rsid w:val="00D704BB"/>
    <w:rsid w:val="00D704CE"/>
    <w:rsid w:val="00D70564"/>
    <w:rsid w:val="00D70693"/>
    <w:rsid w:val="00D706F6"/>
    <w:rsid w:val="00D70814"/>
    <w:rsid w:val="00D70A9D"/>
    <w:rsid w:val="00D70E8B"/>
    <w:rsid w:val="00D70F09"/>
    <w:rsid w:val="00D70FD7"/>
    <w:rsid w:val="00D7105A"/>
    <w:rsid w:val="00D71548"/>
    <w:rsid w:val="00D71D46"/>
    <w:rsid w:val="00D72028"/>
    <w:rsid w:val="00D72188"/>
    <w:rsid w:val="00D72333"/>
    <w:rsid w:val="00D723C0"/>
    <w:rsid w:val="00D72C14"/>
    <w:rsid w:val="00D72DCD"/>
    <w:rsid w:val="00D731B8"/>
    <w:rsid w:val="00D73615"/>
    <w:rsid w:val="00D73F5D"/>
    <w:rsid w:val="00D743D0"/>
    <w:rsid w:val="00D74983"/>
    <w:rsid w:val="00D74BE4"/>
    <w:rsid w:val="00D74D0D"/>
    <w:rsid w:val="00D74E51"/>
    <w:rsid w:val="00D74EC3"/>
    <w:rsid w:val="00D7526C"/>
    <w:rsid w:val="00D755C2"/>
    <w:rsid w:val="00D7565D"/>
    <w:rsid w:val="00D756B7"/>
    <w:rsid w:val="00D75733"/>
    <w:rsid w:val="00D75739"/>
    <w:rsid w:val="00D757A3"/>
    <w:rsid w:val="00D758E1"/>
    <w:rsid w:val="00D75AD2"/>
    <w:rsid w:val="00D75D22"/>
    <w:rsid w:val="00D762E3"/>
    <w:rsid w:val="00D764A8"/>
    <w:rsid w:val="00D765E5"/>
    <w:rsid w:val="00D7668C"/>
    <w:rsid w:val="00D76734"/>
    <w:rsid w:val="00D767F0"/>
    <w:rsid w:val="00D769D6"/>
    <w:rsid w:val="00D76C67"/>
    <w:rsid w:val="00D76F2D"/>
    <w:rsid w:val="00D771FF"/>
    <w:rsid w:val="00D7721C"/>
    <w:rsid w:val="00D77447"/>
    <w:rsid w:val="00D7756D"/>
    <w:rsid w:val="00D77769"/>
    <w:rsid w:val="00D77773"/>
    <w:rsid w:val="00D77796"/>
    <w:rsid w:val="00D77A1A"/>
    <w:rsid w:val="00D77DA0"/>
    <w:rsid w:val="00D803BC"/>
    <w:rsid w:val="00D80656"/>
    <w:rsid w:val="00D806E9"/>
    <w:rsid w:val="00D80840"/>
    <w:rsid w:val="00D80A9B"/>
    <w:rsid w:val="00D80DC2"/>
    <w:rsid w:val="00D80E84"/>
    <w:rsid w:val="00D819E1"/>
    <w:rsid w:val="00D81E1A"/>
    <w:rsid w:val="00D81FF7"/>
    <w:rsid w:val="00D82010"/>
    <w:rsid w:val="00D820F5"/>
    <w:rsid w:val="00D8219E"/>
    <w:rsid w:val="00D824B3"/>
    <w:rsid w:val="00D82588"/>
    <w:rsid w:val="00D826BB"/>
    <w:rsid w:val="00D8276D"/>
    <w:rsid w:val="00D82AD7"/>
    <w:rsid w:val="00D82ED4"/>
    <w:rsid w:val="00D8309C"/>
    <w:rsid w:val="00D8333C"/>
    <w:rsid w:val="00D8377B"/>
    <w:rsid w:val="00D84420"/>
    <w:rsid w:val="00D84581"/>
    <w:rsid w:val="00D8493F"/>
    <w:rsid w:val="00D84CB5"/>
    <w:rsid w:val="00D84DFE"/>
    <w:rsid w:val="00D8513B"/>
    <w:rsid w:val="00D851CA"/>
    <w:rsid w:val="00D851E1"/>
    <w:rsid w:val="00D854E5"/>
    <w:rsid w:val="00D85780"/>
    <w:rsid w:val="00D858FC"/>
    <w:rsid w:val="00D85C19"/>
    <w:rsid w:val="00D8607B"/>
    <w:rsid w:val="00D8673C"/>
    <w:rsid w:val="00D8681A"/>
    <w:rsid w:val="00D86995"/>
    <w:rsid w:val="00D8743D"/>
    <w:rsid w:val="00D87F19"/>
    <w:rsid w:val="00D9012B"/>
    <w:rsid w:val="00D901BE"/>
    <w:rsid w:val="00D90CB1"/>
    <w:rsid w:val="00D91499"/>
    <w:rsid w:val="00D91687"/>
    <w:rsid w:val="00D9188C"/>
    <w:rsid w:val="00D91A12"/>
    <w:rsid w:val="00D92090"/>
    <w:rsid w:val="00D920C0"/>
    <w:rsid w:val="00D9219D"/>
    <w:rsid w:val="00D921FF"/>
    <w:rsid w:val="00D92328"/>
    <w:rsid w:val="00D925C2"/>
    <w:rsid w:val="00D92735"/>
    <w:rsid w:val="00D92B88"/>
    <w:rsid w:val="00D92BC1"/>
    <w:rsid w:val="00D92C4D"/>
    <w:rsid w:val="00D92D95"/>
    <w:rsid w:val="00D92DDF"/>
    <w:rsid w:val="00D92FA7"/>
    <w:rsid w:val="00D93474"/>
    <w:rsid w:val="00D9368A"/>
    <w:rsid w:val="00D9399F"/>
    <w:rsid w:val="00D93AFF"/>
    <w:rsid w:val="00D93BC5"/>
    <w:rsid w:val="00D93E11"/>
    <w:rsid w:val="00D93E9E"/>
    <w:rsid w:val="00D93EE6"/>
    <w:rsid w:val="00D94217"/>
    <w:rsid w:val="00D94223"/>
    <w:rsid w:val="00D94455"/>
    <w:rsid w:val="00D94944"/>
    <w:rsid w:val="00D949DF"/>
    <w:rsid w:val="00D94B49"/>
    <w:rsid w:val="00D94DBB"/>
    <w:rsid w:val="00D94E28"/>
    <w:rsid w:val="00D94E46"/>
    <w:rsid w:val="00D9513F"/>
    <w:rsid w:val="00D9564F"/>
    <w:rsid w:val="00D95CAF"/>
    <w:rsid w:val="00D95DB8"/>
    <w:rsid w:val="00D95F46"/>
    <w:rsid w:val="00D9629C"/>
    <w:rsid w:val="00D962CD"/>
    <w:rsid w:val="00D967BD"/>
    <w:rsid w:val="00D969F2"/>
    <w:rsid w:val="00D96DC2"/>
    <w:rsid w:val="00D96E47"/>
    <w:rsid w:val="00D97715"/>
    <w:rsid w:val="00D97B5B"/>
    <w:rsid w:val="00D97C4A"/>
    <w:rsid w:val="00D97D0F"/>
    <w:rsid w:val="00D97D15"/>
    <w:rsid w:val="00D97E32"/>
    <w:rsid w:val="00D97F43"/>
    <w:rsid w:val="00DA010D"/>
    <w:rsid w:val="00DA015F"/>
    <w:rsid w:val="00DA0537"/>
    <w:rsid w:val="00DA06ED"/>
    <w:rsid w:val="00DA0A12"/>
    <w:rsid w:val="00DA0AE5"/>
    <w:rsid w:val="00DA0EA3"/>
    <w:rsid w:val="00DA1305"/>
    <w:rsid w:val="00DA1333"/>
    <w:rsid w:val="00DA197D"/>
    <w:rsid w:val="00DA1B07"/>
    <w:rsid w:val="00DA1D65"/>
    <w:rsid w:val="00DA1FCD"/>
    <w:rsid w:val="00DA20A2"/>
    <w:rsid w:val="00DA21B6"/>
    <w:rsid w:val="00DA27D4"/>
    <w:rsid w:val="00DA2B6B"/>
    <w:rsid w:val="00DA2DD8"/>
    <w:rsid w:val="00DA3486"/>
    <w:rsid w:val="00DA3851"/>
    <w:rsid w:val="00DA392A"/>
    <w:rsid w:val="00DA3D4E"/>
    <w:rsid w:val="00DA3F68"/>
    <w:rsid w:val="00DA4402"/>
    <w:rsid w:val="00DA4911"/>
    <w:rsid w:val="00DA4A21"/>
    <w:rsid w:val="00DA4F25"/>
    <w:rsid w:val="00DA4F46"/>
    <w:rsid w:val="00DA504B"/>
    <w:rsid w:val="00DA519F"/>
    <w:rsid w:val="00DA52D9"/>
    <w:rsid w:val="00DA5A1A"/>
    <w:rsid w:val="00DA6389"/>
    <w:rsid w:val="00DA6473"/>
    <w:rsid w:val="00DA6614"/>
    <w:rsid w:val="00DA6708"/>
    <w:rsid w:val="00DA6721"/>
    <w:rsid w:val="00DA6C72"/>
    <w:rsid w:val="00DA6E04"/>
    <w:rsid w:val="00DA6EF5"/>
    <w:rsid w:val="00DA7165"/>
    <w:rsid w:val="00DA717C"/>
    <w:rsid w:val="00DA71C3"/>
    <w:rsid w:val="00DA72CA"/>
    <w:rsid w:val="00DA7366"/>
    <w:rsid w:val="00DA7AFD"/>
    <w:rsid w:val="00DA7B8D"/>
    <w:rsid w:val="00DA7D8C"/>
    <w:rsid w:val="00DB01F9"/>
    <w:rsid w:val="00DB0325"/>
    <w:rsid w:val="00DB1863"/>
    <w:rsid w:val="00DB191D"/>
    <w:rsid w:val="00DB197E"/>
    <w:rsid w:val="00DB1982"/>
    <w:rsid w:val="00DB1D18"/>
    <w:rsid w:val="00DB1D78"/>
    <w:rsid w:val="00DB1DA9"/>
    <w:rsid w:val="00DB23E0"/>
    <w:rsid w:val="00DB2588"/>
    <w:rsid w:val="00DB2BB3"/>
    <w:rsid w:val="00DB2E31"/>
    <w:rsid w:val="00DB2F54"/>
    <w:rsid w:val="00DB336E"/>
    <w:rsid w:val="00DB37FA"/>
    <w:rsid w:val="00DB4242"/>
    <w:rsid w:val="00DB59BA"/>
    <w:rsid w:val="00DB6188"/>
    <w:rsid w:val="00DB6719"/>
    <w:rsid w:val="00DB6841"/>
    <w:rsid w:val="00DB6A1F"/>
    <w:rsid w:val="00DB6AB1"/>
    <w:rsid w:val="00DB6F04"/>
    <w:rsid w:val="00DB7370"/>
    <w:rsid w:val="00DB75EB"/>
    <w:rsid w:val="00DB7B75"/>
    <w:rsid w:val="00DB7C7D"/>
    <w:rsid w:val="00DC00C9"/>
    <w:rsid w:val="00DC0906"/>
    <w:rsid w:val="00DC0A8E"/>
    <w:rsid w:val="00DC0AE2"/>
    <w:rsid w:val="00DC0D46"/>
    <w:rsid w:val="00DC0DF5"/>
    <w:rsid w:val="00DC0FEE"/>
    <w:rsid w:val="00DC10E5"/>
    <w:rsid w:val="00DC1124"/>
    <w:rsid w:val="00DC1293"/>
    <w:rsid w:val="00DC14E2"/>
    <w:rsid w:val="00DC155B"/>
    <w:rsid w:val="00DC177A"/>
    <w:rsid w:val="00DC17FF"/>
    <w:rsid w:val="00DC1B3C"/>
    <w:rsid w:val="00DC1B4A"/>
    <w:rsid w:val="00DC1CAB"/>
    <w:rsid w:val="00DC203B"/>
    <w:rsid w:val="00DC2212"/>
    <w:rsid w:val="00DC22A9"/>
    <w:rsid w:val="00DC2511"/>
    <w:rsid w:val="00DC2528"/>
    <w:rsid w:val="00DC26E4"/>
    <w:rsid w:val="00DC26E7"/>
    <w:rsid w:val="00DC26EE"/>
    <w:rsid w:val="00DC2C80"/>
    <w:rsid w:val="00DC3400"/>
    <w:rsid w:val="00DC3A37"/>
    <w:rsid w:val="00DC3D3E"/>
    <w:rsid w:val="00DC3E80"/>
    <w:rsid w:val="00DC41D9"/>
    <w:rsid w:val="00DC4319"/>
    <w:rsid w:val="00DC4394"/>
    <w:rsid w:val="00DC44D5"/>
    <w:rsid w:val="00DC4537"/>
    <w:rsid w:val="00DC4582"/>
    <w:rsid w:val="00DC59F6"/>
    <w:rsid w:val="00DC5A41"/>
    <w:rsid w:val="00DC5BD2"/>
    <w:rsid w:val="00DC5D15"/>
    <w:rsid w:val="00DC5F88"/>
    <w:rsid w:val="00DC605E"/>
    <w:rsid w:val="00DC613B"/>
    <w:rsid w:val="00DC66A2"/>
    <w:rsid w:val="00DC6770"/>
    <w:rsid w:val="00DC6C2F"/>
    <w:rsid w:val="00DC7885"/>
    <w:rsid w:val="00DC794F"/>
    <w:rsid w:val="00DC7B18"/>
    <w:rsid w:val="00DC7DAA"/>
    <w:rsid w:val="00DC7DB2"/>
    <w:rsid w:val="00DD0146"/>
    <w:rsid w:val="00DD045E"/>
    <w:rsid w:val="00DD0529"/>
    <w:rsid w:val="00DD0838"/>
    <w:rsid w:val="00DD0AA5"/>
    <w:rsid w:val="00DD0C64"/>
    <w:rsid w:val="00DD0D4D"/>
    <w:rsid w:val="00DD0E86"/>
    <w:rsid w:val="00DD1305"/>
    <w:rsid w:val="00DD149F"/>
    <w:rsid w:val="00DD1574"/>
    <w:rsid w:val="00DD1A92"/>
    <w:rsid w:val="00DD1BF0"/>
    <w:rsid w:val="00DD1BFD"/>
    <w:rsid w:val="00DD273B"/>
    <w:rsid w:val="00DD275F"/>
    <w:rsid w:val="00DD290A"/>
    <w:rsid w:val="00DD2973"/>
    <w:rsid w:val="00DD31A3"/>
    <w:rsid w:val="00DD3354"/>
    <w:rsid w:val="00DD347C"/>
    <w:rsid w:val="00DD3658"/>
    <w:rsid w:val="00DD3A8B"/>
    <w:rsid w:val="00DD460E"/>
    <w:rsid w:val="00DD4643"/>
    <w:rsid w:val="00DD4695"/>
    <w:rsid w:val="00DD479B"/>
    <w:rsid w:val="00DD4E22"/>
    <w:rsid w:val="00DD59FD"/>
    <w:rsid w:val="00DD5C8D"/>
    <w:rsid w:val="00DD5F6B"/>
    <w:rsid w:val="00DD6117"/>
    <w:rsid w:val="00DD62A6"/>
    <w:rsid w:val="00DD68D0"/>
    <w:rsid w:val="00DD6B3E"/>
    <w:rsid w:val="00DD6DAE"/>
    <w:rsid w:val="00DD6DDA"/>
    <w:rsid w:val="00DD713A"/>
    <w:rsid w:val="00DD73A6"/>
    <w:rsid w:val="00DD7455"/>
    <w:rsid w:val="00DD77AA"/>
    <w:rsid w:val="00DD7D6F"/>
    <w:rsid w:val="00DD7DFA"/>
    <w:rsid w:val="00DE00D3"/>
    <w:rsid w:val="00DE0B32"/>
    <w:rsid w:val="00DE1652"/>
    <w:rsid w:val="00DE198D"/>
    <w:rsid w:val="00DE2209"/>
    <w:rsid w:val="00DE23F5"/>
    <w:rsid w:val="00DE253A"/>
    <w:rsid w:val="00DE2802"/>
    <w:rsid w:val="00DE2FE0"/>
    <w:rsid w:val="00DE3078"/>
    <w:rsid w:val="00DE360D"/>
    <w:rsid w:val="00DE3729"/>
    <w:rsid w:val="00DE38E5"/>
    <w:rsid w:val="00DE395A"/>
    <w:rsid w:val="00DE3A04"/>
    <w:rsid w:val="00DE3DC7"/>
    <w:rsid w:val="00DE4328"/>
    <w:rsid w:val="00DE459F"/>
    <w:rsid w:val="00DE4AF4"/>
    <w:rsid w:val="00DE4B43"/>
    <w:rsid w:val="00DE4B68"/>
    <w:rsid w:val="00DE4DD8"/>
    <w:rsid w:val="00DE57B7"/>
    <w:rsid w:val="00DE5A4B"/>
    <w:rsid w:val="00DE5F14"/>
    <w:rsid w:val="00DE62B0"/>
    <w:rsid w:val="00DE64D5"/>
    <w:rsid w:val="00DE688A"/>
    <w:rsid w:val="00DE68D8"/>
    <w:rsid w:val="00DE6BEC"/>
    <w:rsid w:val="00DE756F"/>
    <w:rsid w:val="00DE778C"/>
    <w:rsid w:val="00DE7A57"/>
    <w:rsid w:val="00DE7AC4"/>
    <w:rsid w:val="00DE7B7E"/>
    <w:rsid w:val="00DE7CF1"/>
    <w:rsid w:val="00DE7D1B"/>
    <w:rsid w:val="00DE7DD9"/>
    <w:rsid w:val="00DF033F"/>
    <w:rsid w:val="00DF0396"/>
    <w:rsid w:val="00DF04EF"/>
    <w:rsid w:val="00DF07B3"/>
    <w:rsid w:val="00DF08F3"/>
    <w:rsid w:val="00DF0BE8"/>
    <w:rsid w:val="00DF0D66"/>
    <w:rsid w:val="00DF0E19"/>
    <w:rsid w:val="00DF0E4B"/>
    <w:rsid w:val="00DF1147"/>
    <w:rsid w:val="00DF1292"/>
    <w:rsid w:val="00DF16B9"/>
    <w:rsid w:val="00DF16BE"/>
    <w:rsid w:val="00DF1901"/>
    <w:rsid w:val="00DF198C"/>
    <w:rsid w:val="00DF1D51"/>
    <w:rsid w:val="00DF1F06"/>
    <w:rsid w:val="00DF2120"/>
    <w:rsid w:val="00DF251F"/>
    <w:rsid w:val="00DF26B2"/>
    <w:rsid w:val="00DF29F9"/>
    <w:rsid w:val="00DF2B2D"/>
    <w:rsid w:val="00DF2BF9"/>
    <w:rsid w:val="00DF2CC6"/>
    <w:rsid w:val="00DF2DFD"/>
    <w:rsid w:val="00DF2FAD"/>
    <w:rsid w:val="00DF32ED"/>
    <w:rsid w:val="00DF357D"/>
    <w:rsid w:val="00DF39C0"/>
    <w:rsid w:val="00DF3A0F"/>
    <w:rsid w:val="00DF3A51"/>
    <w:rsid w:val="00DF3FFB"/>
    <w:rsid w:val="00DF4267"/>
    <w:rsid w:val="00DF4599"/>
    <w:rsid w:val="00DF4635"/>
    <w:rsid w:val="00DF494B"/>
    <w:rsid w:val="00DF4E80"/>
    <w:rsid w:val="00DF4F6D"/>
    <w:rsid w:val="00DF5190"/>
    <w:rsid w:val="00DF5427"/>
    <w:rsid w:val="00DF568F"/>
    <w:rsid w:val="00DF5E3A"/>
    <w:rsid w:val="00DF5E65"/>
    <w:rsid w:val="00DF5F83"/>
    <w:rsid w:val="00DF6192"/>
    <w:rsid w:val="00DF65F3"/>
    <w:rsid w:val="00DF6654"/>
    <w:rsid w:val="00DF6940"/>
    <w:rsid w:val="00DF69CA"/>
    <w:rsid w:val="00DF6E8F"/>
    <w:rsid w:val="00DF70D9"/>
    <w:rsid w:val="00DF70DF"/>
    <w:rsid w:val="00DF728A"/>
    <w:rsid w:val="00DF75CD"/>
    <w:rsid w:val="00DF78D0"/>
    <w:rsid w:val="00DF7D2A"/>
    <w:rsid w:val="00DF7EEE"/>
    <w:rsid w:val="00DF7F16"/>
    <w:rsid w:val="00E0037D"/>
    <w:rsid w:val="00E0065B"/>
    <w:rsid w:val="00E00705"/>
    <w:rsid w:val="00E00DC7"/>
    <w:rsid w:val="00E01881"/>
    <w:rsid w:val="00E01F5E"/>
    <w:rsid w:val="00E02153"/>
    <w:rsid w:val="00E02298"/>
    <w:rsid w:val="00E023E8"/>
    <w:rsid w:val="00E026C7"/>
    <w:rsid w:val="00E026F9"/>
    <w:rsid w:val="00E02786"/>
    <w:rsid w:val="00E02DCB"/>
    <w:rsid w:val="00E03054"/>
    <w:rsid w:val="00E03063"/>
    <w:rsid w:val="00E03715"/>
    <w:rsid w:val="00E03CEA"/>
    <w:rsid w:val="00E03F22"/>
    <w:rsid w:val="00E0404E"/>
    <w:rsid w:val="00E0407B"/>
    <w:rsid w:val="00E040A4"/>
    <w:rsid w:val="00E0427D"/>
    <w:rsid w:val="00E04D96"/>
    <w:rsid w:val="00E04EE8"/>
    <w:rsid w:val="00E05175"/>
    <w:rsid w:val="00E0534A"/>
    <w:rsid w:val="00E055E7"/>
    <w:rsid w:val="00E0566D"/>
    <w:rsid w:val="00E057A6"/>
    <w:rsid w:val="00E05AC6"/>
    <w:rsid w:val="00E05C15"/>
    <w:rsid w:val="00E05EB1"/>
    <w:rsid w:val="00E05F6E"/>
    <w:rsid w:val="00E06316"/>
    <w:rsid w:val="00E068EB"/>
    <w:rsid w:val="00E06ADA"/>
    <w:rsid w:val="00E06E47"/>
    <w:rsid w:val="00E0714C"/>
    <w:rsid w:val="00E07702"/>
    <w:rsid w:val="00E07CA9"/>
    <w:rsid w:val="00E1024C"/>
    <w:rsid w:val="00E104E3"/>
    <w:rsid w:val="00E10609"/>
    <w:rsid w:val="00E1081E"/>
    <w:rsid w:val="00E10882"/>
    <w:rsid w:val="00E11038"/>
    <w:rsid w:val="00E11ABA"/>
    <w:rsid w:val="00E12142"/>
    <w:rsid w:val="00E12156"/>
    <w:rsid w:val="00E12440"/>
    <w:rsid w:val="00E128E0"/>
    <w:rsid w:val="00E12DAF"/>
    <w:rsid w:val="00E12EF6"/>
    <w:rsid w:val="00E12F63"/>
    <w:rsid w:val="00E12F91"/>
    <w:rsid w:val="00E13097"/>
    <w:rsid w:val="00E13612"/>
    <w:rsid w:val="00E13729"/>
    <w:rsid w:val="00E139C6"/>
    <w:rsid w:val="00E13D7A"/>
    <w:rsid w:val="00E1444D"/>
    <w:rsid w:val="00E14720"/>
    <w:rsid w:val="00E14989"/>
    <w:rsid w:val="00E14A52"/>
    <w:rsid w:val="00E16050"/>
    <w:rsid w:val="00E16396"/>
    <w:rsid w:val="00E163E0"/>
    <w:rsid w:val="00E1641F"/>
    <w:rsid w:val="00E1655B"/>
    <w:rsid w:val="00E16FF5"/>
    <w:rsid w:val="00E17411"/>
    <w:rsid w:val="00E17520"/>
    <w:rsid w:val="00E17635"/>
    <w:rsid w:val="00E1764F"/>
    <w:rsid w:val="00E17938"/>
    <w:rsid w:val="00E17CBB"/>
    <w:rsid w:val="00E17D2D"/>
    <w:rsid w:val="00E17EE7"/>
    <w:rsid w:val="00E2070A"/>
    <w:rsid w:val="00E20BE8"/>
    <w:rsid w:val="00E20DCB"/>
    <w:rsid w:val="00E20FAA"/>
    <w:rsid w:val="00E216DF"/>
    <w:rsid w:val="00E21D51"/>
    <w:rsid w:val="00E22A80"/>
    <w:rsid w:val="00E22DB1"/>
    <w:rsid w:val="00E22DCD"/>
    <w:rsid w:val="00E23327"/>
    <w:rsid w:val="00E2332C"/>
    <w:rsid w:val="00E239C0"/>
    <w:rsid w:val="00E23A1B"/>
    <w:rsid w:val="00E23D5A"/>
    <w:rsid w:val="00E23EB5"/>
    <w:rsid w:val="00E23F74"/>
    <w:rsid w:val="00E242A5"/>
    <w:rsid w:val="00E24483"/>
    <w:rsid w:val="00E2481C"/>
    <w:rsid w:val="00E2489A"/>
    <w:rsid w:val="00E24BE2"/>
    <w:rsid w:val="00E24C3B"/>
    <w:rsid w:val="00E251F1"/>
    <w:rsid w:val="00E25258"/>
    <w:rsid w:val="00E252AC"/>
    <w:rsid w:val="00E252B3"/>
    <w:rsid w:val="00E253EF"/>
    <w:rsid w:val="00E254AE"/>
    <w:rsid w:val="00E2552E"/>
    <w:rsid w:val="00E257B7"/>
    <w:rsid w:val="00E26033"/>
    <w:rsid w:val="00E261CC"/>
    <w:rsid w:val="00E2626B"/>
    <w:rsid w:val="00E2644C"/>
    <w:rsid w:val="00E26C6C"/>
    <w:rsid w:val="00E26E97"/>
    <w:rsid w:val="00E272CD"/>
    <w:rsid w:val="00E27C5F"/>
    <w:rsid w:val="00E30122"/>
    <w:rsid w:val="00E30431"/>
    <w:rsid w:val="00E30CB3"/>
    <w:rsid w:val="00E30CBC"/>
    <w:rsid w:val="00E30CDC"/>
    <w:rsid w:val="00E30DE7"/>
    <w:rsid w:val="00E30EE2"/>
    <w:rsid w:val="00E31356"/>
    <w:rsid w:val="00E31AB7"/>
    <w:rsid w:val="00E323C6"/>
    <w:rsid w:val="00E32475"/>
    <w:rsid w:val="00E324B5"/>
    <w:rsid w:val="00E326FA"/>
    <w:rsid w:val="00E3312C"/>
    <w:rsid w:val="00E33621"/>
    <w:rsid w:val="00E33920"/>
    <w:rsid w:val="00E33BA3"/>
    <w:rsid w:val="00E33D67"/>
    <w:rsid w:val="00E3420A"/>
    <w:rsid w:val="00E343AF"/>
    <w:rsid w:val="00E343B2"/>
    <w:rsid w:val="00E34410"/>
    <w:rsid w:val="00E34514"/>
    <w:rsid w:val="00E349BB"/>
    <w:rsid w:val="00E34AD6"/>
    <w:rsid w:val="00E34C28"/>
    <w:rsid w:val="00E34C39"/>
    <w:rsid w:val="00E35079"/>
    <w:rsid w:val="00E352E2"/>
    <w:rsid w:val="00E353FA"/>
    <w:rsid w:val="00E357C5"/>
    <w:rsid w:val="00E35CF3"/>
    <w:rsid w:val="00E3630F"/>
    <w:rsid w:val="00E36878"/>
    <w:rsid w:val="00E36AA1"/>
    <w:rsid w:val="00E36CAC"/>
    <w:rsid w:val="00E36FA6"/>
    <w:rsid w:val="00E370DC"/>
    <w:rsid w:val="00E3718F"/>
    <w:rsid w:val="00E37259"/>
    <w:rsid w:val="00E37408"/>
    <w:rsid w:val="00E37827"/>
    <w:rsid w:val="00E40F72"/>
    <w:rsid w:val="00E41347"/>
    <w:rsid w:val="00E413D8"/>
    <w:rsid w:val="00E41670"/>
    <w:rsid w:val="00E41AFF"/>
    <w:rsid w:val="00E41B77"/>
    <w:rsid w:val="00E421AE"/>
    <w:rsid w:val="00E42395"/>
    <w:rsid w:val="00E426FE"/>
    <w:rsid w:val="00E4273B"/>
    <w:rsid w:val="00E42A5F"/>
    <w:rsid w:val="00E42E6E"/>
    <w:rsid w:val="00E43134"/>
    <w:rsid w:val="00E43388"/>
    <w:rsid w:val="00E4348A"/>
    <w:rsid w:val="00E438E2"/>
    <w:rsid w:val="00E43A79"/>
    <w:rsid w:val="00E4465B"/>
    <w:rsid w:val="00E44731"/>
    <w:rsid w:val="00E44A72"/>
    <w:rsid w:val="00E44CF2"/>
    <w:rsid w:val="00E450E3"/>
    <w:rsid w:val="00E4552E"/>
    <w:rsid w:val="00E45539"/>
    <w:rsid w:val="00E45683"/>
    <w:rsid w:val="00E45726"/>
    <w:rsid w:val="00E457A4"/>
    <w:rsid w:val="00E45AC5"/>
    <w:rsid w:val="00E45E4D"/>
    <w:rsid w:val="00E460E4"/>
    <w:rsid w:val="00E4612B"/>
    <w:rsid w:val="00E46256"/>
    <w:rsid w:val="00E463E2"/>
    <w:rsid w:val="00E467C6"/>
    <w:rsid w:val="00E469DC"/>
    <w:rsid w:val="00E46F15"/>
    <w:rsid w:val="00E472EB"/>
    <w:rsid w:val="00E4772E"/>
    <w:rsid w:val="00E479B8"/>
    <w:rsid w:val="00E47E78"/>
    <w:rsid w:val="00E50C0B"/>
    <w:rsid w:val="00E50CD5"/>
    <w:rsid w:val="00E50CFC"/>
    <w:rsid w:val="00E50DB1"/>
    <w:rsid w:val="00E50E46"/>
    <w:rsid w:val="00E50E68"/>
    <w:rsid w:val="00E515AB"/>
    <w:rsid w:val="00E515AE"/>
    <w:rsid w:val="00E51FC9"/>
    <w:rsid w:val="00E52642"/>
    <w:rsid w:val="00E5273D"/>
    <w:rsid w:val="00E52765"/>
    <w:rsid w:val="00E52974"/>
    <w:rsid w:val="00E52A3C"/>
    <w:rsid w:val="00E52BF2"/>
    <w:rsid w:val="00E52FED"/>
    <w:rsid w:val="00E530EC"/>
    <w:rsid w:val="00E53AA8"/>
    <w:rsid w:val="00E53B6B"/>
    <w:rsid w:val="00E53F5B"/>
    <w:rsid w:val="00E540A9"/>
    <w:rsid w:val="00E541C2"/>
    <w:rsid w:val="00E545C7"/>
    <w:rsid w:val="00E54DD9"/>
    <w:rsid w:val="00E55193"/>
    <w:rsid w:val="00E55681"/>
    <w:rsid w:val="00E55717"/>
    <w:rsid w:val="00E55F53"/>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3F4D"/>
    <w:rsid w:val="00E6417C"/>
    <w:rsid w:val="00E643F0"/>
    <w:rsid w:val="00E64565"/>
    <w:rsid w:val="00E64B73"/>
    <w:rsid w:val="00E65B8F"/>
    <w:rsid w:val="00E65C85"/>
    <w:rsid w:val="00E663B6"/>
    <w:rsid w:val="00E66692"/>
    <w:rsid w:val="00E66B2E"/>
    <w:rsid w:val="00E66B53"/>
    <w:rsid w:val="00E66D6E"/>
    <w:rsid w:val="00E66ECC"/>
    <w:rsid w:val="00E6754F"/>
    <w:rsid w:val="00E6755E"/>
    <w:rsid w:val="00E67790"/>
    <w:rsid w:val="00E677EF"/>
    <w:rsid w:val="00E6783D"/>
    <w:rsid w:val="00E678BE"/>
    <w:rsid w:val="00E67B34"/>
    <w:rsid w:val="00E67D56"/>
    <w:rsid w:val="00E67EF6"/>
    <w:rsid w:val="00E701E6"/>
    <w:rsid w:val="00E702AD"/>
    <w:rsid w:val="00E70343"/>
    <w:rsid w:val="00E70D8F"/>
    <w:rsid w:val="00E70F19"/>
    <w:rsid w:val="00E70F32"/>
    <w:rsid w:val="00E7110B"/>
    <w:rsid w:val="00E712E2"/>
    <w:rsid w:val="00E71463"/>
    <w:rsid w:val="00E7196D"/>
    <w:rsid w:val="00E71B4E"/>
    <w:rsid w:val="00E71DB7"/>
    <w:rsid w:val="00E7206C"/>
    <w:rsid w:val="00E726E0"/>
    <w:rsid w:val="00E7295C"/>
    <w:rsid w:val="00E72D7D"/>
    <w:rsid w:val="00E72E57"/>
    <w:rsid w:val="00E73045"/>
    <w:rsid w:val="00E73501"/>
    <w:rsid w:val="00E737D2"/>
    <w:rsid w:val="00E742BD"/>
    <w:rsid w:val="00E7469D"/>
    <w:rsid w:val="00E74832"/>
    <w:rsid w:val="00E7483D"/>
    <w:rsid w:val="00E74CA6"/>
    <w:rsid w:val="00E75601"/>
    <w:rsid w:val="00E75667"/>
    <w:rsid w:val="00E75733"/>
    <w:rsid w:val="00E75843"/>
    <w:rsid w:val="00E75927"/>
    <w:rsid w:val="00E76777"/>
    <w:rsid w:val="00E76C37"/>
    <w:rsid w:val="00E76F8E"/>
    <w:rsid w:val="00E7709B"/>
    <w:rsid w:val="00E771AD"/>
    <w:rsid w:val="00E772C8"/>
    <w:rsid w:val="00E7733E"/>
    <w:rsid w:val="00E7737C"/>
    <w:rsid w:val="00E77542"/>
    <w:rsid w:val="00E77602"/>
    <w:rsid w:val="00E800E0"/>
    <w:rsid w:val="00E80144"/>
    <w:rsid w:val="00E8018F"/>
    <w:rsid w:val="00E8047F"/>
    <w:rsid w:val="00E807A8"/>
    <w:rsid w:val="00E8091A"/>
    <w:rsid w:val="00E80AF5"/>
    <w:rsid w:val="00E80C13"/>
    <w:rsid w:val="00E80C9F"/>
    <w:rsid w:val="00E8119D"/>
    <w:rsid w:val="00E8135D"/>
    <w:rsid w:val="00E8139B"/>
    <w:rsid w:val="00E81576"/>
    <w:rsid w:val="00E81AD9"/>
    <w:rsid w:val="00E81F8C"/>
    <w:rsid w:val="00E82080"/>
    <w:rsid w:val="00E82723"/>
    <w:rsid w:val="00E82A6E"/>
    <w:rsid w:val="00E82D76"/>
    <w:rsid w:val="00E82EC6"/>
    <w:rsid w:val="00E82EEF"/>
    <w:rsid w:val="00E84056"/>
    <w:rsid w:val="00E84174"/>
    <w:rsid w:val="00E84A1E"/>
    <w:rsid w:val="00E84B03"/>
    <w:rsid w:val="00E8514B"/>
    <w:rsid w:val="00E857B2"/>
    <w:rsid w:val="00E857C0"/>
    <w:rsid w:val="00E85C9C"/>
    <w:rsid w:val="00E8622F"/>
    <w:rsid w:val="00E865C9"/>
    <w:rsid w:val="00E868A8"/>
    <w:rsid w:val="00E869D8"/>
    <w:rsid w:val="00E86AB6"/>
    <w:rsid w:val="00E870DC"/>
    <w:rsid w:val="00E87149"/>
    <w:rsid w:val="00E87210"/>
    <w:rsid w:val="00E87257"/>
    <w:rsid w:val="00E87262"/>
    <w:rsid w:val="00E87841"/>
    <w:rsid w:val="00E87A62"/>
    <w:rsid w:val="00E87BF9"/>
    <w:rsid w:val="00E87C87"/>
    <w:rsid w:val="00E87E17"/>
    <w:rsid w:val="00E90055"/>
    <w:rsid w:val="00E901C2"/>
    <w:rsid w:val="00E90E25"/>
    <w:rsid w:val="00E910DB"/>
    <w:rsid w:val="00E91797"/>
    <w:rsid w:val="00E919B4"/>
    <w:rsid w:val="00E9221B"/>
    <w:rsid w:val="00E92816"/>
    <w:rsid w:val="00E9281C"/>
    <w:rsid w:val="00E92AA7"/>
    <w:rsid w:val="00E936C5"/>
    <w:rsid w:val="00E9373C"/>
    <w:rsid w:val="00E93762"/>
    <w:rsid w:val="00E93BA1"/>
    <w:rsid w:val="00E93C0C"/>
    <w:rsid w:val="00E93E38"/>
    <w:rsid w:val="00E942E9"/>
    <w:rsid w:val="00E94981"/>
    <w:rsid w:val="00E949F0"/>
    <w:rsid w:val="00E94C3E"/>
    <w:rsid w:val="00E95092"/>
    <w:rsid w:val="00E954F0"/>
    <w:rsid w:val="00E959CB"/>
    <w:rsid w:val="00E95A12"/>
    <w:rsid w:val="00E95CD6"/>
    <w:rsid w:val="00E965C0"/>
    <w:rsid w:val="00E96630"/>
    <w:rsid w:val="00E96D90"/>
    <w:rsid w:val="00E96EFF"/>
    <w:rsid w:val="00E975EC"/>
    <w:rsid w:val="00E97D76"/>
    <w:rsid w:val="00EA0529"/>
    <w:rsid w:val="00EA054F"/>
    <w:rsid w:val="00EA0A95"/>
    <w:rsid w:val="00EA0ACE"/>
    <w:rsid w:val="00EA112D"/>
    <w:rsid w:val="00EA13CF"/>
    <w:rsid w:val="00EA185C"/>
    <w:rsid w:val="00EA188F"/>
    <w:rsid w:val="00EA18CF"/>
    <w:rsid w:val="00EA1C09"/>
    <w:rsid w:val="00EA2141"/>
    <w:rsid w:val="00EA21DF"/>
    <w:rsid w:val="00EA248E"/>
    <w:rsid w:val="00EA24A3"/>
    <w:rsid w:val="00EA2515"/>
    <w:rsid w:val="00EA2BD9"/>
    <w:rsid w:val="00EA2E9D"/>
    <w:rsid w:val="00EA3062"/>
    <w:rsid w:val="00EA317A"/>
    <w:rsid w:val="00EA32F9"/>
    <w:rsid w:val="00EA3362"/>
    <w:rsid w:val="00EA3470"/>
    <w:rsid w:val="00EA34F0"/>
    <w:rsid w:val="00EA354A"/>
    <w:rsid w:val="00EA398C"/>
    <w:rsid w:val="00EA3B14"/>
    <w:rsid w:val="00EA3F4F"/>
    <w:rsid w:val="00EA4124"/>
    <w:rsid w:val="00EA4592"/>
    <w:rsid w:val="00EA4612"/>
    <w:rsid w:val="00EA4816"/>
    <w:rsid w:val="00EA490B"/>
    <w:rsid w:val="00EA4A90"/>
    <w:rsid w:val="00EA4AAC"/>
    <w:rsid w:val="00EA4BA3"/>
    <w:rsid w:val="00EA50B5"/>
    <w:rsid w:val="00EA50D4"/>
    <w:rsid w:val="00EA5283"/>
    <w:rsid w:val="00EA54DC"/>
    <w:rsid w:val="00EA57D0"/>
    <w:rsid w:val="00EA5869"/>
    <w:rsid w:val="00EA58B4"/>
    <w:rsid w:val="00EA5EFA"/>
    <w:rsid w:val="00EA62F4"/>
    <w:rsid w:val="00EA6437"/>
    <w:rsid w:val="00EA6DA2"/>
    <w:rsid w:val="00EA6E87"/>
    <w:rsid w:val="00EA6F1F"/>
    <w:rsid w:val="00EA7255"/>
    <w:rsid w:val="00EA7366"/>
    <w:rsid w:val="00EA764A"/>
    <w:rsid w:val="00EA79D1"/>
    <w:rsid w:val="00EA7E5C"/>
    <w:rsid w:val="00EB01C3"/>
    <w:rsid w:val="00EB02F0"/>
    <w:rsid w:val="00EB081A"/>
    <w:rsid w:val="00EB0F16"/>
    <w:rsid w:val="00EB1150"/>
    <w:rsid w:val="00EB135B"/>
    <w:rsid w:val="00EB1448"/>
    <w:rsid w:val="00EB199F"/>
    <w:rsid w:val="00EB1F4C"/>
    <w:rsid w:val="00EB263A"/>
    <w:rsid w:val="00EB28B3"/>
    <w:rsid w:val="00EB2FB2"/>
    <w:rsid w:val="00EB3048"/>
    <w:rsid w:val="00EB321C"/>
    <w:rsid w:val="00EB3243"/>
    <w:rsid w:val="00EB32B1"/>
    <w:rsid w:val="00EB3347"/>
    <w:rsid w:val="00EB3444"/>
    <w:rsid w:val="00EB3733"/>
    <w:rsid w:val="00EB3864"/>
    <w:rsid w:val="00EB3892"/>
    <w:rsid w:val="00EB3BF2"/>
    <w:rsid w:val="00EB3D1B"/>
    <w:rsid w:val="00EB40B1"/>
    <w:rsid w:val="00EB4156"/>
    <w:rsid w:val="00EB4583"/>
    <w:rsid w:val="00EB4676"/>
    <w:rsid w:val="00EB4891"/>
    <w:rsid w:val="00EB4928"/>
    <w:rsid w:val="00EB4937"/>
    <w:rsid w:val="00EB5208"/>
    <w:rsid w:val="00EB54A1"/>
    <w:rsid w:val="00EB57CE"/>
    <w:rsid w:val="00EB5862"/>
    <w:rsid w:val="00EB5B79"/>
    <w:rsid w:val="00EB6963"/>
    <w:rsid w:val="00EB6B84"/>
    <w:rsid w:val="00EB6CB8"/>
    <w:rsid w:val="00EB6D91"/>
    <w:rsid w:val="00EB6DBF"/>
    <w:rsid w:val="00EB70F8"/>
    <w:rsid w:val="00EB72B6"/>
    <w:rsid w:val="00EB7471"/>
    <w:rsid w:val="00EB7537"/>
    <w:rsid w:val="00EB77ED"/>
    <w:rsid w:val="00EB7902"/>
    <w:rsid w:val="00EC0AAB"/>
    <w:rsid w:val="00EC0AC2"/>
    <w:rsid w:val="00EC0F29"/>
    <w:rsid w:val="00EC126D"/>
    <w:rsid w:val="00EC160A"/>
    <w:rsid w:val="00EC1B0B"/>
    <w:rsid w:val="00EC20BA"/>
    <w:rsid w:val="00EC20FD"/>
    <w:rsid w:val="00EC2320"/>
    <w:rsid w:val="00EC2526"/>
    <w:rsid w:val="00EC2796"/>
    <w:rsid w:val="00EC2801"/>
    <w:rsid w:val="00EC2843"/>
    <w:rsid w:val="00EC2C34"/>
    <w:rsid w:val="00EC2C7D"/>
    <w:rsid w:val="00EC3594"/>
    <w:rsid w:val="00EC362A"/>
    <w:rsid w:val="00EC3CB6"/>
    <w:rsid w:val="00EC3CDB"/>
    <w:rsid w:val="00EC3E30"/>
    <w:rsid w:val="00EC491B"/>
    <w:rsid w:val="00EC4E3A"/>
    <w:rsid w:val="00EC501A"/>
    <w:rsid w:val="00EC505F"/>
    <w:rsid w:val="00EC50D6"/>
    <w:rsid w:val="00EC53E3"/>
    <w:rsid w:val="00EC5AF9"/>
    <w:rsid w:val="00EC5EA2"/>
    <w:rsid w:val="00EC65E5"/>
    <w:rsid w:val="00EC6AB1"/>
    <w:rsid w:val="00EC6BA9"/>
    <w:rsid w:val="00EC6D11"/>
    <w:rsid w:val="00EC6E8B"/>
    <w:rsid w:val="00EC75D4"/>
    <w:rsid w:val="00EC75E0"/>
    <w:rsid w:val="00EC763A"/>
    <w:rsid w:val="00EC7779"/>
    <w:rsid w:val="00EC77F5"/>
    <w:rsid w:val="00EC7B4A"/>
    <w:rsid w:val="00EC7EA5"/>
    <w:rsid w:val="00ED0215"/>
    <w:rsid w:val="00ED0330"/>
    <w:rsid w:val="00ED0D54"/>
    <w:rsid w:val="00ED0EDE"/>
    <w:rsid w:val="00ED0F62"/>
    <w:rsid w:val="00ED12B5"/>
    <w:rsid w:val="00ED170B"/>
    <w:rsid w:val="00ED1864"/>
    <w:rsid w:val="00ED1A0E"/>
    <w:rsid w:val="00ED1A9B"/>
    <w:rsid w:val="00ED1CC9"/>
    <w:rsid w:val="00ED1CD7"/>
    <w:rsid w:val="00ED1F1A"/>
    <w:rsid w:val="00ED2512"/>
    <w:rsid w:val="00ED2DEB"/>
    <w:rsid w:val="00ED314A"/>
    <w:rsid w:val="00ED31CE"/>
    <w:rsid w:val="00ED3844"/>
    <w:rsid w:val="00ED3940"/>
    <w:rsid w:val="00ED3988"/>
    <w:rsid w:val="00ED3A45"/>
    <w:rsid w:val="00ED3D6D"/>
    <w:rsid w:val="00ED449F"/>
    <w:rsid w:val="00ED4923"/>
    <w:rsid w:val="00ED4D9D"/>
    <w:rsid w:val="00ED4DD0"/>
    <w:rsid w:val="00ED544E"/>
    <w:rsid w:val="00ED5721"/>
    <w:rsid w:val="00ED5A0E"/>
    <w:rsid w:val="00ED5C0C"/>
    <w:rsid w:val="00ED5CF1"/>
    <w:rsid w:val="00ED6195"/>
    <w:rsid w:val="00ED6600"/>
    <w:rsid w:val="00ED6757"/>
    <w:rsid w:val="00ED6A1E"/>
    <w:rsid w:val="00ED6A7B"/>
    <w:rsid w:val="00ED6E4D"/>
    <w:rsid w:val="00ED6F12"/>
    <w:rsid w:val="00ED7146"/>
    <w:rsid w:val="00ED7348"/>
    <w:rsid w:val="00ED73B2"/>
    <w:rsid w:val="00ED7826"/>
    <w:rsid w:val="00ED7CFC"/>
    <w:rsid w:val="00EE0333"/>
    <w:rsid w:val="00EE03F8"/>
    <w:rsid w:val="00EE0428"/>
    <w:rsid w:val="00EE0571"/>
    <w:rsid w:val="00EE0ADD"/>
    <w:rsid w:val="00EE0C60"/>
    <w:rsid w:val="00EE11E3"/>
    <w:rsid w:val="00EE128B"/>
    <w:rsid w:val="00EE12A6"/>
    <w:rsid w:val="00EE1A2F"/>
    <w:rsid w:val="00EE1B46"/>
    <w:rsid w:val="00EE1F1A"/>
    <w:rsid w:val="00EE20CF"/>
    <w:rsid w:val="00EE225E"/>
    <w:rsid w:val="00EE2395"/>
    <w:rsid w:val="00EE254E"/>
    <w:rsid w:val="00EE265D"/>
    <w:rsid w:val="00EE28C3"/>
    <w:rsid w:val="00EE2903"/>
    <w:rsid w:val="00EE2C7E"/>
    <w:rsid w:val="00EE2D04"/>
    <w:rsid w:val="00EE2F0F"/>
    <w:rsid w:val="00EE3740"/>
    <w:rsid w:val="00EE38C2"/>
    <w:rsid w:val="00EE3EE0"/>
    <w:rsid w:val="00EE3EE5"/>
    <w:rsid w:val="00EE42B4"/>
    <w:rsid w:val="00EE4418"/>
    <w:rsid w:val="00EE4522"/>
    <w:rsid w:val="00EE455C"/>
    <w:rsid w:val="00EE4593"/>
    <w:rsid w:val="00EE4679"/>
    <w:rsid w:val="00EE4762"/>
    <w:rsid w:val="00EE4822"/>
    <w:rsid w:val="00EE48B4"/>
    <w:rsid w:val="00EE4911"/>
    <w:rsid w:val="00EE4AEC"/>
    <w:rsid w:val="00EE4F95"/>
    <w:rsid w:val="00EE50F7"/>
    <w:rsid w:val="00EE55B5"/>
    <w:rsid w:val="00EE56B1"/>
    <w:rsid w:val="00EE597C"/>
    <w:rsid w:val="00EE6334"/>
    <w:rsid w:val="00EE6406"/>
    <w:rsid w:val="00EE6606"/>
    <w:rsid w:val="00EE7340"/>
    <w:rsid w:val="00EE75BE"/>
    <w:rsid w:val="00EE75DE"/>
    <w:rsid w:val="00EE79FD"/>
    <w:rsid w:val="00EE7DF2"/>
    <w:rsid w:val="00EE7FDA"/>
    <w:rsid w:val="00EF01D2"/>
    <w:rsid w:val="00EF02BC"/>
    <w:rsid w:val="00EF0D63"/>
    <w:rsid w:val="00EF0D88"/>
    <w:rsid w:val="00EF0F0D"/>
    <w:rsid w:val="00EF105A"/>
    <w:rsid w:val="00EF12C4"/>
    <w:rsid w:val="00EF1618"/>
    <w:rsid w:val="00EF1969"/>
    <w:rsid w:val="00EF19C5"/>
    <w:rsid w:val="00EF1A72"/>
    <w:rsid w:val="00EF1A88"/>
    <w:rsid w:val="00EF1ACC"/>
    <w:rsid w:val="00EF202A"/>
    <w:rsid w:val="00EF20DB"/>
    <w:rsid w:val="00EF26BE"/>
    <w:rsid w:val="00EF29DB"/>
    <w:rsid w:val="00EF33EA"/>
    <w:rsid w:val="00EF3627"/>
    <w:rsid w:val="00EF398E"/>
    <w:rsid w:val="00EF3FC6"/>
    <w:rsid w:val="00EF4192"/>
    <w:rsid w:val="00EF4677"/>
    <w:rsid w:val="00EF4822"/>
    <w:rsid w:val="00EF483E"/>
    <w:rsid w:val="00EF4883"/>
    <w:rsid w:val="00EF4EBA"/>
    <w:rsid w:val="00EF558D"/>
    <w:rsid w:val="00EF5849"/>
    <w:rsid w:val="00EF5B43"/>
    <w:rsid w:val="00EF5CF7"/>
    <w:rsid w:val="00EF638C"/>
    <w:rsid w:val="00EF67F4"/>
    <w:rsid w:val="00EF6BC2"/>
    <w:rsid w:val="00EF6D2D"/>
    <w:rsid w:val="00EF7012"/>
    <w:rsid w:val="00EF74FC"/>
    <w:rsid w:val="00EF79D1"/>
    <w:rsid w:val="00EF7A99"/>
    <w:rsid w:val="00EF7BFE"/>
    <w:rsid w:val="00F00400"/>
    <w:rsid w:val="00F0040F"/>
    <w:rsid w:val="00F008BA"/>
    <w:rsid w:val="00F00D08"/>
    <w:rsid w:val="00F00FA9"/>
    <w:rsid w:val="00F01527"/>
    <w:rsid w:val="00F0156D"/>
    <w:rsid w:val="00F017F9"/>
    <w:rsid w:val="00F01DA2"/>
    <w:rsid w:val="00F0217B"/>
    <w:rsid w:val="00F0227B"/>
    <w:rsid w:val="00F02A3C"/>
    <w:rsid w:val="00F02C93"/>
    <w:rsid w:val="00F02F68"/>
    <w:rsid w:val="00F0301D"/>
    <w:rsid w:val="00F0306A"/>
    <w:rsid w:val="00F03446"/>
    <w:rsid w:val="00F0344B"/>
    <w:rsid w:val="00F035E6"/>
    <w:rsid w:val="00F0361C"/>
    <w:rsid w:val="00F03A9B"/>
    <w:rsid w:val="00F03B14"/>
    <w:rsid w:val="00F03C6E"/>
    <w:rsid w:val="00F03F5E"/>
    <w:rsid w:val="00F0423B"/>
    <w:rsid w:val="00F04409"/>
    <w:rsid w:val="00F0446C"/>
    <w:rsid w:val="00F0479D"/>
    <w:rsid w:val="00F04822"/>
    <w:rsid w:val="00F04B6F"/>
    <w:rsid w:val="00F04D80"/>
    <w:rsid w:val="00F05196"/>
    <w:rsid w:val="00F056D9"/>
    <w:rsid w:val="00F05A2A"/>
    <w:rsid w:val="00F05A6C"/>
    <w:rsid w:val="00F05B8A"/>
    <w:rsid w:val="00F06068"/>
    <w:rsid w:val="00F06308"/>
    <w:rsid w:val="00F065E8"/>
    <w:rsid w:val="00F06613"/>
    <w:rsid w:val="00F06912"/>
    <w:rsid w:val="00F06BFD"/>
    <w:rsid w:val="00F07091"/>
    <w:rsid w:val="00F07122"/>
    <w:rsid w:val="00F074D0"/>
    <w:rsid w:val="00F0753E"/>
    <w:rsid w:val="00F0774E"/>
    <w:rsid w:val="00F07E65"/>
    <w:rsid w:val="00F1009B"/>
    <w:rsid w:val="00F1021A"/>
    <w:rsid w:val="00F102E2"/>
    <w:rsid w:val="00F10657"/>
    <w:rsid w:val="00F10969"/>
    <w:rsid w:val="00F1103F"/>
    <w:rsid w:val="00F11B62"/>
    <w:rsid w:val="00F11D94"/>
    <w:rsid w:val="00F121C1"/>
    <w:rsid w:val="00F12223"/>
    <w:rsid w:val="00F12758"/>
    <w:rsid w:val="00F12A43"/>
    <w:rsid w:val="00F12C4F"/>
    <w:rsid w:val="00F1336D"/>
    <w:rsid w:val="00F13534"/>
    <w:rsid w:val="00F1384F"/>
    <w:rsid w:val="00F139DD"/>
    <w:rsid w:val="00F13BA7"/>
    <w:rsid w:val="00F14117"/>
    <w:rsid w:val="00F14460"/>
    <w:rsid w:val="00F1446A"/>
    <w:rsid w:val="00F14513"/>
    <w:rsid w:val="00F14633"/>
    <w:rsid w:val="00F148F2"/>
    <w:rsid w:val="00F14CF4"/>
    <w:rsid w:val="00F14D7F"/>
    <w:rsid w:val="00F14EC8"/>
    <w:rsid w:val="00F15405"/>
    <w:rsid w:val="00F15621"/>
    <w:rsid w:val="00F156F5"/>
    <w:rsid w:val="00F1599F"/>
    <w:rsid w:val="00F15E6A"/>
    <w:rsid w:val="00F15F29"/>
    <w:rsid w:val="00F1600B"/>
    <w:rsid w:val="00F160BE"/>
    <w:rsid w:val="00F16238"/>
    <w:rsid w:val="00F16361"/>
    <w:rsid w:val="00F16579"/>
    <w:rsid w:val="00F166FE"/>
    <w:rsid w:val="00F16729"/>
    <w:rsid w:val="00F16794"/>
    <w:rsid w:val="00F167FE"/>
    <w:rsid w:val="00F168E4"/>
    <w:rsid w:val="00F16BC3"/>
    <w:rsid w:val="00F16D18"/>
    <w:rsid w:val="00F16F5C"/>
    <w:rsid w:val="00F1715C"/>
    <w:rsid w:val="00F1721A"/>
    <w:rsid w:val="00F1754F"/>
    <w:rsid w:val="00F1776E"/>
    <w:rsid w:val="00F17FEA"/>
    <w:rsid w:val="00F20174"/>
    <w:rsid w:val="00F2031F"/>
    <w:rsid w:val="00F20450"/>
    <w:rsid w:val="00F208DB"/>
    <w:rsid w:val="00F209BF"/>
    <w:rsid w:val="00F20AB5"/>
    <w:rsid w:val="00F20E6B"/>
    <w:rsid w:val="00F21113"/>
    <w:rsid w:val="00F21783"/>
    <w:rsid w:val="00F2182B"/>
    <w:rsid w:val="00F2182C"/>
    <w:rsid w:val="00F21A68"/>
    <w:rsid w:val="00F21B8F"/>
    <w:rsid w:val="00F22394"/>
    <w:rsid w:val="00F223A9"/>
    <w:rsid w:val="00F22478"/>
    <w:rsid w:val="00F22789"/>
    <w:rsid w:val="00F2295B"/>
    <w:rsid w:val="00F22967"/>
    <w:rsid w:val="00F22FCC"/>
    <w:rsid w:val="00F2303A"/>
    <w:rsid w:val="00F2314C"/>
    <w:rsid w:val="00F2346A"/>
    <w:rsid w:val="00F236B8"/>
    <w:rsid w:val="00F2385E"/>
    <w:rsid w:val="00F23F5F"/>
    <w:rsid w:val="00F240D5"/>
    <w:rsid w:val="00F243CF"/>
    <w:rsid w:val="00F24458"/>
    <w:rsid w:val="00F24622"/>
    <w:rsid w:val="00F2476A"/>
    <w:rsid w:val="00F24932"/>
    <w:rsid w:val="00F24948"/>
    <w:rsid w:val="00F24ACB"/>
    <w:rsid w:val="00F252C5"/>
    <w:rsid w:val="00F25369"/>
    <w:rsid w:val="00F2547C"/>
    <w:rsid w:val="00F25C1D"/>
    <w:rsid w:val="00F25E98"/>
    <w:rsid w:val="00F260D2"/>
    <w:rsid w:val="00F266A7"/>
    <w:rsid w:val="00F26880"/>
    <w:rsid w:val="00F268DA"/>
    <w:rsid w:val="00F26E19"/>
    <w:rsid w:val="00F26E1B"/>
    <w:rsid w:val="00F26E62"/>
    <w:rsid w:val="00F275F9"/>
    <w:rsid w:val="00F2778D"/>
    <w:rsid w:val="00F27899"/>
    <w:rsid w:val="00F2799B"/>
    <w:rsid w:val="00F27CD6"/>
    <w:rsid w:val="00F30000"/>
    <w:rsid w:val="00F30137"/>
    <w:rsid w:val="00F3077F"/>
    <w:rsid w:val="00F31010"/>
    <w:rsid w:val="00F3104C"/>
    <w:rsid w:val="00F310A4"/>
    <w:rsid w:val="00F31B8E"/>
    <w:rsid w:val="00F32065"/>
    <w:rsid w:val="00F32210"/>
    <w:rsid w:val="00F32577"/>
    <w:rsid w:val="00F325CB"/>
    <w:rsid w:val="00F325DA"/>
    <w:rsid w:val="00F331FC"/>
    <w:rsid w:val="00F332C1"/>
    <w:rsid w:val="00F336BB"/>
    <w:rsid w:val="00F33D73"/>
    <w:rsid w:val="00F33E74"/>
    <w:rsid w:val="00F33FE1"/>
    <w:rsid w:val="00F33FEF"/>
    <w:rsid w:val="00F3403D"/>
    <w:rsid w:val="00F3407F"/>
    <w:rsid w:val="00F340C0"/>
    <w:rsid w:val="00F342CE"/>
    <w:rsid w:val="00F34318"/>
    <w:rsid w:val="00F3490B"/>
    <w:rsid w:val="00F34B2A"/>
    <w:rsid w:val="00F34D26"/>
    <w:rsid w:val="00F3504E"/>
    <w:rsid w:val="00F3517C"/>
    <w:rsid w:val="00F355D8"/>
    <w:rsid w:val="00F35AFE"/>
    <w:rsid w:val="00F362D6"/>
    <w:rsid w:val="00F36304"/>
    <w:rsid w:val="00F365FE"/>
    <w:rsid w:val="00F3666E"/>
    <w:rsid w:val="00F36A53"/>
    <w:rsid w:val="00F374B4"/>
    <w:rsid w:val="00F37694"/>
    <w:rsid w:val="00F37807"/>
    <w:rsid w:val="00F37986"/>
    <w:rsid w:val="00F379AF"/>
    <w:rsid w:val="00F37AAA"/>
    <w:rsid w:val="00F37AB7"/>
    <w:rsid w:val="00F37F4C"/>
    <w:rsid w:val="00F409D3"/>
    <w:rsid w:val="00F40AC3"/>
    <w:rsid w:val="00F40B89"/>
    <w:rsid w:val="00F40D4B"/>
    <w:rsid w:val="00F40F95"/>
    <w:rsid w:val="00F417AC"/>
    <w:rsid w:val="00F41A18"/>
    <w:rsid w:val="00F42009"/>
    <w:rsid w:val="00F42539"/>
    <w:rsid w:val="00F42564"/>
    <w:rsid w:val="00F42883"/>
    <w:rsid w:val="00F4289C"/>
    <w:rsid w:val="00F42A8E"/>
    <w:rsid w:val="00F42ABF"/>
    <w:rsid w:val="00F42DD0"/>
    <w:rsid w:val="00F42DF6"/>
    <w:rsid w:val="00F42F14"/>
    <w:rsid w:val="00F43373"/>
    <w:rsid w:val="00F43878"/>
    <w:rsid w:val="00F43AC2"/>
    <w:rsid w:val="00F43BBF"/>
    <w:rsid w:val="00F43C2D"/>
    <w:rsid w:val="00F43FB5"/>
    <w:rsid w:val="00F44083"/>
    <w:rsid w:val="00F44107"/>
    <w:rsid w:val="00F4411C"/>
    <w:rsid w:val="00F44416"/>
    <w:rsid w:val="00F45024"/>
    <w:rsid w:val="00F4502D"/>
    <w:rsid w:val="00F4503F"/>
    <w:rsid w:val="00F45109"/>
    <w:rsid w:val="00F45259"/>
    <w:rsid w:val="00F45279"/>
    <w:rsid w:val="00F455AA"/>
    <w:rsid w:val="00F45777"/>
    <w:rsid w:val="00F45BC6"/>
    <w:rsid w:val="00F463D4"/>
    <w:rsid w:val="00F4658E"/>
    <w:rsid w:val="00F46BD2"/>
    <w:rsid w:val="00F4722D"/>
    <w:rsid w:val="00F47566"/>
    <w:rsid w:val="00F47A2B"/>
    <w:rsid w:val="00F47B5F"/>
    <w:rsid w:val="00F504E6"/>
    <w:rsid w:val="00F5121F"/>
    <w:rsid w:val="00F519EE"/>
    <w:rsid w:val="00F51F82"/>
    <w:rsid w:val="00F52486"/>
    <w:rsid w:val="00F529BB"/>
    <w:rsid w:val="00F52A9B"/>
    <w:rsid w:val="00F52C0E"/>
    <w:rsid w:val="00F52C9F"/>
    <w:rsid w:val="00F52D2C"/>
    <w:rsid w:val="00F52DDA"/>
    <w:rsid w:val="00F53071"/>
    <w:rsid w:val="00F53434"/>
    <w:rsid w:val="00F53804"/>
    <w:rsid w:val="00F53FE3"/>
    <w:rsid w:val="00F54238"/>
    <w:rsid w:val="00F549AB"/>
    <w:rsid w:val="00F54AA2"/>
    <w:rsid w:val="00F55283"/>
    <w:rsid w:val="00F5537D"/>
    <w:rsid w:val="00F55457"/>
    <w:rsid w:val="00F556DC"/>
    <w:rsid w:val="00F558DA"/>
    <w:rsid w:val="00F55A11"/>
    <w:rsid w:val="00F55B93"/>
    <w:rsid w:val="00F55CF6"/>
    <w:rsid w:val="00F563B0"/>
    <w:rsid w:val="00F56539"/>
    <w:rsid w:val="00F56724"/>
    <w:rsid w:val="00F56A91"/>
    <w:rsid w:val="00F56B2A"/>
    <w:rsid w:val="00F56BF5"/>
    <w:rsid w:val="00F572EE"/>
    <w:rsid w:val="00F573F2"/>
    <w:rsid w:val="00F574F5"/>
    <w:rsid w:val="00F57DA2"/>
    <w:rsid w:val="00F60271"/>
    <w:rsid w:val="00F604A3"/>
    <w:rsid w:val="00F6059C"/>
    <w:rsid w:val="00F608EB"/>
    <w:rsid w:val="00F60BA7"/>
    <w:rsid w:val="00F60EC1"/>
    <w:rsid w:val="00F6115D"/>
    <w:rsid w:val="00F61367"/>
    <w:rsid w:val="00F61980"/>
    <w:rsid w:val="00F619F8"/>
    <w:rsid w:val="00F61F6B"/>
    <w:rsid w:val="00F622A3"/>
    <w:rsid w:val="00F62541"/>
    <w:rsid w:val="00F626C3"/>
    <w:rsid w:val="00F627B3"/>
    <w:rsid w:val="00F62AFE"/>
    <w:rsid w:val="00F62D97"/>
    <w:rsid w:val="00F63327"/>
    <w:rsid w:val="00F63556"/>
    <w:rsid w:val="00F636B5"/>
    <w:rsid w:val="00F63D53"/>
    <w:rsid w:val="00F63FEA"/>
    <w:rsid w:val="00F6415B"/>
    <w:rsid w:val="00F64CBB"/>
    <w:rsid w:val="00F64D83"/>
    <w:rsid w:val="00F652D3"/>
    <w:rsid w:val="00F65612"/>
    <w:rsid w:val="00F65EB0"/>
    <w:rsid w:val="00F65FDC"/>
    <w:rsid w:val="00F66083"/>
    <w:rsid w:val="00F66937"/>
    <w:rsid w:val="00F6693A"/>
    <w:rsid w:val="00F66BD6"/>
    <w:rsid w:val="00F66DE9"/>
    <w:rsid w:val="00F670A6"/>
    <w:rsid w:val="00F67327"/>
    <w:rsid w:val="00F6745A"/>
    <w:rsid w:val="00F6761E"/>
    <w:rsid w:val="00F67738"/>
    <w:rsid w:val="00F6798D"/>
    <w:rsid w:val="00F67B79"/>
    <w:rsid w:val="00F67BE7"/>
    <w:rsid w:val="00F704AD"/>
    <w:rsid w:val="00F70934"/>
    <w:rsid w:val="00F70A82"/>
    <w:rsid w:val="00F70E16"/>
    <w:rsid w:val="00F70EE1"/>
    <w:rsid w:val="00F71089"/>
    <w:rsid w:val="00F711B0"/>
    <w:rsid w:val="00F7203D"/>
    <w:rsid w:val="00F72474"/>
    <w:rsid w:val="00F727F8"/>
    <w:rsid w:val="00F72C90"/>
    <w:rsid w:val="00F73277"/>
    <w:rsid w:val="00F7331F"/>
    <w:rsid w:val="00F733FC"/>
    <w:rsid w:val="00F738BE"/>
    <w:rsid w:val="00F739D0"/>
    <w:rsid w:val="00F73E68"/>
    <w:rsid w:val="00F7408F"/>
    <w:rsid w:val="00F745D4"/>
    <w:rsid w:val="00F749B2"/>
    <w:rsid w:val="00F74D31"/>
    <w:rsid w:val="00F74FCE"/>
    <w:rsid w:val="00F75033"/>
    <w:rsid w:val="00F750A3"/>
    <w:rsid w:val="00F750E6"/>
    <w:rsid w:val="00F750FF"/>
    <w:rsid w:val="00F7514F"/>
    <w:rsid w:val="00F758E4"/>
    <w:rsid w:val="00F75A16"/>
    <w:rsid w:val="00F75A4E"/>
    <w:rsid w:val="00F75B82"/>
    <w:rsid w:val="00F75F43"/>
    <w:rsid w:val="00F76339"/>
    <w:rsid w:val="00F76889"/>
    <w:rsid w:val="00F76C58"/>
    <w:rsid w:val="00F76DF6"/>
    <w:rsid w:val="00F76ED6"/>
    <w:rsid w:val="00F776C2"/>
    <w:rsid w:val="00F777AE"/>
    <w:rsid w:val="00F778B7"/>
    <w:rsid w:val="00F77C38"/>
    <w:rsid w:val="00F77CF1"/>
    <w:rsid w:val="00F77F56"/>
    <w:rsid w:val="00F809C3"/>
    <w:rsid w:val="00F80D62"/>
    <w:rsid w:val="00F80E70"/>
    <w:rsid w:val="00F81067"/>
    <w:rsid w:val="00F815F0"/>
    <w:rsid w:val="00F815F1"/>
    <w:rsid w:val="00F8190B"/>
    <w:rsid w:val="00F81A8F"/>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1A7"/>
    <w:rsid w:val="00F85220"/>
    <w:rsid w:val="00F85228"/>
    <w:rsid w:val="00F85409"/>
    <w:rsid w:val="00F85574"/>
    <w:rsid w:val="00F85580"/>
    <w:rsid w:val="00F855DB"/>
    <w:rsid w:val="00F85660"/>
    <w:rsid w:val="00F856DB"/>
    <w:rsid w:val="00F858ED"/>
    <w:rsid w:val="00F86137"/>
    <w:rsid w:val="00F861F4"/>
    <w:rsid w:val="00F863B8"/>
    <w:rsid w:val="00F8660A"/>
    <w:rsid w:val="00F86A81"/>
    <w:rsid w:val="00F86C3C"/>
    <w:rsid w:val="00F86C5D"/>
    <w:rsid w:val="00F86D53"/>
    <w:rsid w:val="00F86F93"/>
    <w:rsid w:val="00F87292"/>
    <w:rsid w:val="00F87418"/>
    <w:rsid w:val="00F8763B"/>
    <w:rsid w:val="00F87665"/>
    <w:rsid w:val="00F87849"/>
    <w:rsid w:val="00F87A03"/>
    <w:rsid w:val="00F87A43"/>
    <w:rsid w:val="00F87AF9"/>
    <w:rsid w:val="00F87B3D"/>
    <w:rsid w:val="00F87F5B"/>
    <w:rsid w:val="00F9021E"/>
    <w:rsid w:val="00F903AD"/>
    <w:rsid w:val="00F903B0"/>
    <w:rsid w:val="00F904E1"/>
    <w:rsid w:val="00F906CB"/>
    <w:rsid w:val="00F90959"/>
    <w:rsid w:val="00F90BBA"/>
    <w:rsid w:val="00F90BCB"/>
    <w:rsid w:val="00F91558"/>
    <w:rsid w:val="00F91598"/>
    <w:rsid w:val="00F9167C"/>
    <w:rsid w:val="00F9183F"/>
    <w:rsid w:val="00F921B0"/>
    <w:rsid w:val="00F92345"/>
    <w:rsid w:val="00F926C8"/>
    <w:rsid w:val="00F92E57"/>
    <w:rsid w:val="00F92E78"/>
    <w:rsid w:val="00F93073"/>
    <w:rsid w:val="00F9329A"/>
    <w:rsid w:val="00F9346A"/>
    <w:rsid w:val="00F93A33"/>
    <w:rsid w:val="00F93B37"/>
    <w:rsid w:val="00F94284"/>
    <w:rsid w:val="00F94681"/>
    <w:rsid w:val="00F950DC"/>
    <w:rsid w:val="00F95636"/>
    <w:rsid w:val="00F95698"/>
    <w:rsid w:val="00F9595F"/>
    <w:rsid w:val="00F959FC"/>
    <w:rsid w:val="00F9626D"/>
    <w:rsid w:val="00F96274"/>
    <w:rsid w:val="00F962D0"/>
    <w:rsid w:val="00F96352"/>
    <w:rsid w:val="00F963D3"/>
    <w:rsid w:val="00F9652F"/>
    <w:rsid w:val="00F966F7"/>
    <w:rsid w:val="00F96761"/>
    <w:rsid w:val="00F96823"/>
    <w:rsid w:val="00F96901"/>
    <w:rsid w:val="00F96AA2"/>
    <w:rsid w:val="00F96E48"/>
    <w:rsid w:val="00F9725E"/>
    <w:rsid w:val="00F97328"/>
    <w:rsid w:val="00F975EA"/>
    <w:rsid w:val="00F97627"/>
    <w:rsid w:val="00F97789"/>
    <w:rsid w:val="00F97E22"/>
    <w:rsid w:val="00FA002A"/>
    <w:rsid w:val="00FA0097"/>
    <w:rsid w:val="00FA0366"/>
    <w:rsid w:val="00FA04EA"/>
    <w:rsid w:val="00FA0DBC"/>
    <w:rsid w:val="00FA0E13"/>
    <w:rsid w:val="00FA12C9"/>
    <w:rsid w:val="00FA1A87"/>
    <w:rsid w:val="00FA1BBB"/>
    <w:rsid w:val="00FA2227"/>
    <w:rsid w:val="00FA23D5"/>
    <w:rsid w:val="00FA24BE"/>
    <w:rsid w:val="00FA2612"/>
    <w:rsid w:val="00FA2E40"/>
    <w:rsid w:val="00FA2F37"/>
    <w:rsid w:val="00FA3251"/>
    <w:rsid w:val="00FA3286"/>
    <w:rsid w:val="00FA3827"/>
    <w:rsid w:val="00FA3854"/>
    <w:rsid w:val="00FA396F"/>
    <w:rsid w:val="00FA3D12"/>
    <w:rsid w:val="00FA3E42"/>
    <w:rsid w:val="00FA3EFF"/>
    <w:rsid w:val="00FA4361"/>
    <w:rsid w:val="00FA5829"/>
    <w:rsid w:val="00FA5B0F"/>
    <w:rsid w:val="00FA62D7"/>
    <w:rsid w:val="00FA63D9"/>
    <w:rsid w:val="00FA6571"/>
    <w:rsid w:val="00FA6992"/>
    <w:rsid w:val="00FA6A9F"/>
    <w:rsid w:val="00FA6B09"/>
    <w:rsid w:val="00FA6C9D"/>
    <w:rsid w:val="00FA72AF"/>
    <w:rsid w:val="00FA7321"/>
    <w:rsid w:val="00FA76E5"/>
    <w:rsid w:val="00FA770A"/>
    <w:rsid w:val="00FA78BC"/>
    <w:rsid w:val="00FA7A00"/>
    <w:rsid w:val="00FA7B4D"/>
    <w:rsid w:val="00FA7B7F"/>
    <w:rsid w:val="00FA7D6F"/>
    <w:rsid w:val="00FA7FA6"/>
    <w:rsid w:val="00FB0024"/>
    <w:rsid w:val="00FB0706"/>
    <w:rsid w:val="00FB083F"/>
    <w:rsid w:val="00FB1257"/>
    <w:rsid w:val="00FB1305"/>
    <w:rsid w:val="00FB13E6"/>
    <w:rsid w:val="00FB15A6"/>
    <w:rsid w:val="00FB1798"/>
    <w:rsid w:val="00FB1E49"/>
    <w:rsid w:val="00FB22EB"/>
    <w:rsid w:val="00FB2A7C"/>
    <w:rsid w:val="00FB2AED"/>
    <w:rsid w:val="00FB2C67"/>
    <w:rsid w:val="00FB2D9B"/>
    <w:rsid w:val="00FB2FEE"/>
    <w:rsid w:val="00FB3463"/>
    <w:rsid w:val="00FB358C"/>
    <w:rsid w:val="00FB3795"/>
    <w:rsid w:val="00FB3A91"/>
    <w:rsid w:val="00FB3A99"/>
    <w:rsid w:val="00FB3E5F"/>
    <w:rsid w:val="00FB465A"/>
    <w:rsid w:val="00FB4790"/>
    <w:rsid w:val="00FB4EF2"/>
    <w:rsid w:val="00FB561C"/>
    <w:rsid w:val="00FB562C"/>
    <w:rsid w:val="00FB5E46"/>
    <w:rsid w:val="00FB653D"/>
    <w:rsid w:val="00FB656D"/>
    <w:rsid w:val="00FB6B05"/>
    <w:rsid w:val="00FB6C57"/>
    <w:rsid w:val="00FB6CCB"/>
    <w:rsid w:val="00FB6D4C"/>
    <w:rsid w:val="00FB6DA9"/>
    <w:rsid w:val="00FB705F"/>
    <w:rsid w:val="00FB7374"/>
    <w:rsid w:val="00FB7646"/>
    <w:rsid w:val="00FB76A8"/>
    <w:rsid w:val="00FB79ED"/>
    <w:rsid w:val="00FB7D01"/>
    <w:rsid w:val="00FB7DA6"/>
    <w:rsid w:val="00FB7F3A"/>
    <w:rsid w:val="00FC01FF"/>
    <w:rsid w:val="00FC023D"/>
    <w:rsid w:val="00FC0315"/>
    <w:rsid w:val="00FC0447"/>
    <w:rsid w:val="00FC0BCB"/>
    <w:rsid w:val="00FC0D95"/>
    <w:rsid w:val="00FC17B8"/>
    <w:rsid w:val="00FC23EF"/>
    <w:rsid w:val="00FC2AEB"/>
    <w:rsid w:val="00FC2DDA"/>
    <w:rsid w:val="00FC324A"/>
    <w:rsid w:val="00FC35DA"/>
    <w:rsid w:val="00FC385A"/>
    <w:rsid w:val="00FC3A7C"/>
    <w:rsid w:val="00FC3B44"/>
    <w:rsid w:val="00FC4102"/>
    <w:rsid w:val="00FC41F1"/>
    <w:rsid w:val="00FC4268"/>
    <w:rsid w:val="00FC4518"/>
    <w:rsid w:val="00FC490D"/>
    <w:rsid w:val="00FC49B1"/>
    <w:rsid w:val="00FC4B39"/>
    <w:rsid w:val="00FC5281"/>
    <w:rsid w:val="00FC537E"/>
    <w:rsid w:val="00FC549C"/>
    <w:rsid w:val="00FC5A5D"/>
    <w:rsid w:val="00FC5CD2"/>
    <w:rsid w:val="00FC5FEE"/>
    <w:rsid w:val="00FC607B"/>
    <w:rsid w:val="00FC6119"/>
    <w:rsid w:val="00FC65AE"/>
    <w:rsid w:val="00FC7345"/>
    <w:rsid w:val="00FC75B3"/>
    <w:rsid w:val="00FC75D9"/>
    <w:rsid w:val="00FC77C1"/>
    <w:rsid w:val="00FC7D97"/>
    <w:rsid w:val="00FC7EA9"/>
    <w:rsid w:val="00FD00AF"/>
    <w:rsid w:val="00FD00ED"/>
    <w:rsid w:val="00FD04A0"/>
    <w:rsid w:val="00FD0732"/>
    <w:rsid w:val="00FD0D2C"/>
    <w:rsid w:val="00FD0EAA"/>
    <w:rsid w:val="00FD174A"/>
    <w:rsid w:val="00FD1869"/>
    <w:rsid w:val="00FD19A7"/>
    <w:rsid w:val="00FD1B52"/>
    <w:rsid w:val="00FD1CAD"/>
    <w:rsid w:val="00FD1F50"/>
    <w:rsid w:val="00FD2066"/>
    <w:rsid w:val="00FD2407"/>
    <w:rsid w:val="00FD2436"/>
    <w:rsid w:val="00FD2A59"/>
    <w:rsid w:val="00FD2AEA"/>
    <w:rsid w:val="00FD2BDF"/>
    <w:rsid w:val="00FD2C06"/>
    <w:rsid w:val="00FD3054"/>
    <w:rsid w:val="00FD3321"/>
    <w:rsid w:val="00FD3780"/>
    <w:rsid w:val="00FD3863"/>
    <w:rsid w:val="00FD38BE"/>
    <w:rsid w:val="00FD3A16"/>
    <w:rsid w:val="00FD3B5C"/>
    <w:rsid w:val="00FD3D3C"/>
    <w:rsid w:val="00FD3E8C"/>
    <w:rsid w:val="00FD41ED"/>
    <w:rsid w:val="00FD42CD"/>
    <w:rsid w:val="00FD4740"/>
    <w:rsid w:val="00FD4763"/>
    <w:rsid w:val="00FD48E4"/>
    <w:rsid w:val="00FD4A29"/>
    <w:rsid w:val="00FD4A37"/>
    <w:rsid w:val="00FD4C38"/>
    <w:rsid w:val="00FD4EAD"/>
    <w:rsid w:val="00FD4EE0"/>
    <w:rsid w:val="00FD5601"/>
    <w:rsid w:val="00FD5640"/>
    <w:rsid w:val="00FD5924"/>
    <w:rsid w:val="00FD5C8A"/>
    <w:rsid w:val="00FD5CA6"/>
    <w:rsid w:val="00FD5D80"/>
    <w:rsid w:val="00FD6557"/>
    <w:rsid w:val="00FD69FC"/>
    <w:rsid w:val="00FD6AFB"/>
    <w:rsid w:val="00FD6E1F"/>
    <w:rsid w:val="00FD6EFC"/>
    <w:rsid w:val="00FD7119"/>
    <w:rsid w:val="00FD7225"/>
    <w:rsid w:val="00FD780A"/>
    <w:rsid w:val="00FD7B71"/>
    <w:rsid w:val="00FD7D26"/>
    <w:rsid w:val="00FE039C"/>
    <w:rsid w:val="00FE07E4"/>
    <w:rsid w:val="00FE0854"/>
    <w:rsid w:val="00FE08D7"/>
    <w:rsid w:val="00FE092C"/>
    <w:rsid w:val="00FE0A63"/>
    <w:rsid w:val="00FE1019"/>
    <w:rsid w:val="00FE1111"/>
    <w:rsid w:val="00FE126D"/>
    <w:rsid w:val="00FE157C"/>
    <w:rsid w:val="00FE19B5"/>
    <w:rsid w:val="00FE1A78"/>
    <w:rsid w:val="00FE1B7E"/>
    <w:rsid w:val="00FE2039"/>
    <w:rsid w:val="00FE24D9"/>
    <w:rsid w:val="00FE26C8"/>
    <w:rsid w:val="00FE282C"/>
    <w:rsid w:val="00FE28C0"/>
    <w:rsid w:val="00FE2CEC"/>
    <w:rsid w:val="00FE3383"/>
    <w:rsid w:val="00FE3713"/>
    <w:rsid w:val="00FE37C6"/>
    <w:rsid w:val="00FE3CC4"/>
    <w:rsid w:val="00FE3F45"/>
    <w:rsid w:val="00FE4258"/>
    <w:rsid w:val="00FE4346"/>
    <w:rsid w:val="00FE43CC"/>
    <w:rsid w:val="00FE4700"/>
    <w:rsid w:val="00FE4A7F"/>
    <w:rsid w:val="00FE4AB4"/>
    <w:rsid w:val="00FE4DAC"/>
    <w:rsid w:val="00FE4EE1"/>
    <w:rsid w:val="00FE5171"/>
    <w:rsid w:val="00FE58FB"/>
    <w:rsid w:val="00FE5C69"/>
    <w:rsid w:val="00FE5FDB"/>
    <w:rsid w:val="00FE6DA1"/>
    <w:rsid w:val="00FE7F01"/>
    <w:rsid w:val="00FF0057"/>
    <w:rsid w:val="00FF037D"/>
    <w:rsid w:val="00FF04DF"/>
    <w:rsid w:val="00FF04EA"/>
    <w:rsid w:val="00FF051C"/>
    <w:rsid w:val="00FF0692"/>
    <w:rsid w:val="00FF06E6"/>
    <w:rsid w:val="00FF0724"/>
    <w:rsid w:val="00FF09C7"/>
    <w:rsid w:val="00FF0A9F"/>
    <w:rsid w:val="00FF0C2E"/>
    <w:rsid w:val="00FF0DFA"/>
    <w:rsid w:val="00FF0FE7"/>
    <w:rsid w:val="00FF11AA"/>
    <w:rsid w:val="00FF14D4"/>
    <w:rsid w:val="00FF15B7"/>
    <w:rsid w:val="00FF179F"/>
    <w:rsid w:val="00FF186E"/>
    <w:rsid w:val="00FF18D3"/>
    <w:rsid w:val="00FF1A00"/>
    <w:rsid w:val="00FF1B8A"/>
    <w:rsid w:val="00FF1BDF"/>
    <w:rsid w:val="00FF1E09"/>
    <w:rsid w:val="00FF1F10"/>
    <w:rsid w:val="00FF20DA"/>
    <w:rsid w:val="00FF211F"/>
    <w:rsid w:val="00FF2141"/>
    <w:rsid w:val="00FF232F"/>
    <w:rsid w:val="00FF2437"/>
    <w:rsid w:val="00FF296F"/>
    <w:rsid w:val="00FF2B03"/>
    <w:rsid w:val="00FF3488"/>
    <w:rsid w:val="00FF34F2"/>
    <w:rsid w:val="00FF4051"/>
    <w:rsid w:val="00FF428D"/>
    <w:rsid w:val="00FF4382"/>
    <w:rsid w:val="00FF4509"/>
    <w:rsid w:val="00FF4EEA"/>
    <w:rsid w:val="00FF552E"/>
    <w:rsid w:val="00FF5725"/>
    <w:rsid w:val="00FF5B4F"/>
    <w:rsid w:val="00FF5E73"/>
    <w:rsid w:val="00FF5E85"/>
    <w:rsid w:val="00FF5EB0"/>
    <w:rsid w:val="00FF5F3E"/>
    <w:rsid w:val="00FF60A4"/>
    <w:rsid w:val="00FF6482"/>
    <w:rsid w:val="00FF6763"/>
    <w:rsid w:val="00FF677D"/>
    <w:rsid w:val="00FF716A"/>
    <w:rsid w:val="00FF7228"/>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20E311A1-2744-4444-AC68-9EF18901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0"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C8D"/>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uiPriority w:val="9"/>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1"/>
    <w:qFormat/>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FB1E49"/>
    <w:pPr>
      <w:keepNext/>
      <w:suppressLineNumbers/>
      <w:tabs>
        <w:tab w:val="right" w:leader="dot" w:pos="9360"/>
      </w:tabs>
      <w:spacing w:before="60" w:after="60"/>
      <w:ind w:left="2016" w:right="360" w:hanging="2016"/>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semiHidden/>
    <w:unhideWhenUsed/>
    <w:rsid w:val="0038520D"/>
    <w:pPr>
      <w:spacing w:after="0"/>
    </w:pPr>
    <w:rPr>
      <w:szCs w:val="20"/>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uiPriority w:val="99"/>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iPriority w:val="99"/>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qFormat/>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qFormat/>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qFormat/>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uiPriority w:val="99"/>
    <w:rsid w:val="00103114"/>
    <w:pPr>
      <w:spacing w:after="0"/>
      <w:jc w:val="left"/>
    </w:pPr>
    <w:rPr>
      <w:rFonts w:eastAsia="Times New Roman"/>
      <w:szCs w:val="20"/>
    </w:rPr>
  </w:style>
  <w:style w:type="character" w:customStyle="1" w:styleId="CommentTextChar">
    <w:name w:val="Comment Text Char"/>
    <w:link w:val="CommentText"/>
    <w:uiPriority w:val="99"/>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iPriority w:val="99"/>
    <w:unhideWhenUsed/>
    <w:rsid w:val="0091570A"/>
    <w:pPr>
      <w:spacing w:after="240"/>
      <w:jc w:val="both"/>
    </w:pPr>
    <w:rPr>
      <w:rFonts w:eastAsia="Calibri"/>
      <w:b/>
      <w:bCs/>
    </w:rPr>
  </w:style>
  <w:style w:type="character" w:customStyle="1" w:styleId="CommentSubjectChar">
    <w:name w:val="Comment Subject Char"/>
    <w:link w:val="CommentSubject"/>
    <w:uiPriority w:val="99"/>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34"/>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link w:val="NoSpacingChar"/>
    <w:uiPriority w:val="1"/>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qFormat/>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29"/>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 w:type="paragraph" w:customStyle="1" w:styleId="EngineFuelTOC2ndLevel10ptAfter12pt">
    <w:name w:val="EngineFuelTOC2ndLevel + 10 pt After:  12 pt"/>
    <w:basedOn w:val="Normal"/>
    <w:qFormat/>
    <w:rsid w:val="0064406A"/>
    <w:pPr>
      <w:tabs>
        <w:tab w:val="left" w:pos="547"/>
      </w:tabs>
      <w:suppressAutoHyphens/>
      <w:jc w:val="left"/>
    </w:pPr>
    <w:rPr>
      <w:rFonts w:ascii="Liberation Serif" w:eastAsia="Times New Roman" w:hAnsi="Liberation Serif"/>
      <w:bCs/>
      <w:kern w:val="2"/>
      <w:szCs w:val="20"/>
      <w:lang w:eastAsia="zh-CN" w:bidi="hi-IN"/>
    </w:rPr>
  </w:style>
  <w:style w:type="paragraph" w:customStyle="1" w:styleId="Normal10pt">
    <w:name w:val="Normal_10pt"/>
    <w:basedOn w:val="Normal"/>
    <w:rsid w:val="004411C7"/>
    <w:pPr>
      <w:spacing w:after="0"/>
    </w:pPr>
    <w:rPr>
      <w:rFonts w:eastAsia="Times New Roman"/>
      <w:color w:val="000000"/>
      <w:sz w:val="22"/>
      <w:szCs w:val="24"/>
    </w:rPr>
  </w:style>
  <w:style w:type="character" w:customStyle="1" w:styleId="StyleHyperlink11pt">
    <w:name w:val="Style Hyperlink + 11 pt"/>
    <w:basedOn w:val="Hyperlink"/>
    <w:rsid w:val="004411C7"/>
    <w:rPr>
      <w:rFonts w:ascii="Times New Roman" w:hAnsi="Times New Roman"/>
      <w:b w:val="0"/>
      <w:bCs/>
      <w:i w:val="0"/>
      <w:caps w:val="0"/>
      <w:smallCaps w:val="0"/>
      <w:strike w:val="0"/>
      <w:dstrike w:val="0"/>
      <w:noProof/>
      <w:vanish w:val="0"/>
      <w:color w:val="000000"/>
      <w:sz w:val="22"/>
      <w:szCs w:val="20"/>
      <w:u w:val="none"/>
      <w:vertAlign w:val="baseline"/>
    </w:rPr>
  </w:style>
  <w:style w:type="paragraph" w:customStyle="1" w:styleId="XXXXnormal">
    <w:name w:val="X.X.X.X. normal"/>
    <w:basedOn w:val="Normal"/>
    <w:link w:val="XXXXnormalChar"/>
    <w:qFormat/>
    <w:rsid w:val="004411C7"/>
    <w:pPr>
      <w:keepNext/>
      <w:autoSpaceDE w:val="0"/>
      <w:ind w:left="720"/>
    </w:pPr>
    <w:rPr>
      <w:rFonts w:eastAsia="Times New Roman"/>
      <w:color w:val="000000"/>
      <w:sz w:val="22"/>
    </w:rPr>
  </w:style>
  <w:style w:type="character" w:customStyle="1" w:styleId="XXXXnormalChar">
    <w:name w:val="X.X.X.X. normal Char"/>
    <w:basedOn w:val="DefaultParagraphFont"/>
    <w:link w:val="XXXXnormal"/>
    <w:rsid w:val="004411C7"/>
    <w:rPr>
      <w:rFonts w:ascii="Times New Roman" w:eastAsia="Times New Roman" w:hAnsi="Times New Roman"/>
      <w:color w:val="000000"/>
      <w:sz w:val="22"/>
      <w:szCs w:val="22"/>
    </w:rPr>
  </w:style>
  <w:style w:type="paragraph" w:customStyle="1" w:styleId="ListXXX">
    <w:name w:val="List X.X.X."/>
    <w:basedOn w:val="ListParagraph"/>
    <w:link w:val="ListXXXChar"/>
    <w:qFormat/>
    <w:rsid w:val="004411C7"/>
    <w:pPr>
      <w:numPr>
        <w:numId w:val="32"/>
      </w:numPr>
    </w:pPr>
    <w:rPr>
      <w:rFonts w:eastAsia="Times New Roman"/>
      <w:color w:val="000000"/>
      <w:sz w:val="22"/>
    </w:rPr>
  </w:style>
  <w:style w:type="character" w:customStyle="1" w:styleId="ListXXXChar">
    <w:name w:val="List X.X.X. Char"/>
    <w:basedOn w:val="ListParagraphChar"/>
    <w:link w:val="ListXXX"/>
    <w:rsid w:val="004411C7"/>
    <w:rPr>
      <w:rFonts w:ascii="Times New Roman" w:eastAsia="Times New Roman" w:hAnsi="Times New Roman"/>
      <w:color w:val="000000"/>
      <w:sz w:val="22"/>
      <w:szCs w:val="22"/>
    </w:rPr>
  </w:style>
  <w:style w:type="paragraph" w:customStyle="1" w:styleId="FormHeadings">
    <w:name w:val="Form Headings"/>
    <w:basedOn w:val="Heading2"/>
    <w:link w:val="FormHeadingsChar"/>
    <w:qFormat/>
    <w:rsid w:val="004411C7"/>
    <w:pPr>
      <w:keepLines w:val="0"/>
      <w:tabs>
        <w:tab w:val="left" w:pos="720"/>
      </w:tabs>
      <w:spacing w:before="0" w:after="0"/>
      <w:ind w:left="0" w:firstLine="0"/>
      <w:jc w:val="center"/>
    </w:pPr>
    <w:rPr>
      <w:b/>
      <w:bCs/>
      <w:caps w:val="0"/>
      <w:color w:val="000000"/>
      <w:sz w:val="24"/>
      <w:szCs w:val="22"/>
      <w:lang w:val="x-none" w:eastAsia="x-none"/>
    </w:rPr>
  </w:style>
  <w:style w:type="character" w:customStyle="1" w:styleId="FormHeadingsChar">
    <w:name w:val="Form Headings Char"/>
    <w:basedOn w:val="Heading2Char"/>
    <w:link w:val="FormHeadings"/>
    <w:rsid w:val="004411C7"/>
    <w:rPr>
      <w:rFonts w:ascii="Times New Roman Bold" w:eastAsia="Times New Roman" w:hAnsi="Times New Roman Bold" w:cs="Times New Roman"/>
      <w:b/>
      <w:bCs/>
      <w:caps w:val="0"/>
      <w:color w:val="000000"/>
      <w:sz w:val="24"/>
      <w:szCs w:val="22"/>
      <w:lang w:val="x-none" w:eastAsia="x-none"/>
    </w:rPr>
  </w:style>
  <w:style w:type="paragraph" w:customStyle="1" w:styleId="Heading1-Section">
    <w:name w:val="Heading 1-Section"/>
    <w:basedOn w:val="Normal"/>
    <w:rsid w:val="008A3119"/>
    <w:pPr>
      <w:keepNext/>
      <w:keepLines/>
      <w:spacing w:before="400" w:after="180"/>
      <w:jc w:val="left"/>
      <w:outlineLvl w:val="0"/>
    </w:pPr>
    <w:rPr>
      <w:rFonts w:ascii="Arial" w:eastAsiaTheme="majorEastAsia" w:hAnsi="Arial"/>
      <w:b/>
      <w:sz w:val="24"/>
      <w:szCs w:val="24"/>
    </w:rPr>
  </w:style>
  <w:style w:type="paragraph" w:customStyle="1" w:styleId="paragraph">
    <w:name w:val="paragraph"/>
    <w:basedOn w:val="Normal"/>
    <w:rsid w:val="006540E5"/>
    <w:pPr>
      <w:spacing w:before="100" w:beforeAutospacing="1" w:after="100" w:afterAutospacing="1"/>
      <w:jc w:val="left"/>
    </w:pPr>
    <w:rPr>
      <w:rFonts w:eastAsia="Times New Roman"/>
      <w:sz w:val="24"/>
      <w:szCs w:val="24"/>
    </w:rPr>
  </w:style>
  <w:style w:type="character" w:customStyle="1" w:styleId="normaltextrun">
    <w:name w:val="normaltextrun"/>
    <w:basedOn w:val="DefaultParagraphFont"/>
    <w:rsid w:val="006540E5"/>
  </w:style>
  <w:style w:type="character" w:customStyle="1" w:styleId="eop">
    <w:name w:val="eop"/>
    <w:basedOn w:val="DefaultParagraphFont"/>
    <w:rsid w:val="006540E5"/>
  </w:style>
  <w:style w:type="numbering" w:customStyle="1" w:styleId="NoList1">
    <w:name w:val="No List1"/>
    <w:next w:val="NoList"/>
    <w:uiPriority w:val="99"/>
    <w:semiHidden/>
    <w:unhideWhenUsed/>
    <w:rsid w:val="000C465B"/>
  </w:style>
  <w:style w:type="table" w:customStyle="1" w:styleId="TableGrid22">
    <w:name w:val="Table Grid22"/>
    <w:basedOn w:val="TableNormal"/>
    <w:next w:val="TableGrid"/>
    <w:uiPriority w:val="59"/>
    <w:rsid w:val="000C46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C465B"/>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35200564">
      <w:bodyDiv w:val="1"/>
      <w:marLeft w:val="0"/>
      <w:marRight w:val="0"/>
      <w:marTop w:val="0"/>
      <w:marBottom w:val="0"/>
      <w:divBdr>
        <w:top w:val="none" w:sz="0" w:space="0" w:color="auto"/>
        <w:left w:val="none" w:sz="0" w:space="0" w:color="auto"/>
        <w:bottom w:val="none" w:sz="0" w:space="0" w:color="auto"/>
        <w:right w:val="none" w:sz="0" w:space="0" w:color="auto"/>
      </w:divBdr>
      <w:divsChild>
        <w:div w:id="349724953">
          <w:marLeft w:val="0"/>
          <w:marRight w:val="0"/>
          <w:marTop w:val="0"/>
          <w:marBottom w:val="0"/>
          <w:divBdr>
            <w:top w:val="none" w:sz="0" w:space="0" w:color="auto"/>
            <w:left w:val="none" w:sz="0" w:space="0" w:color="auto"/>
            <w:bottom w:val="none" w:sz="0" w:space="0" w:color="auto"/>
            <w:right w:val="none" w:sz="0" w:space="0" w:color="auto"/>
          </w:divBdr>
          <w:divsChild>
            <w:div w:id="139660753">
              <w:marLeft w:val="360"/>
              <w:marRight w:val="0"/>
              <w:marTop w:val="245"/>
              <w:marBottom w:val="0"/>
              <w:divBdr>
                <w:top w:val="none" w:sz="0" w:space="0" w:color="auto"/>
                <w:left w:val="none" w:sz="0" w:space="0" w:color="auto"/>
                <w:bottom w:val="none" w:sz="0" w:space="0" w:color="auto"/>
                <w:right w:val="none" w:sz="0" w:space="0" w:color="auto"/>
              </w:divBdr>
            </w:div>
          </w:divsChild>
        </w:div>
      </w:divsChild>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58335410">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43301078">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48532431">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14610306">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0965195">
      <w:bodyDiv w:val="1"/>
      <w:marLeft w:val="0"/>
      <w:marRight w:val="0"/>
      <w:marTop w:val="0"/>
      <w:marBottom w:val="0"/>
      <w:divBdr>
        <w:top w:val="none" w:sz="0" w:space="0" w:color="auto"/>
        <w:left w:val="none" w:sz="0" w:space="0" w:color="auto"/>
        <w:bottom w:val="none" w:sz="0" w:space="0" w:color="auto"/>
        <w:right w:val="none" w:sz="0" w:space="0" w:color="auto"/>
      </w:divBdr>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0446393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29490723">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982850205">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511075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2481954">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48914848">
      <w:bodyDiv w:val="1"/>
      <w:marLeft w:val="0"/>
      <w:marRight w:val="0"/>
      <w:marTop w:val="0"/>
      <w:marBottom w:val="0"/>
      <w:divBdr>
        <w:top w:val="none" w:sz="0" w:space="0" w:color="auto"/>
        <w:left w:val="none" w:sz="0" w:space="0" w:color="auto"/>
        <w:bottom w:val="none" w:sz="0" w:space="0" w:color="auto"/>
        <w:right w:val="none" w:sz="0" w:space="0" w:color="auto"/>
      </w:divBdr>
      <w:divsChild>
        <w:div w:id="858079396">
          <w:marLeft w:val="0"/>
          <w:marRight w:val="0"/>
          <w:marTop w:val="0"/>
          <w:marBottom w:val="0"/>
          <w:divBdr>
            <w:top w:val="none" w:sz="0" w:space="0" w:color="auto"/>
            <w:left w:val="none" w:sz="0" w:space="0" w:color="auto"/>
            <w:bottom w:val="none" w:sz="0" w:space="0" w:color="auto"/>
            <w:right w:val="none" w:sz="0" w:space="0" w:color="auto"/>
          </w:divBdr>
          <w:divsChild>
            <w:div w:id="1450664918">
              <w:marLeft w:val="360"/>
              <w:marRight w:val="0"/>
              <w:marTop w:val="245"/>
              <w:marBottom w:val="0"/>
              <w:divBdr>
                <w:top w:val="none" w:sz="0" w:space="0" w:color="auto"/>
                <w:left w:val="none" w:sz="0" w:space="0" w:color="auto"/>
                <w:bottom w:val="none" w:sz="0" w:space="0" w:color="auto"/>
                <w:right w:val="none" w:sz="0" w:space="0" w:color="auto"/>
              </w:divBdr>
            </w:div>
          </w:divsChild>
        </w:div>
      </w:divsChild>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182822933">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1061541">
      <w:bodyDiv w:val="1"/>
      <w:marLeft w:val="0"/>
      <w:marRight w:val="0"/>
      <w:marTop w:val="0"/>
      <w:marBottom w:val="0"/>
      <w:divBdr>
        <w:top w:val="none" w:sz="0" w:space="0" w:color="auto"/>
        <w:left w:val="none" w:sz="0" w:space="0" w:color="auto"/>
        <w:bottom w:val="none" w:sz="0" w:space="0" w:color="auto"/>
        <w:right w:val="none" w:sz="0" w:space="0" w:color="auto"/>
      </w:divBdr>
    </w:div>
    <w:div w:id="1334382077">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7584066">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0028">
      <w:bodyDiv w:val="1"/>
      <w:marLeft w:val="0"/>
      <w:marRight w:val="0"/>
      <w:marTop w:val="0"/>
      <w:marBottom w:val="0"/>
      <w:divBdr>
        <w:top w:val="none" w:sz="0" w:space="0" w:color="auto"/>
        <w:left w:val="none" w:sz="0" w:space="0" w:color="auto"/>
        <w:bottom w:val="none" w:sz="0" w:space="0" w:color="auto"/>
        <w:right w:val="none" w:sz="0" w:space="0" w:color="auto"/>
      </w:divBdr>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wm.com/publication-15" TargetMode="External"/><Relationship Id="rId21" Type="http://schemas.openxmlformats.org/officeDocument/2006/relationships/hyperlink" Target="https://www.ecfr.gov/current/title-40/chapter-I/subchapter-U/part-1090/subpart-L/section-1090.1110" TargetMode="External"/><Relationship Id="rId42" Type="http://schemas.openxmlformats.org/officeDocument/2006/relationships/hyperlink" Target="https://www.ncwm.com/publication-15" TargetMode="External"/><Relationship Id="rId47" Type="http://schemas.openxmlformats.org/officeDocument/2006/relationships/image" Target="media/image1.png"/><Relationship Id="rId63" Type="http://schemas.openxmlformats.org/officeDocument/2006/relationships/image" Target="media/image12.jpeg"/><Relationship Id="rId68" Type="http://schemas.openxmlformats.org/officeDocument/2006/relationships/image" Target="media/image17.jpeg"/><Relationship Id="rId84" Type="http://schemas.openxmlformats.org/officeDocument/2006/relationships/image" Target="media/image30.jpeg"/><Relationship Id="rId89" Type="http://schemas.openxmlformats.org/officeDocument/2006/relationships/image" Target="media/image34.png"/><Relationship Id="rId16" Type="http://schemas.openxmlformats.org/officeDocument/2006/relationships/hyperlink" Target="https://www.ecfr.gov/current/title-49/subtitle-B/chapter-I/subchapter-C/part-178" TargetMode="External"/><Relationship Id="rId107" Type="http://schemas.microsoft.com/office/2011/relationships/people" Target="people.xml"/><Relationship Id="rId11" Type="http://schemas.openxmlformats.org/officeDocument/2006/relationships/endnotes" Target="endnotes.xml"/><Relationship Id="rId32" Type="http://schemas.openxmlformats.org/officeDocument/2006/relationships/hyperlink" Target="file:///C:\Users\DonOnwiler\Downloads\3-LR-UPR-26.1.docx" TargetMode="External"/><Relationship Id="rId37" Type="http://schemas.openxmlformats.org/officeDocument/2006/relationships/hyperlink" Target="mailto:" TargetMode="External"/><Relationship Id="rId53" Type="http://schemas.microsoft.com/office/2018/08/relationships/commentsExtensible" Target="commentsExtensible.xml"/><Relationship Id="rId58" Type="http://schemas.openxmlformats.org/officeDocument/2006/relationships/image" Target="media/image8.tmp"/><Relationship Id="rId74" Type="http://schemas.openxmlformats.org/officeDocument/2006/relationships/image" Target="media/image23.tmp"/><Relationship Id="rId79" Type="http://schemas.openxmlformats.org/officeDocument/2006/relationships/image" Target="media/image270.emf"/><Relationship Id="rId102"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image" Target="media/image35.png"/><Relationship Id="rId95" Type="http://schemas.openxmlformats.org/officeDocument/2006/relationships/hyperlink" Target="http://uscode.house.gov/view.xhtml?req=granuleid%3AUSC-prelim-title15-chapter2-subchapter1&amp;edition=prelim" TargetMode="External"/><Relationship Id="rId22" Type="http://schemas.openxmlformats.org/officeDocument/2006/relationships/hyperlink" Target="https://www.nist.gov/pml/owm/weights-and-measures-economic-index" TargetMode="External"/><Relationship Id="rId27" Type="http://schemas.openxmlformats.org/officeDocument/2006/relationships/hyperlink" Target="https://doi.org/10.6028/NIST.SP.1181" TargetMode="External"/><Relationship Id="rId43" Type="http://schemas.openxmlformats.org/officeDocument/2006/relationships/header" Target="header1.xml"/><Relationship Id="rId48" Type="http://schemas.openxmlformats.org/officeDocument/2006/relationships/image" Target="media/image2.png"/><Relationship Id="rId64" Type="http://schemas.openxmlformats.org/officeDocument/2006/relationships/image" Target="media/image13.jpeg"/><Relationship Id="rId69" Type="http://schemas.openxmlformats.org/officeDocument/2006/relationships/image" Target="media/image18.png"/><Relationship Id="rId80" Type="http://schemas.openxmlformats.org/officeDocument/2006/relationships/image" Target="media/image28.emf"/><Relationship Id="rId85" Type="http://schemas.openxmlformats.org/officeDocument/2006/relationships/image" Target="media/image300.jpeg"/><Relationship Id="rId12" Type="http://schemas.openxmlformats.org/officeDocument/2006/relationships/hyperlink" Target="https://www.ncwm.com/publication-15" TargetMode="External"/><Relationship Id="rId17" Type="http://schemas.openxmlformats.org/officeDocument/2006/relationships/hyperlink" Target="https://www.ecfr.gov/current/title-49/subtitle-B/chapter-I/subchapter-C/part-178" TargetMode="External"/><Relationship Id="rId33" Type="http://schemas.openxmlformats.org/officeDocument/2006/relationships/hyperlink" Target="file:///C:\Users\DonOnwiler\Downloads\3-LR-UPR-26.1.docx" TargetMode="External"/><Relationship Id="rId38" Type="http://schemas.openxmlformats.org/officeDocument/2006/relationships/hyperlink" Target="mailto:mkofford@utah.gov" TargetMode="External"/><Relationship Id="rId59" Type="http://schemas.openxmlformats.org/officeDocument/2006/relationships/image" Target="media/image9.png"/><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hyperlink" Target="https://www.ecfr.gov/current/title-40/chapter-I/subchapter-U/part-1090/subpart-L/section-1090.1110" TargetMode="External"/><Relationship Id="rId41" Type="http://schemas.openxmlformats.org/officeDocument/2006/relationships/hyperlink" Target="https://www.ncwm.com/publication-15" TargetMode="External"/><Relationship Id="rId54" Type="http://schemas.openxmlformats.org/officeDocument/2006/relationships/image" Target="media/image4.png"/><Relationship Id="rId62" Type="http://schemas.openxmlformats.org/officeDocument/2006/relationships/hyperlink" Target="http://www.ftc.gov/bcp/policystmt/ad-decept.htm;%20http//www.ftc.gov/bcp/guides/ad3subst.htm" TargetMode="Externa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290.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hyperlink" Target="https://www.ftc.gov/enforcement/rules/rulemaking-regulatory-reformproceedings/fair-packaging-labeling-act-regulations-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cfr.gov/current/title-49/subtitle-B/chapter-I/subchapter-C/part-178" TargetMode="External"/><Relationship Id="rId23" Type="http://schemas.openxmlformats.org/officeDocument/2006/relationships/hyperlink" Target="https://www.ecfr.gov/current/title-40/chapter-I/subchapter-U/part-1090/subpart-L/section-1090.1110" TargetMode="External"/><Relationship Id="rId28" Type="http://schemas.openxmlformats.org/officeDocument/2006/relationships/hyperlink" Target="file:///C:\Users\DonOnwiler\Downloads\3-LR-UPR-26.1.docx" TargetMode="External"/><Relationship Id="rId36" Type="http://schemas.openxmlformats.org/officeDocument/2006/relationships/hyperlink" Target="https://www.ncwm.com/publication-15" TargetMode="External"/><Relationship Id="rId49" Type="http://schemas.openxmlformats.org/officeDocument/2006/relationships/image" Target="media/image3.png"/><Relationship Id="rId57" Type="http://schemas.openxmlformats.org/officeDocument/2006/relationships/image" Target="media/image7.jpe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file:///C:\Users\DonOnwiler\Downloads\3-LR-UPR-26.1.docx" TargetMode="External"/><Relationship Id="rId44" Type="http://schemas.openxmlformats.org/officeDocument/2006/relationships/header" Target="header2.xml"/><Relationship Id="rId52" Type="http://schemas.microsoft.com/office/2016/09/relationships/commentsIds" Target="commentsIds.xml"/><Relationship Id="rId60" Type="http://schemas.openxmlformats.org/officeDocument/2006/relationships/image" Target="media/image10.png"/><Relationship Id="rId65" Type="http://schemas.openxmlformats.org/officeDocument/2006/relationships/image" Target="media/image14.jpeg"/><Relationship Id="rId73" Type="http://schemas.openxmlformats.org/officeDocument/2006/relationships/image" Target="media/image22.png"/><Relationship Id="rId78" Type="http://schemas.openxmlformats.org/officeDocument/2006/relationships/image" Target="media/image27.emf"/><Relationship Id="rId81" Type="http://schemas.openxmlformats.org/officeDocument/2006/relationships/image" Target="media/image280.emf"/><Relationship Id="rId86" Type="http://schemas.openxmlformats.org/officeDocument/2006/relationships/image" Target="media/image31.png"/><Relationship Id="rId94" Type="http://schemas.openxmlformats.org/officeDocument/2006/relationships/hyperlink" Target="https://www.ftc.gov/legal-library/browse/statutes/federal-trade-commission-act" TargetMode="External"/><Relationship Id="rId99" Type="http://schemas.openxmlformats.org/officeDocument/2006/relationships/hyperlink" Target="https://www.fda.gov/media/99151/download" TargetMode="External"/><Relationship Id="rId101" Type="http://schemas.openxmlformats.org/officeDocument/2006/relationships/hyperlink" Target="https://www.fda.gov/cosmetics/cosmetics-labeling-regulations/cosmetics-labeling-guid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cfr.gov/current/title-49/subtitle-B/chapter-I/subchapter-C/part-178" TargetMode="External"/><Relationship Id="rId18" Type="http://schemas.openxmlformats.org/officeDocument/2006/relationships/hyperlink" Target="https://gcc02.safelinks.protection.outlook.com/?url=https%3A%2F%2Fwww.ecfr.gov%2Fcurrent%2Ftitle-49%2Fsection-107.221&amp;data=05%7C02%7Ckristin.walter%40agriculture.arkansas.gov%7Cce90546dc61a467cdf0d08de1496ba8f%7C5ec1d8f0cb624000b3278e63b0547048%7C0%7C0%7C638970834821713929%7CUnknown%7CTWFpbGZsb3d8eyJFbXB0eU1hcGkiOnRydWUsIlYiOiIwLjAuMDAwMCIsIlAiOiJXaW4zMiIsIkFOIjoiTWFpbCIsIldUIjoyfQ%3D%3D%7C0%7C%7C%7C&amp;sdata=yZI4jZwJKnSFFwY5u1WmgOblz08%2FPgP2dGU9aWvi3cw%3D&amp;reserved=0" TargetMode="External"/><Relationship Id="rId39" Type="http://schemas.openxmlformats.org/officeDocument/2006/relationships/hyperlink" Target="mailto:Vanessa.Benchea@fdacs.gov" TargetMode="External"/><Relationship Id="rId34" Type="http://schemas.openxmlformats.org/officeDocument/2006/relationships/hyperlink" Target="https://www.ncwm.com/publication-15" TargetMode="External"/><Relationship Id="rId50" Type="http://schemas.openxmlformats.org/officeDocument/2006/relationships/comments" Target="comments.xml"/><Relationship Id="rId55" Type="http://schemas.openxmlformats.org/officeDocument/2006/relationships/image" Target="media/image5.jpeg"/><Relationship Id="rId76" Type="http://schemas.openxmlformats.org/officeDocument/2006/relationships/image" Target="media/image25.tmp"/><Relationship Id="rId97" Type="http://schemas.openxmlformats.org/officeDocument/2006/relationships/hyperlink" Target="https://www.nist.gov/pml/weights-andmeasures/publications/nist-handbooks/handbook-130-current-edition" TargetMode="External"/><Relationship Id="rId104"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20.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file:///C:\Users\DonOnwiler\Downloads\3-LR-UPR-26.1.docx" TargetMode="External"/><Relationship Id="rId24" Type="http://schemas.openxmlformats.org/officeDocument/2006/relationships/hyperlink" Target="https://www.ecfr.gov/current/title-40/section-1090.1100" TargetMode="External"/><Relationship Id="rId40" Type="http://schemas.openxmlformats.org/officeDocument/2006/relationships/hyperlink" Target="mailto:guay.cb@gmail.com" TargetMode="External"/><Relationship Id="rId45" Type="http://schemas.openxmlformats.org/officeDocument/2006/relationships/footer" Target="footer1.xml"/><Relationship Id="rId66" Type="http://schemas.openxmlformats.org/officeDocument/2006/relationships/image" Target="media/image15.jpeg"/><Relationship Id="rId87" Type="http://schemas.openxmlformats.org/officeDocument/2006/relationships/image" Target="media/image32.png"/><Relationship Id="rId61" Type="http://schemas.openxmlformats.org/officeDocument/2006/relationships/image" Target="media/image11.jpeg"/><Relationship Id="rId82" Type="http://schemas.openxmlformats.org/officeDocument/2006/relationships/image" Target="media/image29.png"/><Relationship Id="rId19" Type="http://schemas.openxmlformats.org/officeDocument/2006/relationships/hyperlink" Target="https://www.ncwm.com/publication-15" TargetMode="External"/><Relationship Id="rId14" Type="http://schemas.openxmlformats.org/officeDocument/2006/relationships/hyperlink" Target="https://www.ecfr.gov/current/title-49/subtitle-B/chapter-I/subchapter-C/part-178" TargetMode="External"/><Relationship Id="rId30" Type="http://schemas.openxmlformats.org/officeDocument/2006/relationships/hyperlink" Target="file:///C:\Users\DonOnwiler\Downloads\3-LR-UPR-26.1.docx" TargetMode="External"/><Relationship Id="rId35" Type="http://schemas.openxmlformats.org/officeDocument/2006/relationships/hyperlink" Target="https://www.ncwm.com/publication-15" TargetMode="External"/><Relationship Id="rId56" Type="http://schemas.openxmlformats.org/officeDocument/2006/relationships/image" Target="media/image6.png"/><Relationship Id="rId77" Type="http://schemas.openxmlformats.org/officeDocument/2006/relationships/image" Target="media/image26.png"/><Relationship Id="rId100" Type="http://schemas.openxmlformats.org/officeDocument/2006/relationships/hyperlink" Target="https://www.fda.gov/cosmetics/cosmetics-labeling-regulations/codefederal-regulations-sections-cosmetics-labeling-cfr-title-21-part-701" TargetMode="External"/><Relationship Id="rId105" Type="http://schemas.openxmlformats.org/officeDocument/2006/relationships/footer" Target="footer4.xml"/><Relationship Id="rId8" Type="http://schemas.openxmlformats.org/officeDocument/2006/relationships/settings" Target="settings.xml"/><Relationship Id="rId51" Type="http://schemas.microsoft.com/office/2011/relationships/commentsExtended" Target="commentsExtended.xml"/><Relationship Id="rId72" Type="http://schemas.openxmlformats.org/officeDocument/2006/relationships/image" Target="media/image21.png"/><Relationship Id="rId93" Type="http://schemas.openxmlformats.org/officeDocument/2006/relationships/image" Target="media/image38.png"/><Relationship Id="rId98" Type="http://schemas.openxmlformats.org/officeDocument/2006/relationships/hyperlink" Target="https://www.fda.gov/foodlabelingguide" TargetMode="External"/><Relationship Id="rId3" Type="http://schemas.openxmlformats.org/officeDocument/2006/relationships/customXml" Target="../customXml/item3.xml"/><Relationship Id="rId25" Type="http://schemas.openxmlformats.org/officeDocument/2006/relationships/hyperlink" Target="https://www.ecfr.gov/current/title-40/section-1090.1100" TargetMode="External"/><Relationship Id="rId46" Type="http://schemas.openxmlformats.org/officeDocument/2006/relationships/footer" Target="footer2.xml"/><Relationship Id="rId67"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www.api.org/-/media/files/publications/2024-catalog/2024-publication-catalo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3" ma:contentTypeDescription="Create a new document." ma:contentTypeScope="" ma:versionID="144f8a8f512e91006147cfd330c67433">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00a65d016bc4f1aa332191edd9fd78d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erson" ma:index="30"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Person xmlns="e1c729d5-d8dd-4ccd-87aa-46ea52ddd4a6">
      <UserInfo>
        <DisplayName/>
        <AccountId xsi:nil="true"/>
        <AccountType/>
      </UserInfo>
    </Person>
  </documentManagement>
</p:properties>
</file>

<file path=customXml/itemProps1.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2.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3.xml><?xml version="1.0" encoding="utf-8"?>
<ds:datastoreItem xmlns:ds="http://schemas.openxmlformats.org/officeDocument/2006/customXml" ds:itemID="{284421FE-BABD-4073-B3EE-1B41667B2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5.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118</Pages>
  <Words>43233</Words>
  <Characters>233032</Characters>
  <Application>Microsoft Office Word</Application>
  <DocSecurity>0</DocSecurity>
  <Lines>4236</Lines>
  <Paragraphs>2762</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273503</CharactersWithSpaces>
  <SharedDoc>false</SharedDoc>
  <HLinks>
    <vt:vector size="228" baseType="variant">
      <vt:variant>
        <vt:i4>6553723</vt:i4>
      </vt:variant>
      <vt:variant>
        <vt:i4>191</vt:i4>
      </vt:variant>
      <vt:variant>
        <vt:i4>0</vt:i4>
      </vt:variant>
      <vt:variant>
        <vt:i4>5</vt:i4>
      </vt:variant>
      <vt:variant>
        <vt:lpwstr>https://www.ncwm.com/publication-15</vt:lpwstr>
      </vt:variant>
      <vt:variant>
        <vt:lpwstr/>
      </vt:variant>
      <vt:variant>
        <vt:i4>524406</vt:i4>
      </vt:variant>
      <vt:variant>
        <vt:i4>188</vt:i4>
      </vt:variant>
      <vt:variant>
        <vt:i4>0</vt:i4>
      </vt:variant>
      <vt:variant>
        <vt:i4>5</vt:i4>
      </vt:variant>
      <vt:variant>
        <vt:lpwstr>mailto:Vanessa.Benchea@fdacs.gov</vt:lpwstr>
      </vt:variant>
      <vt:variant>
        <vt:lpwstr/>
      </vt:variant>
      <vt:variant>
        <vt:i4>4980768</vt:i4>
      </vt:variant>
      <vt:variant>
        <vt:i4>185</vt:i4>
      </vt:variant>
      <vt:variant>
        <vt:i4>0</vt:i4>
      </vt:variant>
      <vt:variant>
        <vt:i4>5</vt:i4>
      </vt:variant>
      <vt:variant>
        <vt:lpwstr>mailto:guay.cb@gmail.com</vt:lpwstr>
      </vt:variant>
      <vt:variant>
        <vt:lpwstr/>
      </vt:variant>
      <vt:variant>
        <vt:i4>524406</vt:i4>
      </vt:variant>
      <vt:variant>
        <vt:i4>182</vt:i4>
      </vt:variant>
      <vt:variant>
        <vt:i4>0</vt:i4>
      </vt:variant>
      <vt:variant>
        <vt:i4>5</vt:i4>
      </vt:variant>
      <vt:variant>
        <vt:lpwstr>mailto:Vanessa.Benchea@fdacs.gov</vt:lpwstr>
      </vt:variant>
      <vt:variant>
        <vt:lpwstr/>
      </vt:variant>
      <vt:variant>
        <vt:i4>6029341</vt:i4>
      </vt:variant>
      <vt:variant>
        <vt:i4>179</vt:i4>
      </vt:variant>
      <vt:variant>
        <vt:i4>0</vt:i4>
      </vt:variant>
      <vt:variant>
        <vt:i4>5</vt:i4>
      </vt:variant>
      <vt:variant>
        <vt:lpwstr>https://www.pfeuffer.com/product/contador</vt:lpwstr>
      </vt:variant>
      <vt:variant>
        <vt:lpwstr/>
      </vt:variant>
      <vt:variant>
        <vt:i4>4718622</vt:i4>
      </vt:variant>
      <vt:variant>
        <vt:i4>176</vt:i4>
      </vt:variant>
      <vt:variant>
        <vt:i4>0</vt:i4>
      </vt:variant>
      <vt:variant>
        <vt:i4>5</vt:i4>
      </vt:variant>
      <vt:variant>
        <vt:lpwstr>http://www.seedcounters.com/index.php/counting/summary?id=148</vt:lpwstr>
      </vt:variant>
      <vt:variant>
        <vt:lpwstr/>
      </vt:variant>
      <vt:variant>
        <vt:i4>2424850</vt:i4>
      </vt:variant>
      <vt:variant>
        <vt:i4>173</vt:i4>
      </vt:variant>
      <vt:variant>
        <vt:i4>0</vt:i4>
      </vt:variant>
      <vt:variant>
        <vt:i4>5</vt:i4>
      </vt:variant>
      <vt:variant>
        <vt:lpwstr>https://cdn.shopify.com/s/files/1/0070/8041/1191/files/801_Manual.pdf?v=1614276180</vt:lpwstr>
      </vt:variant>
      <vt:variant>
        <vt:lpwstr/>
      </vt:variant>
      <vt:variant>
        <vt:i4>6684722</vt:i4>
      </vt:variant>
      <vt:variant>
        <vt:i4>170</vt:i4>
      </vt:variant>
      <vt:variant>
        <vt:i4>0</vt:i4>
      </vt:variant>
      <vt:variant>
        <vt:i4>5</vt:i4>
      </vt:variant>
      <vt:variant>
        <vt:lpwstr>https://data-technologies.com/wp-content/uploads/2017/09/Seed-Counter-S-25.pdf</vt:lpwstr>
      </vt:variant>
      <vt:variant>
        <vt:lpwstr/>
      </vt:variant>
      <vt:variant>
        <vt:i4>262208</vt:i4>
      </vt:variant>
      <vt:variant>
        <vt:i4>167</vt:i4>
      </vt:variant>
      <vt:variant>
        <vt:i4>0</vt:i4>
      </vt:variant>
      <vt:variant>
        <vt:i4>5</vt:i4>
      </vt:variant>
      <vt:variant>
        <vt:lpwstr>https://www.agri-instrument.com/wp-content/uploads/2018/05/SLY-E-High-Accuracy-Automatic-Seed-Counter.pdf</vt:lpwstr>
      </vt:variant>
      <vt:variant>
        <vt:lpwstr/>
      </vt:variant>
      <vt:variant>
        <vt:i4>4784211</vt:i4>
      </vt:variant>
      <vt:variant>
        <vt:i4>164</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161</vt:i4>
      </vt:variant>
      <vt:variant>
        <vt:i4>0</vt:i4>
      </vt:variant>
      <vt:variant>
        <vt:i4>5</vt:i4>
      </vt:variant>
      <vt:variant>
        <vt:lpwstr>https://www.govinfo.gov/app/details/CFR-2009-title40-vol23/CFR-2009-title40-vol23-sec156-10</vt:lpwstr>
      </vt:variant>
      <vt:variant>
        <vt:lpwstr/>
      </vt:variant>
      <vt:variant>
        <vt:i4>6553723</vt:i4>
      </vt:variant>
      <vt:variant>
        <vt:i4>158</vt:i4>
      </vt:variant>
      <vt:variant>
        <vt:i4>0</vt:i4>
      </vt:variant>
      <vt:variant>
        <vt:i4>5</vt:i4>
      </vt:variant>
      <vt:variant>
        <vt:lpwstr>https://www.ncwm.com/publication-15</vt:lpwstr>
      </vt:variant>
      <vt:variant>
        <vt:lpwstr/>
      </vt:variant>
      <vt:variant>
        <vt:i4>7143549</vt:i4>
      </vt:variant>
      <vt:variant>
        <vt:i4>155</vt:i4>
      </vt:variant>
      <vt:variant>
        <vt:i4>0</vt:i4>
      </vt:variant>
      <vt:variant>
        <vt:i4>5</vt:i4>
      </vt:variant>
      <vt:variant>
        <vt:lpwstr>https://www.dfcr.org/universal-cannabis-symbol</vt:lpwstr>
      </vt:variant>
      <vt:variant>
        <vt:lpwstr/>
      </vt:variant>
      <vt:variant>
        <vt:i4>1507384</vt:i4>
      </vt:variant>
      <vt:variant>
        <vt:i4>146</vt:i4>
      </vt:variant>
      <vt:variant>
        <vt:i4>0</vt:i4>
      </vt:variant>
      <vt:variant>
        <vt:i4>5</vt:i4>
      </vt:variant>
      <vt:variant>
        <vt:lpwstr/>
      </vt:variant>
      <vt:variant>
        <vt:lpwstr>_Toc144284525</vt:lpwstr>
      </vt:variant>
      <vt:variant>
        <vt:i4>1507384</vt:i4>
      </vt:variant>
      <vt:variant>
        <vt:i4>140</vt:i4>
      </vt:variant>
      <vt:variant>
        <vt:i4>0</vt:i4>
      </vt:variant>
      <vt:variant>
        <vt:i4>5</vt:i4>
      </vt:variant>
      <vt:variant>
        <vt:lpwstr/>
      </vt:variant>
      <vt:variant>
        <vt:lpwstr>_Toc144284524</vt:lpwstr>
      </vt:variant>
      <vt:variant>
        <vt:i4>1507384</vt:i4>
      </vt:variant>
      <vt:variant>
        <vt:i4>134</vt:i4>
      </vt:variant>
      <vt:variant>
        <vt:i4>0</vt:i4>
      </vt:variant>
      <vt:variant>
        <vt:i4>5</vt:i4>
      </vt:variant>
      <vt:variant>
        <vt:lpwstr/>
      </vt:variant>
      <vt:variant>
        <vt:lpwstr>_Toc144284523</vt:lpwstr>
      </vt:variant>
      <vt:variant>
        <vt:i4>1507384</vt:i4>
      </vt:variant>
      <vt:variant>
        <vt:i4>128</vt:i4>
      </vt:variant>
      <vt:variant>
        <vt:i4>0</vt:i4>
      </vt:variant>
      <vt:variant>
        <vt:i4>5</vt:i4>
      </vt:variant>
      <vt:variant>
        <vt:lpwstr/>
      </vt:variant>
      <vt:variant>
        <vt:lpwstr>_Toc144284522</vt:lpwstr>
      </vt:variant>
      <vt:variant>
        <vt:i4>1507384</vt:i4>
      </vt:variant>
      <vt:variant>
        <vt:i4>122</vt:i4>
      </vt:variant>
      <vt:variant>
        <vt:i4>0</vt:i4>
      </vt:variant>
      <vt:variant>
        <vt:i4>5</vt:i4>
      </vt:variant>
      <vt:variant>
        <vt:lpwstr/>
      </vt:variant>
      <vt:variant>
        <vt:lpwstr>_Toc144284521</vt:lpwstr>
      </vt:variant>
      <vt:variant>
        <vt:i4>1507384</vt:i4>
      </vt:variant>
      <vt:variant>
        <vt:i4>116</vt:i4>
      </vt:variant>
      <vt:variant>
        <vt:i4>0</vt:i4>
      </vt:variant>
      <vt:variant>
        <vt:i4>5</vt:i4>
      </vt:variant>
      <vt:variant>
        <vt:lpwstr/>
      </vt:variant>
      <vt:variant>
        <vt:lpwstr>_Toc144284520</vt:lpwstr>
      </vt:variant>
      <vt:variant>
        <vt:i4>1310776</vt:i4>
      </vt:variant>
      <vt:variant>
        <vt:i4>110</vt:i4>
      </vt:variant>
      <vt:variant>
        <vt:i4>0</vt:i4>
      </vt:variant>
      <vt:variant>
        <vt:i4>5</vt:i4>
      </vt:variant>
      <vt:variant>
        <vt:lpwstr/>
      </vt:variant>
      <vt:variant>
        <vt:lpwstr>_Toc144284519</vt:lpwstr>
      </vt:variant>
      <vt:variant>
        <vt:i4>1310776</vt:i4>
      </vt:variant>
      <vt:variant>
        <vt:i4>104</vt:i4>
      </vt:variant>
      <vt:variant>
        <vt:i4>0</vt:i4>
      </vt:variant>
      <vt:variant>
        <vt:i4>5</vt:i4>
      </vt:variant>
      <vt:variant>
        <vt:lpwstr/>
      </vt:variant>
      <vt:variant>
        <vt:lpwstr>_Toc144284518</vt:lpwstr>
      </vt:variant>
      <vt:variant>
        <vt:i4>1310776</vt:i4>
      </vt:variant>
      <vt:variant>
        <vt:i4>98</vt:i4>
      </vt:variant>
      <vt:variant>
        <vt:i4>0</vt:i4>
      </vt:variant>
      <vt:variant>
        <vt:i4>5</vt:i4>
      </vt:variant>
      <vt:variant>
        <vt:lpwstr/>
      </vt:variant>
      <vt:variant>
        <vt:lpwstr>_Toc144284517</vt:lpwstr>
      </vt:variant>
      <vt:variant>
        <vt:i4>1310776</vt:i4>
      </vt:variant>
      <vt:variant>
        <vt:i4>92</vt:i4>
      </vt:variant>
      <vt:variant>
        <vt:i4>0</vt:i4>
      </vt:variant>
      <vt:variant>
        <vt:i4>5</vt:i4>
      </vt:variant>
      <vt:variant>
        <vt:lpwstr/>
      </vt:variant>
      <vt:variant>
        <vt:lpwstr>_Toc144284516</vt:lpwstr>
      </vt:variant>
      <vt:variant>
        <vt:i4>1310776</vt:i4>
      </vt:variant>
      <vt:variant>
        <vt:i4>86</vt:i4>
      </vt:variant>
      <vt:variant>
        <vt:i4>0</vt:i4>
      </vt:variant>
      <vt:variant>
        <vt:i4>5</vt:i4>
      </vt:variant>
      <vt:variant>
        <vt:lpwstr/>
      </vt:variant>
      <vt:variant>
        <vt:lpwstr>_Toc144284515</vt:lpwstr>
      </vt:variant>
      <vt:variant>
        <vt:i4>1310776</vt:i4>
      </vt:variant>
      <vt:variant>
        <vt:i4>80</vt:i4>
      </vt:variant>
      <vt:variant>
        <vt:i4>0</vt:i4>
      </vt:variant>
      <vt:variant>
        <vt:i4>5</vt:i4>
      </vt:variant>
      <vt:variant>
        <vt:lpwstr/>
      </vt:variant>
      <vt:variant>
        <vt:lpwstr>_Toc144284514</vt:lpwstr>
      </vt:variant>
      <vt:variant>
        <vt:i4>1310776</vt:i4>
      </vt:variant>
      <vt:variant>
        <vt:i4>74</vt:i4>
      </vt:variant>
      <vt:variant>
        <vt:i4>0</vt:i4>
      </vt:variant>
      <vt:variant>
        <vt:i4>5</vt:i4>
      </vt:variant>
      <vt:variant>
        <vt:lpwstr/>
      </vt:variant>
      <vt:variant>
        <vt:lpwstr>_Toc144284513</vt:lpwstr>
      </vt:variant>
      <vt:variant>
        <vt:i4>1310776</vt:i4>
      </vt:variant>
      <vt:variant>
        <vt:i4>68</vt:i4>
      </vt:variant>
      <vt:variant>
        <vt:i4>0</vt:i4>
      </vt:variant>
      <vt:variant>
        <vt:i4>5</vt:i4>
      </vt:variant>
      <vt:variant>
        <vt:lpwstr/>
      </vt:variant>
      <vt:variant>
        <vt:lpwstr>_Toc144284512</vt:lpwstr>
      </vt:variant>
      <vt:variant>
        <vt:i4>1310776</vt:i4>
      </vt:variant>
      <vt:variant>
        <vt:i4>62</vt:i4>
      </vt:variant>
      <vt:variant>
        <vt:i4>0</vt:i4>
      </vt:variant>
      <vt:variant>
        <vt:i4>5</vt:i4>
      </vt:variant>
      <vt:variant>
        <vt:lpwstr/>
      </vt:variant>
      <vt:variant>
        <vt:lpwstr>_Toc144284511</vt:lpwstr>
      </vt:variant>
      <vt:variant>
        <vt:i4>1310776</vt:i4>
      </vt:variant>
      <vt:variant>
        <vt:i4>56</vt:i4>
      </vt:variant>
      <vt:variant>
        <vt:i4>0</vt:i4>
      </vt:variant>
      <vt:variant>
        <vt:i4>5</vt:i4>
      </vt:variant>
      <vt:variant>
        <vt:lpwstr/>
      </vt:variant>
      <vt:variant>
        <vt:lpwstr>_Toc144284510</vt:lpwstr>
      </vt:variant>
      <vt:variant>
        <vt:i4>1376312</vt:i4>
      </vt:variant>
      <vt:variant>
        <vt:i4>50</vt:i4>
      </vt:variant>
      <vt:variant>
        <vt:i4>0</vt:i4>
      </vt:variant>
      <vt:variant>
        <vt:i4>5</vt:i4>
      </vt:variant>
      <vt:variant>
        <vt:lpwstr/>
      </vt:variant>
      <vt:variant>
        <vt:lpwstr>_Toc144284509</vt:lpwstr>
      </vt:variant>
      <vt:variant>
        <vt:i4>1376312</vt:i4>
      </vt:variant>
      <vt:variant>
        <vt:i4>44</vt:i4>
      </vt:variant>
      <vt:variant>
        <vt:i4>0</vt:i4>
      </vt:variant>
      <vt:variant>
        <vt:i4>5</vt:i4>
      </vt:variant>
      <vt:variant>
        <vt:lpwstr/>
      </vt:variant>
      <vt:variant>
        <vt:lpwstr>_Toc144284508</vt:lpwstr>
      </vt:variant>
      <vt:variant>
        <vt:i4>1376312</vt:i4>
      </vt:variant>
      <vt:variant>
        <vt:i4>38</vt:i4>
      </vt:variant>
      <vt:variant>
        <vt:i4>0</vt:i4>
      </vt:variant>
      <vt:variant>
        <vt:i4>5</vt:i4>
      </vt:variant>
      <vt:variant>
        <vt:lpwstr/>
      </vt:variant>
      <vt:variant>
        <vt:lpwstr>_Toc144284507</vt:lpwstr>
      </vt:variant>
      <vt:variant>
        <vt:i4>1376312</vt:i4>
      </vt:variant>
      <vt:variant>
        <vt:i4>32</vt:i4>
      </vt:variant>
      <vt:variant>
        <vt:i4>0</vt:i4>
      </vt:variant>
      <vt:variant>
        <vt:i4>5</vt:i4>
      </vt:variant>
      <vt:variant>
        <vt:lpwstr/>
      </vt:variant>
      <vt:variant>
        <vt:lpwstr>_Toc144284506</vt:lpwstr>
      </vt:variant>
      <vt:variant>
        <vt:i4>1376312</vt:i4>
      </vt:variant>
      <vt:variant>
        <vt:i4>26</vt:i4>
      </vt:variant>
      <vt:variant>
        <vt:i4>0</vt:i4>
      </vt:variant>
      <vt:variant>
        <vt:i4>5</vt:i4>
      </vt:variant>
      <vt:variant>
        <vt:lpwstr/>
      </vt:variant>
      <vt:variant>
        <vt:lpwstr>_Toc144284505</vt:lpwstr>
      </vt:variant>
      <vt:variant>
        <vt:i4>1376312</vt:i4>
      </vt:variant>
      <vt:variant>
        <vt:i4>20</vt:i4>
      </vt:variant>
      <vt:variant>
        <vt:i4>0</vt:i4>
      </vt:variant>
      <vt:variant>
        <vt:i4>5</vt:i4>
      </vt:variant>
      <vt:variant>
        <vt:lpwstr/>
      </vt:variant>
      <vt:variant>
        <vt:lpwstr>_Toc144284504</vt:lpwstr>
      </vt:variant>
      <vt:variant>
        <vt:i4>1376312</vt:i4>
      </vt:variant>
      <vt:variant>
        <vt:i4>14</vt:i4>
      </vt:variant>
      <vt:variant>
        <vt:i4>0</vt:i4>
      </vt:variant>
      <vt:variant>
        <vt:i4>5</vt:i4>
      </vt:variant>
      <vt:variant>
        <vt:lpwstr/>
      </vt:variant>
      <vt:variant>
        <vt:lpwstr>_Toc144284503</vt:lpwstr>
      </vt:variant>
      <vt:variant>
        <vt:i4>1376312</vt:i4>
      </vt:variant>
      <vt:variant>
        <vt:i4>8</vt:i4>
      </vt:variant>
      <vt:variant>
        <vt:i4>0</vt:i4>
      </vt:variant>
      <vt:variant>
        <vt:i4>5</vt:i4>
      </vt:variant>
      <vt:variant>
        <vt:lpwstr/>
      </vt:variant>
      <vt:variant>
        <vt:lpwstr>_Toc144284502</vt:lpwstr>
      </vt:variant>
      <vt:variant>
        <vt:i4>1376312</vt:i4>
      </vt:variant>
      <vt:variant>
        <vt:i4>2</vt:i4>
      </vt:variant>
      <vt:variant>
        <vt:i4>0</vt:i4>
      </vt:variant>
      <vt:variant>
        <vt:i4>5</vt:i4>
      </vt:variant>
      <vt:variant>
        <vt:lpwstr/>
      </vt:variant>
      <vt:variant>
        <vt:lpwstr>_Toc144284501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46</cp:revision>
  <cp:lastPrinted>2025-06-11T16:21:00Z</cp:lastPrinted>
  <dcterms:created xsi:type="dcterms:W3CDTF">2026-04-13T17:04:00Z</dcterms:created>
  <dcterms:modified xsi:type="dcterms:W3CDTF">2026-04-16T21:00:00Z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y fmtid="{D5CDD505-2E9C-101B-9397-08002B2CF9AE}" pid="6" name="_NewReviewCycle">
    <vt:lpwstr/>
  </property>
</Properties>
</file>