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44E75" w14:textId="6F97E49B" w:rsidR="007435B7" w:rsidRPr="00DB77CC" w:rsidRDefault="007435B7" w:rsidP="00546C8C">
      <w:pPr>
        <w:rPr>
          <w:b/>
          <w:bCs/>
          <w:sz w:val="28"/>
          <w:szCs w:val="28"/>
        </w:rPr>
      </w:pPr>
      <w:bookmarkStart w:id="0" w:name="_GoBack"/>
      <w:bookmarkEnd w:id="0"/>
      <w:r w:rsidRPr="00DB77CC">
        <w:rPr>
          <w:b/>
          <w:bCs/>
          <w:sz w:val="28"/>
          <w:szCs w:val="28"/>
        </w:rPr>
        <w:t>FLR-20.2</w:t>
      </w:r>
      <w:r w:rsidR="00DB77CC">
        <w:rPr>
          <w:b/>
          <w:bCs/>
          <w:sz w:val="28"/>
          <w:szCs w:val="28"/>
        </w:rPr>
        <w:t xml:space="preserve"> </w:t>
      </w:r>
      <w:r w:rsidRPr="00DB77CC">
        <w:rPr>
          <w:b/>
          <w:bCs/>
          <w:sz w:val="28"/>
          <w:szCs w:val="28"/>
        </w:rPr>
        <w:t>-- Proposed language (</w:t>
      </w:r>
      <w:r w:rsidR="00DB77CC">
        <w:rPr>
          <w:b/>
          <w:bCs/>
          <w:sz w:val="28"/>
          <w:szCs w:val="28"/>
        </w:rPr>
        <w:t xml:space="preserve">with </w:t>
      </w:r>
      <w:r w:rsidR="00600A4F">
        <w:rPr>
          <w:b/>
          <w:bCs/>
          <w:sz w:val="28"/>
          <w:szCs w:val="28"/>
          <w:u w:val="single"/>
        </w:rPr>
        <w:t>revision</w:t>
      </w:r>
      <w:r w:rsidR="00DB77CC">
        <w:rPr>
          <w:b/>
          <w:bCs/>
          <w:sz w:val="28"/>
          <w:szCs w:val="28"/>
        </w:rPr>
        <w:t xml:space="preserve"> of </w:t>
      </w:r>
      <w:r w:rsidR="00C03868">
        <w:rPr>
          <w:b/>
          <w:bCs/>
          <w:sz w:val="28"/>
          <w:szCs w:val="28"/>
        </w:rPr>
        <w:t xml:space="preserve">API’s original </w:t>
      </w:r>
      <w:r w:rsidR="0077139A" w:rsidRPr="00DB77CC">
        <w:rPr>
          <w:b/>
          <w:bCs/>
          <w:sz w:val="28"/>
          <w:szCs w:val="28"/>
        </w:rPr>
        <w:t>para</w:t>
      </w:r>
      <w:r w:rsidR="00C03868">
        <w:rPr>
          <w:b/>
          <w:bCs/>
          <w:sz w:val="28"/>
          <w:szCs w:val="28"/>
        </w:rPr>
        <w:t xml:space="preserve">. </w:t>
      </w:r>
      <w:r w:rsidR="00922846" w:rsidRPr="00DB77CC">
        <w:rPr>
          <w:b/>
          <w:bCs/>
          <w:sz w:val="28"/>
          <w:szCs w:val="28"/>
        </w:rPr>
        <w:t>2.1.2.</w:t>
      </w:r>
      <w:r w:rsidR="0007590A" w:rsidRPr="00DB77CC">
        <w:rPr>
          <w:b/>
          <w:bCs/>
          <w:sz w:val="28"/>
          <w:szCs w:val="28"/>
        </w:rPr>
        <w:t>(b)</w:t>
      </w:r>
      <w:r w:rsidR="0077139A" w:rsidRPr="00DB77CC">
        <w:rPr>
          <w:b/>
          <w:bCs/>
          <w:sz w:val="28"/>
          <w:szCs w:val="28"/>
        </w:rPr>
        <w:t>)</w:t>
      </w:r>
      <w:r w:rsidR="0007590A" w:rsidRPr="00DB77CC">
        <w:rPr>
          <w:b/>
          <w:bCs/>
          <w:sz w:val="28"/>
          <w:szCs w:val="28"/>
        </w:rPr>
        <w:t xml:space="preserve"> </w:t>
      </w:r>
    </w:p>
    <w:p w14:paraId="4BDB0FA8" w14:textId="2116D90C" w:rsidR="00395896" w:rsidRPr="00395896" w:rsidRDefault="00FE44F5" w:rsidP="00395896">
      <w:pPr>
        <w:rPr>
          <w:rFonts w:eastAsia="Times New Roman"/>
        </w:rPr>
      </w:pPr>
      <w:r>
        <w:rPr>
          <w:rFonts w:eastAsia="Times New Roman"/>
        </w:rPr>
        <w:t xml:space="preserve">API has received input from different groups and </w:t>
      </w:r>
      <w:r w:rsidR="001F5BA5">
        <w:rPr>
          <w:rFonts w:eastAsia="Times New Roman"/>
        </w:rPr>
        <w:t>in the interest of focusing our original proposal we</w:t>
      </w:r>
      <w:r w:rsidR="00E72229">
        <w:rPr>
          <w:rFonts w:eastAsia="Times New Roman"/>
        </w:rPr>
        <w:t xml:space="preserve"> </w:t>
      </w:r>
      <w:r w:rsidR="00C34385">
        <w:rPr>
          <w:rFonts w:eastAsia="Times New Roman"/>
        </w:rPr>
        <w:t xml:space="preserve">offer </w:t>
      </w:r>
      <w:r w:rsidR="00CD7EFD">
        <w:rPr>
          <w:rFonts w:eastAsia="Times New Roman"/>
        </w:rPr>
        <w:t xml:space="preserve">the following changes to our </w:t>
      </w:r>
      <w:r w:rsidR="0093701D">
        <w:rPr>
          <w:rFonts w:eastAsia="Times New Roman"/>
        </w:rPr>
        <w:t xml:space="preserve">original paragraph 2.1.2.(b). </w:t>
      </w:r>
    </w:p>
    <w:p w14:paraId="2DF48E1A" w14:textId="2A430C4D" w:rsidR="00395896" w:rsidRPr="0057216C" w:rsidRDefault="00395896" w:rsidP="0057216C">
      <w:pPr>
        <w:rPr>
          <w:rFonts w:eastAsia="Times New Roman"/>
        </w:rPr>
      </w:pPr>
      <w:r w:rsidRPr="0057216C">
        <w:rPr>
          <w:rFonts w:eastAsia="Times New Roman"/>
        </w:rPr>
        <w:t>The new language</w:t>
      </w:r>
      <w:r w:rsidR="00892277">
        <w:rPr>
          <w:rFonts w:eastAsia="Times New Roman"/>
        </w:rPr>
        <w:t xml:space="preserve"> at 2.1.2.(b)</w:t>
      </w:r>
      <w:r w:rsidR="0093701D" w:rsidRPr="0057216C">
        <w:rPr>
          <w:rFonts w:eastAsia="Times New Roman"/>
        </w:rPr>
        <w:t xml:space="preserve">: </w:t>
      </w:r>
    </w:p>
    <w:p w14:paraId="6C6E310E" w14:textId="592D65FB" w:rsidR="00CC660D" w:rsidRPr="00AE5D23" w:rsidRDefault="00CC660D" w:rsidP="00AE5D23">
      <w:pPr>
        <w:pStyle w:val="ListParagraph"/>
        <w:numPr>
          <w:ilvl w:val="0"/>
          <w:numId w:val="1"/>
        </w:numPr>
        <w:rPr>
          <w:rFonts w:eastAsia="Times New Roman"/>
        </w:rPr>
      </w:pPr>
      <w:r>
        <w:rPr>
          <w:rFonts w:eastAsia="Times New Roman"/>
        </w:rPr>
        <w:t>Provides the best opportunity for a</w:t>
      </w:r>
      <w:r w:rsidR="00395896">
        <w:rPr>
          <w:rFonts w:eastAsia="Times New Roman"/>
        </w:rPr>
        <w:t xml:space="preserve"> level playing field </w:t>
      </w:r>
      <w:r w:rsidR="00030226">
        <w:rPr>
          <w:rFonts w:eastAsia="Times New Roman"/>
        </w:rPr>
        <w:t>for</w:t>
      </w:r>
      <w:r w:rsidR="00395896">
        <w:rPr>
          <w:rFonts w:eastAsia="Times New Roman"/>
        </w:rPr>
        <w:t xml:space="preserve"> those selling E15</w:t>
      </w:r>
      <w:r w:rsidR="00AE5D23">
        <w:rPr>
          <w:rFonts w:eastAsia="Times New Roman"/>
        </w:rPr>
        <w:t xml:space="preserve"> holding all retailers and terminals blending E15 to the same standards</w:t>
      </w:r>
      <w:r w:rsidR="002B2178">
        <w:rPr>
          <w:rFonts w:eastAsia="Times New Roman"/>
        </w:rPr>
        <w:t>.</w:t>
      </w:r>
    </w:p>
    <w:p w14:paraId="19FC4EC5" w14:textId="0E0B8479" w:rsidR="00395896" w:rsidRDefault="00030226" w:rsidP="0057216C">
      <w:pPr>
        <w:pStyle w:val="ListParagraph"/>
        <w:numPr>
          <w:ilvl w:val="0"/>
          <w:numId w:val="1"/>
        </w:numPr>
        <w:rPr>
          <w:rFonts w:eastAsia="Times New Roman"/>
        </w:rPr>
      </w:pPr>
      <w:r>
        <w:rPr>
          <w:rFonts w:eastAsia="Times New Roman"/>
        </w:rPr>
        <w:t xml:space="preserve">Provides the best opportunity for </w:t>
      </w:r>
      <w:r w:rsidR="00395896">
        <w:rPr>
          <w:rFonts w:eastAsia="Times New Roman"/>
        </w:rPr>
        <w:t xml:space="preserve">the consumer </w:t>
      </w:r>
      <w:r w:rsidR="0057216C">
        <w:rPr>
          <w:rFonts w:eastAsia="Times New Roman"/>
        </w:rPr>
        <w:t xml:space="preserve">to </w:t>
      </w:r>
      <w:r w:rsidR="00395896">
        <w:rPr>
          <w:rFonts w:eastAsia="Times New Roman"/>
        </w:rPr>
        <w:t>get a product that is held to the same standards as E0 and E10 gasoline</w:t>
      </w:r>
      <w:r w:rsidR="007F5D5E">
        <w:rPr>
          <w:rFonts w:eastAsia="Times New Roman"/>
        </w:rPr>
        <w:t xml:space="preserve"> as required by the EPA</w:t>
      </w:r>
      <w:r w:rsidR="002B2178">
        <w:rPr>
          <w:rFonts w:eastAsia="Times New Roman"/>
        </w:rPr>
        <w:t>.</w:t>
      </w:r>
      <w:r w:rsidR="00395896">
        <w:rPr>
          <w:rFonts w:eastAsia="Times New Roman"/>
        </w:rPr>
        <w:t xml:space="preserve"> </w:t>
      </w:r>
    </w:p>
    <w:p w14:paraId="1C736BB4" w14:textId="5CA4ABC1" w:rsidR="00395896" w:rsidRPr="00797931" w:rsidRDefault="00395896" w:rsidP="00797931">
      <w:pPr>
        <w:pStyle w:val="ListParagraph"/>
        <w:numPr>
          <w:ilvl w:val="0"/>
          <w:numId w:val="1"/>
        </w:numPr>
        <w:rPr>
          <w:rFonts w:eastAsia="Times New Roman"/>
        </w:rPr>
      </w:pPr>
      <w:r>
        <w:rPr>
          <w:rFonts w:eastAsia="Times New Roman"/>
        </w:rPr>
        <w:t xml:space="preserve">Focuses on the 1-psi vapor pressure limit that was granted by the EPA </w:t>
      </w:r>
      <w:r w:rsidR="0057216C">
        <w:rPr>
          <w:rFonts w:eastAsia="Times New Roman"/>
        </w:rPr>
        <w:t>in the summer of 2019</w:t>
      </w:r>
      <w:r w:rsidR="00797931">
        <w:rPr>
          <w:rFonts w:eastAsia="Times New Roman"/>
        </w:rPr>
        <w:t xml:space="preserve">, </w:t>
      </w:r>
    </w:p>
    <w:p w14:paraId="6CB1E2AA" w14:textId="4F5E0D98" w:rsidR="00222455" w:rsidRDefault="00222455" w:rsidP="00222455">
      <w:pPr>
        <w:pStyle w:val="ListParagraph"/>
        <w:numPr>
          <w:ilvl w:val="0"/>
          <w:numId w:val="1"/>
        </w:numPr>
        <w:rPr>
          <w:rFonts w:eastAsia="Times New Roman"/>
        </w:rPr>
      </w:pPr>
      <w:r>
        <w:rPr>
          <w:rFonts w:eastAsia="Times New Roman"/>
        </w:rPr>
        <w:t>Provides the opportunity to trace the hydrocarbon fuels used in the manufactur</w:t>
      </w:r>
      <w:r w:rsidR="00B831C9">
        <w:rPr>
          <w:rFonts w:eastAsia="Times New Roman"/>
        </w:rPr>
        <w:t>e</w:t>
      </w:r>
      <w:r>
        <w:rPr>
          <w:rFonts w:eastAsia="Times New Roman"/>
        </w:rPr>
        <w:t xml:space="preserve"> of E15.</w:t>
      </w:r>
    </w:p>
    <w:p w14:paraId="41E150BF" w14:textId="08DA6D14" w:rsidR="00C75CA7" w:rsidRDefault="00222455" w:rsidP="007F2B5B">
      <w:pPr>
        <w:pStyle w:val="ListParagraph"/>
        <w:numPr>
          <w:ilvl w:val="0"/>
          <w:numId w:val="1"/>
        </w:numPr>
        <w:rPr>
          <w:rFonts w:eastAsia="Times New Roman"/>
        </w:rPr>
      </w:pPr>
      <w:r>
        <w:rPr>
          <w:rFonts w:eastAsia="Times New Roman"/>
        </w:rPr>
        <w:t>Captures the EPA’s “deemed to comply”</w:t>
      </w:r>
      <w:r w:rsidR="00395896" w:rsidRPr="00C75CA7">
        <w:rPr>
          <w:rFonts w:eastAsia="Times New Roman"/>
        </w:rPr>
        <w:t xml:space="preserve"> </w:t>
      </w:r>
      <w:r>
        <w:rPr>
          <w:rFonts w:eastAsia="Times New Roman"/>
        </w:rPr>
        <w:t xml:space="preserve">requirements </w:t>
      </w:r>
      <w:r w:rsidR="00395896" w:rsidRPr="00C75CA7">
        <w:rPr>
          <w:rFonts w:eastAsia="Times New Roman"/>
        </w:rPr>
        <w:t xml:space="preserve">that when gasoline or gasoline-ethanol blends are blended with </w:t>
      </w:r>
      <w:r w:rsidR="00395896" w:rsidRPr="00C75CA7">
        <w:rPr>
          <w:rFonts w:eastAsia="Times New Roman"/>
          <w:u w:val="single"/>
        </w:rPr>
        <w:t>ethanol flex fuel,</w:t>
      </w:r>
      <w:r w:rsidR="00395896" w:rsidRPr="00C75CA7">
        <w:rPr>
          <w:rFonts w:eastAsia="Times New Roman"/>
        </w:rPr>
        <w:t xml:space="preserve"> the </w:t>
      </w:r>
      <w:r w:rsidR="00395896" w:rsidRPr="00C75CA7">
        <w:rPr>
          <w:rFonts w:eastAsia="Times New Roman"/>
          <w:u w:val="single"/>
        </w:rPr>
        <w:t>hydrocarbon portion</w:t>
      </w:r>
      <w:r w:rsidR="00395896" w:rsidRPr="00C75CA7">
        <w:rPr>
          <w:rFonts w:eastAsia="Times New Roman"/>
        </w:rPr>
        <w:t xml:space="preserve"> of the </w:t>
      </w:r>
      <w:r w:rsidR="00195153">
        <w:rPr>
          <w:rFonts w:eastAsia="Times New Roman"/>
        </w:rPr>
        <w:t xml:space="preserve">all of those products must </w:t>
      </w:r>
      <w:r w:rsidR="00395896" w:rsidRPr="00C75CA7">
        <w:rPr>
          <w:rFonts w:eastAsia="Times New Roman"/>
        </w:rPr>
        <w:t>meet ASTM D4814</w:t>
      </w:r>
      <w:r w:rsidR="002B2178">
        <w:rPr>
          <w:rFonts w:eastAsia="Times New Roman"/>
        </w:rPr>
        <w:t>.</w:t>
      </w:r>
    </w:p>
    <w:p w14:paraId="7D029C81" w14:textId="21CC56F8" w:rsidR="00395896" w:rsidRPr="00C75CA7" w:rsidRDefault="000B3BE6" w:rsidP="007F2B5B">
      <w:pPr>
        <w:pStyle w:val="ListParagraph"/>
        <w:numPr>
          <w:ilvl w:val="0"/>
          <w:numId w:val="1"/>
        </w:numPr>
        <w:rPr>
          <w:rFonts w:eastAsia="Times New Roman"/>
        </w:rPr>
      </w:pPr>
      <w:r>
        <w:rPr>
          <w:rFonts w:eastAsia="Times New Roman"/>
        </w:rPr>
        <w:t>Reflects</w:t>
      </w:r>
      <w:r w:rsidR="00395896" w:rsidRPr="00C75CA7">
        <w:rPr>
          <w:rFonts w:eastAsia="Times New Roman"/>
        </w:rPr>
        <w:t xml:space="preserve"> that if the hydrocarbon portion of the fuel is compliant with the D4814, that it is the same as a certified component which is what is required of all other gasolines and gasoline ethanol blends</w:t>
      </w:r>
      <w:r w:rsidR="002B2178">
        <w:rPr>
          <w:rFonts w:eastAsia="Times New Roman"/>
        </w:rPr>
        <w:t>.</w:t>
      </w:r>
    </w:p>
    <w:p w14:paraId="266DAE1D" w14:textId="09746AB8" w:rsidR="00FD499A" w:rsidRPr="000D45E4" w:rsidRDefault="00395896" w:rsidP="00546C8C">
      <w:pPr>
        <w:pStyle w:val="ListParagraph"/>
        <w:numPr>
          <w:ilvl w:val="0"/>
          <w:numId w:val="1"/>
        </w:numPr>
        <w:rPr>
          <w:rFonts w:eastAsia="Times New Roman"/>
        </w:rPr>
      </w:pPr>
      <w:r>
        <w:rPr>
          <w:rFonts w:eastAsia="Times New Roman"/>
        </w:rPr>
        <w:t>Does not affect the deemed to comply / compliance provisions of the EPA’s rules</w:t>
      </w:r>
      <w:r w:rsidR="008469F0">
        <w:rPr>
          <w:rFonts w:eastAsia="Times New Roman"/>
        </w:rPr>
        <w:t xml:space="preserve">, which </w:t>
      </w:r>
      <w:r w:rsidR="007F69FF">
        <w:rPr>
          <w:rFonts w:eastAsia="Times New Roman"/>
        </w:rPr>
        <w:t>have not changed,</w:t>
      </w:r>
      <w:r>
        <w:rPr>
          <w:rFonts w:eastAsia="Times New Roman"/>
        </w:rPr>
        <w:t xml:space="preserve"> nor require the state to enforce the EPA’s rules. </w:t>
      </w:r>
    </w:p>
    <w:p w14:paraId="71662A11" w14:textId="77777777" w:rsidR="00FD499A" w:rsidRDefault="00FD499A">
      <w:pPr>
        <w:rPr>
          <w:b/>
          <w:bCs/>
          <w:sz w:val="24"/>
          <w:szCs w:val="24"/>
        </w:rPr>
      </w:pPr>
      <w:r>
        <w:rPr>
          <w:b/>
          <w:bCs/>
          <w:sz w:val="24"/>
          <w:szCs w:val="24"/>
        </w:rPr>
        <w:br w:type="page"/>
      </w:r>
    </w:p>
    <w:p w14:paraId="7853AA18" w14:textId="58BD4E00" w:rsidR="003F6B46" w:rsidRPr="003F6B46" w:rsidRDefault="003F6B46" w:rsidP="00546C8C">
      <w:pPr>
        <w:rPr>
          <w:b/>
          <w:bCs/>
          <w:sz w:val="24"/>
          <w:szCs w:val="24"/>
        </w:rPr>
      </w:pPr>
      <w:r w:rsidRPr="003F6B46">
        <w:rPr>
          <w:b/>
          <w:bCs/>
          <w:sz w:val="24"/>
          <w:szCs w:val="24"/>
        </w:rPr>
        <w:lastRenderedPageBreak/>
        <w:t xml:space="preserve">FLR 20.2 </w:t>
      </w:r>
      <w:r w:rsidR="007176CF">
        <w:rPr>
          <w:b/>
          <w:bCs/>
          <w:sz w:val="24"/>
          <w:szCs w:val="24"/>
        </w:rPr>
        <w:t>(changes to our original proposal are highlighted below)</w:t>
      </w:r>
    </w:p>
    <w:p w14:paraId="36B71125" w14:textId="50C35922" w:rsidR="00546C8C" w:rsidRPr="00546C8C" w:rsidRDefault="00546C8C" w:rsidP="00546C8C">
      <w:pPr>
        <w:rPr>
          <w:b/>
          <w:bCs/>
        </w:rPr>
      </w:pPr>
      <w:r w:rsidRPr="00546C8C">
        <w:rPr>
          <w:b/>
          <w:bCs/>
        </w:rPr>
        <w:t xml:space="preserve">1.23. Ethanol Flex Fuel. – Blends of ethanol and hydrocarbons restricted for use as fuel in ground vehicles equipped with flexible-fuel spark-ignition engines. </w:t>
      </w:r>
      <w:r w:rsidRPr="00546C8C">
        <w:rPr>
          <w:b/>
          <w:bCs/>
          <w:u w:val="single"/>
        </w:rPr>
        <w:t>Ethanol Flex Fuel intended for blending with gasoline and gasoline ethanol blends shall contain certified components e.g., blending of ethanol flex fuel containing natural gas liquids is prohibited unless certified consistent with 40 CFR 80.28(g)(8) requirements.</w:t>
      </w:r>
    </w:p>
    <w:p w14:paraId="28198F96" w14:textId="77777777" w:rsidR="00546C8C" w:rsidRPr="00546C8C" w:rsidRDefault="00546C8C" w:rsidP="00546C8C">
      <w:pPr>
        <w:rPr>
          <w:b/>
          <w:bCs/>
        </w:rPr>
      </w:pPr>
      <w:r w:rsidRPr="00546C8C">
        <w:rPr>
          <w:b/>
          <w:bCs/>
        </w:rPr>
        <w:t xml:space="preserve">(Amended 2014 </w:t>
      </w:r>
      <w:r w:rsidRPr="00546C8C">
        <w:rPr>
          <w:b/>
          <w:bCs/>
          <w:u w:val="single"/>
        </w:rPr>
        <w:t>and 20XX</w:t>
      </w:r>
      <w:r w:rsidRPr="00546C8C">
        <w:rPr>
          <w:b/>
          <w:bCs/>
        </w:rPr>
        <w:t>)</w:t>
      </w:r>
    </w:p>
    <w:p w14:paraId="57DE6781" w14:textId="641AC2D5" w:rsidR="00B432E7" w:rsidRDefault="005C0FDE" w:rsidP="005C0FDE">
      <w:pPr>
        <w:rPr>
          <w:b/>
          <w:bCs/>
        </w:rPr>
      </w:pPr>
      <w:r w:rsidRPr="005C0FDE">
        <w:rPr>
          <w:b/>
          <w:bCs/>
        </w:rPr>
        <w:t xml:space="preserve">2.1.2. Gasoline-Ethanol Blends. – </w:t>
      </w:r>
    </w:p>
    <w:p w14:paraId="25C68772" w14:textId="2BF83F94" w:rsidR="005C0FDE" w:rsidRDefault="00B432E7" w:rsidP="005C0FDE">
      <w:r w:rsidRPr="007176CF">
        <w:rPr>
          <w:b/>
          <w:bCs/>
          <w:highlight w:val="yellow"/>
          <w:u w:val="single"/>
        </w:rPr>
        <w:t>(a)</w:t>
      </w:r>
      <w:r w:rsidRPr="00964BF2">
        <w:rPr>
          <w:u w:val="single"/>
        </w:rPr>
        <w:t xml:space="preserve"> </w:t>
      </w:r>
      <w:r w:rsidR="005C0FDE" w:rsidRPr="005C0FDE">
        <w:t>When gasoline is blended with denatured fuel ethanol, the denatured fuel ethanol shall meet the latest version of ASTM D4806, “Standard Specification for Denatured Fuel Ethanol for Blending with Gasolines for Use as Automotive Spark-Ignition Engine Fuel</w:t>
      </w:r>
      <w:r w:rsidR="00FE650E">
        <w:t>,</w:t>
      </w:r>
      <w:r w:rsidR="005C0FDE" w:rsidRPr="005C0FDE">
        <w:t>”</w:t>
      </w:r>
      <w:r w:rsidR="00FE650E">
        <w:t xml:space="preserve"> and the </w:t>
      </w:r>
      <w:r w:rsidR="005C0FDE" w:rsidRPr="005C0FDE">
        <w:t xml:space="preserve">shall meet the latest version of ASTM D4814, “Standard Specification for Automotive Spark-Ignition Engine Fuel,” with the </w:t>
      </w:r>
      <w:r w:rsidR="005C0FDE" w:rsidRPr="007176CF">
        <w:rPr>
          <w:b/>
          <w:bCs/>
          <w:strike/>
          <w:highlight w:val="yellow"/>
        </w:rPr>
        <w:t>following</w:t>
      </w:r>
      <w:r w:rsidR="005C0FDE" w:rsidRPr="005C0FDE">
        <w:t xml:space="preserve"> permissible exceptions</w:t>
      </w:r>
      <w:r w:rsidR="005C0FDE">
        <w:t xml:space="preserve"> </w:t>
      </w:r>
      <w:r w:rsidR="005C0FDE" w:rsidRPr="007176CF">
        <w:rPr>
          <w:b/>
          <w:bCs/>
          <w:highlight w:val="yellow"/>
          <w:u w:val="single"/>
        </w:rPr>
        <w:t>in (</w:t>
      </w:r>
      <w:r w:rsidR="000167BE" w:rsidRPr="007176CF">
        <w:rPr>
          <w:b/>
          <w:bCs/>
          <w:highlight w:val="yellow"/>
          <w:u w:val="single"/>
        </w:rPr>
        <w:t>c</w:t>
      </w:r>
      <w:r w:rsidR="005C0FDE" w:rsidRPr="007176CF">
        <w:rPr>
          <w:b/>
          <w:bCs/>
          <w:highlight w:val="yellow"/>
          <w:u w:val="single"/>
        </w:rPr>
        <w:t>).</w:t>
      </w:r>
      <w:r w:rsidR="005C0FDE" w:rsidRPr="007176CF">
        <w:rPr>
          <w:b/>
          <w:bCs/>
          <w:strike/>
          <w:highlight w:val="yellow"/>
        </w:rPr>
        <w:t>:</w:t>
      </w:r>
      <w:r w:rsidR="005C0FDE" w:rsidRPr="005C0FDE">
        <w:t xml:space="preserve"> </w:t>
      </w:r>
    </w:p>
    <w:p w14:paraId="4287FD68" w14:textId="4D026898" w:rsidR="00256938" w:rsidRDefault="00256938" w:rsidP="005C0FDE">
      <w:pPr>
        <w:rPr>
          <w:b/>
          <w:bCs/>
          <w:u w:val="single"/>
        </w:rPr>
      </w:pPr>
      <w:r w:rsidRPr="007176CF">
        <w:rPr>
          <w:b/>
          <w:bCs/>
          <w:highlight w:val="yellow"/>
          <w:u w:val="single"/>
        </w:rPr>
        <w:t>(</w:t>
      </w:r>
      <w:r w:rsidR="000167BE" w:rsidRPr="007176CF">
        <w:rPr>
          <w:b/>
          <w:bCs/>
          <w:highlight w:val="yellow"/>
          <w:u w:val="single"/>
        </w:rPr>
        <w:t>b</w:t>
      </w:r>
      <w:r w:rsidRPr="007176CF">
        <w:rPr>
          <w:b/>
          <w:bCs/>
          <w:highlight w:val="yellow"/>
          <w:u w:val="single"/>
        </w:rPr>
        <w:t>) When gasoline or gasoline-ethanol blends are blended with ethanol flex fuel to produce</w:t>
      </w:r>
      <w:r w:rsidR="00964BF2" w:rsidRPr="007176CF">
        <w:rPr>
          <w:b/>
          <w:bCs/>
          <w:highlight w:val="yellow"/>
          <w:u w:val="single"/>
        </w:rPr>
        <w:t xml:space="preserve"> a</w:t>
      </w:r>
      <w:r w:rsidRPr="007176CF">
        <w:rPr>
          <w:b/>
          <w:bCs/>
          <w:highlight w:val="yellow"/>
          <w:u w:val="single"/>
        </w:rPr>
        <w:t xml:space="preserve"> gasoline-ethanol blend, the hydrocarbon portion of the gasoline, gasoline-ethanol blend, and ethanol flex fuel used to produce the new </w:t>
      </w:r>
      <w:r w:rsidR="00CC5D6A" w:rsidRPr="007176CF">
        <w:rPr>
          <w:b/>
          <w:bCs/>
          <w:highlight w:val="yellow"/>
          <w:u w:val="single"/>
        </w:rPr>
        <w:t xml:space="preserve">gasoline-ethanol </w:t>
      </w:r>
      <w:r w:rsidRPr="007176CF">
        <w:rPr>
          <w:b/>
          <w:bCs/>
          <w:highlight w:val="yellow"/>
          <w:u w:val="single"/>
        </w:rPr>
        <w:t>blend shall not exceed the applicable maximum vapor pressure limits of the latest version of ASTM D4814, “Standard Specification for Automotive Spark-Ignition Engine Fuel</w:t>
      </w:r>
      <w:r w:rsidR="007822D7" w:rsidRPr="007176CF">
        <w:rPr>
          <w:b/>
          <w:bCs/>
          <w:highlight w:val="yellow"/>
          <w:u w:val="single"/>
        </w:rPr>
        <w:t>.</w:t>
      </w:r>
      <w:r w:rsidRPr="007176CF">
        <w:rPr>
          <w:b/>
          <w:bCs/>
          <w:highlight w:val="yellow"/>
          <w:u w:val="single"/>
        </w:rPr>
        <w:t>”</w:t>
      </w:r>
    </w:p>
    <w:p w14:paraId="707371BF" w14:textId="2D85DA21" w:rsidR="004C3EBB" w:rsidRDefault="004C3EBB" w:rsidP="005C0FDE">
      <w:pPr>
        <w:rPr>
          <w:b/>
          <w:bCs/>
          <w:u w:val="single"/>
        </w:rPr>
      </w:pPr>
      <w:r>
        <w:rPr>
          <w:b/>
          <w:bCs/>
          <w:u w:val="single"/>
        </w:rPr>
        <w:t>(Added 20XX)</w:t>
      </w:r>
    </w:p>
    <w:p w14:paraId="0657C433" w14:textId="5FF64E97" w:rsidR="00F6299F" w:rsidRPr="00F6299F" w:rsidRDefault="00F6299F" w:rsidP="00F6299F">
      <w:pPr>
        <w:pStyle w:val="NormalWeb"/>
        <w:spacing w:before="200" w:beforeAutospacing="0" w:after="0" w:afterAutospacing="0" w:line="216" w:lineRule="auto"/>
        <w:rPr>
          <w:rFonts w:asciiTheme="minorHAnsi" w:hAnsiTheme="minorHAnsi" w:cstheme="minorHAnsi"/>
          <w:sz w:val="22"/>
          <w:szCs w:val="22"/>
        </w:rPr>
      </w:pPr>
      <w:r w:rsidRPr="007176CF">
        <w:rPr>
          <w:rFonts w:asciiTheme="minorHAnsi" w:eastAsiaTheme="minorEastAsia" w:hAnsiTheme="minorHAnsi" w:cstheme="minorHAnsi"/>
          <w:b/>
          <w:bCs/>
          <w:strike/>
          <w:color w:val="000000" w:themeColor="text1"/>
          <w:kern w:val="24"/>
          <w:sz w:val="22"/>
          <w:szCs w:val="22"/>
          <w:highlight w:val="yellow"/>
        </w:rPr>
        <w:t>(a)</w:t>
      </w:r>
      <w:r w:rsidRPr="007176CF">
        <w:rPr>
          <w:rFonts w:asciiTheme="minorHAnsi" w:eastAsiaTheme="minorEastAsia" w:hAnsiTheme="minorHAnsi" w:cstheme="minorHAnsi"/>
          <w:b/>
          <w:bCs/>
          <w:color w:val="000000" w:themeColor="text1"/>
          <w:kern w:val="24"/>
          <w:sz w:val="22"/>
          <w:szCs w:val="22"/>
          <w:highlight w:val="yellow"/>
        </w:rPr>
        <w:t xml:space="preserve"> </w:t>
      </w:r>
      <w:r w:rsidRPr="007176CF">
        <w:rPr>
          <w:rFonts w:asciiTheme="minorHAnsi" w:eastAsiaTheme="minorEastAsia" w:hAnsiTheme="minorHAnsi" w:cstheme="minorHAnsi"/>
          <w:b/>
          <w:bCs/>
          <w:color w:val="000000" w:themeColor="text1"/>
          <w:kern w:val="24"/>
          <w:sz w:val="22"/>
          <w:szCs w:val="22"/>
          <w:highlight w:val="yellow"/>
          <w:u w:val="single"/>
        </w:rPr>
        <w:t>(c)</w:t>
      </w:r>
      <w:r w:rsidRPr="00F6299F">
        <w:rPr>
          <w:rFonts w:asciiTheme="minorHAnsi" w:eastAsiaTheme="minorEastAsia" w:hAnsiTheme="minorHAnsi" w:cstheme="minorHAnsi"/>
          <w:color w:val="000000" w:themeColor="text1"/>
          <w:kern w:val="24"/>
          <w:sz w:val="22"/>
          <w:szCs w:val="22"/>
        </w:rPr>
        <w:t xml:space="preserve"> The maximum vapor pressure shall not exceed the latest edition of ASTM D4814 limits by more than:</w:t>
      </w:r>
    </w:p>
    <w:p w14:paraId="700E961E" w14:textId="77777777" w:rsidR="00F6299F" w:rsidRPr="00F6299F" w:rsidRDefault="00F6299F" w:rsidP="00F6299F">
      <w:pPr>
        <w:pStyle w:val="NormalWeb"/>
        <w:spacing w:before="200" w:beforeAutospacing="0" w:after="0" w:afterAutospacing="0" w:line="216" w:lineRule="auto"/>
        <w:rPr>
          <w:rFonts w:asciiTheme="minorHAnsi" w:hAnsiTheme="minorHAnsi" w:cstheme="minorHAnsi"/>
          <w:sz w:val="22"/>
          <w:szCs w:val="22"/>
        </w:rPr>
      </w:pPr>
      <w:r w:rsidRPr="00F6299F">
        <w:rPr>
          <w:rFonts w:asciiTheme="minorHAnsi" w:eastAsiaTheme="minorEastAsia" w:hAnsiTheme="minorHAnsi" w:cstheme="minorHAnsi"/>
          <w:color w:val="000000" w:themeColor="text1"/>
          <w:kern w:val="24"/>
          <w:sz w:val="22"/>
          <w:szCs w:val="22"/>
        </w:rPr>
        <w:t xml:space="preserve">(1) 1.0 psi for blends </w:t>
      </w:r>
      <w:r w:rsidRPr="00F6299F">
        <w:rPr>
          <w:rFonts w:asciiTheme="minorHAnsi" w:eastAsiaTheme="minorEastAsia" w:hAnsiTheme="minorHAnsi" w:cstheme="minorHAnsi"/>
          <w:b/>
          <w:bCs/>
          <w:color w:val="000000" w:themeColor="text1"/>
          <w:kern w:val="24"/>
          <w:sz w:val="22"/>
          <w:szCs w:val="22"/>
          <w:u w:val="single"/>
        </w:rPr>
        <w:t>containing at least 9 and not more than 15 volume percent ethanol</w:t>
      </w:r>
      <w:r w:rsidRPr="00F6299F">
        <w:rPr>
          <w:rFonts w:asciiTheme="minorHAnsi" w:eastAsiaTheme="minorEastAsia" w:hAnsiTheme="minorHAnsi" w:cstheme="minorHAnsi"/>
          <w:color w:val="000000" w:themeColor="text1"/>
          <w:kern w:val="24"/>
          <w:sz w:val="22"/>
          <w:szCs w:val="22"/>
        </w:rPr>
        <w:t xml:space="preserve"> from June 1 through September 15 as allowed by EPA per 40 CFR 80.27(d).</w:t>
      </w:r>
    </w:p>
    <w:p w14:paraId="7AA1E293" w14:textId="77777777" w:rsidR="00F6299F" w:rsidRPr="00F6299F" w:rsidRDefault="00F6299F" w:rsidP="00F6299F">
      <w:pPr>
        <w:pStyle w:val="NormalWeb"/>
        <w:spacing w:before="200" w:beforeAutospacing="0" w:after="0" w:afterAutospacing="0" w:line="216" w:lineRule="auto"/>
        <w:rPr>
          <w:rFonts w:asciiTheme="minorHAnsi" w:hAnsiTheme="minorHAnsi" w:cstheme="minorHAnsi"/>
          <w:sz w:val="22"/>
          <w:szCs w:val="22"/>
        </w:rPr>
      </w:pPr>
      <w:r w:rsidRPr="00F6299F">
        <w:rPr>
          <w:rFonts w:asciiTheme="minorHAnsi" w:eastAsiaTheme="minorEastAsia" w:hAnsiTheme="minorHAnsi" w:cstheme="minorHAnsi"/>
          <w:b/>
          <w:bCs/>
          <w:color w:val="000000" w:themeColor="text1"/>
          <w:kern w:val="24"/>
          <w:sz w:val="22"/>
          <w:szCs w:val="22"/>
          <w:u w:val="single"/>
        </w:rPr>
        <w:t>(Amended 20XX)</w:t>
      </w:r>
    </w:p>
    <w:p w14:paraId="05EED7AF" w14:textId="2F7E0DFA" w:rsidR="00B667BF" w:rsidRDefault="00B667BF" w:rsidP="005C0FDE">
      <w:pPr>
        <w:rPr>
          <w:b/>
          <w:bCs/>
          <w:u w:val="single"/>
        </w:rPr>
      </w:pPr>
    </w:p>
    <w:p w14:paraId="7CB7BAE2" w14:textId="27AC597B" w:rsidR="005C0FDE" w:rsidRPr="005C0FDE" w:rsidRDefault="005C0FDE" w:rsidP="005C0FDE">
      <w:r w:rsidRPr="005C0FDE">
        <w:t>(Amended 2016</w:t>
      </w:r>
      <w:r w:rsidRPr="005C0FDE">
        <w:rPr>
          <w:b/>
          <w:bCs/>
          <w:u w:val="single"/>
        </w:rPr>
        <w:t>,</w:t>
      </w:r>
      <w:r w:rsidRPr="005C0FDE">
        <w:rPr>
          <w:b/>
          <w:bCs/>
        </w:rPr>
        <w:t xml:space="preserve"> and</w:t>
      </w:r>
      <w:r w:rsidRPr="005C0FDE">
        <w:t xml:space="preserve"> 2018</w:t>
      </w:r>
      <w:r>
        <w:t>, 2019</w:t>
      </w:r>
      <w:r w:rsidRPr="005C0FDE">
        <w:t xml:space="preserve"> </w:t>
      </w:r>
      <w:r w:rsidRPr="005C0FDE">
        <w:rPr>
          <w:b/>
          <w:bCs/>
          <w:u w:val="single"/>
        </w:rPr>
        <w:t>and 20XX</w:t>
      </w:r>
      <w:r w:rsidRPr="005C0FDE">
        <w:t>)</w:t>
      </w:r>
    </w:p>
    <w:p w14:paraId="29B7B500" w14:textId="75D6A29F" w:rsidR="005C0FDE" w:rsidRDefault="00256938">
      <w:pPr>
        <w:rPr>
          <w:i/>
          <w:iCs/>
        </w:rPr>
      </w:pPr>
      <w:r w:rsidRPr="00256938">
        <w:rPr>
          <w:i/>
          <w:iCs/>
        </w:rPr>
        <w:t xml:space="preserve">NOTE: </w:t>
      </w:r>
      <w:r>
        <w:rPr>
          <w:i/>
          <w:iCs/>
        </w:rPr>
        <w:t>The values shown above appear only in U.S. customary units to ensure that the values are identical  to those in ASTM standard and the Environmental Protection Agency regulation.</w:t>
      </w:r>
    </w:p>
    <w:p w14:paraId="5453B8F3" w14:textId="66CFE321" w:rsidR="00256938" w:rsidRPr="00256938" w:rsidRDefault="00256938">
      <w:r w:rsidRPr="00256938">
        <w:t>(Added 2009) (Amended 2012 and 2016)</w:t>
      </w:r>
    </w:p>
    <w:sectPr w:rsidR="00256938" w:rsidRPr="0025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03DCF"/>
    <w:multiLevelType w:val="hybridMultilevel"/>
    <w:tmpl w:val="E70EAF9A"/>
    <w:lvl w:ilvl="0" w:tplc="4D6698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DE"/>
    <w:rsid w:val="000167BE"/>
    <w:rsid w:val="00030226"/>
    <w:rsid w:val="000375F2"/>
    <w:rsid w:val="00043119"/>
    <w:rsid w:val="00054F75"/>
    <w:rsid w:val="0007590A"/>
    <w:rsid w:val="0009426D"/>
    <w:rsid w:val="00094FB0"/>
    <w:rsid w:val="000B3BE6"/>
    <w:rsid w:val="000D45E4"/>
    <w:rsid w:val="000F0CBE"/>
    <w:rsid w:val="000F67CC"/>
    <w:rsid w:val="00100BF0"/>
    <w:rsid w:val="00101F6C"/>
    <w:rsid w:val="00105595"/>
    <w:rsid w:val="00131C59"/>
    <w:rsid w:val="00171620"/>
    <w:rsid w:val="0017674F"/>
    <w:rsid w:val="001865B3"/>
    <w:rsid w:val="00195153"/>
    <w:rsid w:val="001A0B5C"/>
    <w:rsid w:val="001C6F09"/>
    <w:rsid w:val="001D2A4B"/>
    <w:rsid w:val="001F5BA5"/>
    <w:rsid w:val="00212DBD"/>
    <w:rsid w:val="00216062"/>
    <w:rsid w:val="00222455"/>
    <w:rsid w:val="00223F9D"/>
    <w:rsid w:val="002309D6"/>
    <w:rsid w:val="00233E91"/>
    <w:rsid w:val="00253A88"/>
    <w:rsid w:val="00256938"/>
    <w:rsid w:val="00262054"/>
    <w:rsid w:val="00286DAA"/>
    <w:rsid w:val="00296E70"/>
    <w:rsid w:val="0029722F"/>
    <w:rsid w:val="002B2178"/>
    <w:rsid w:val="002C7785"/>
    <w:rsid w:val="002D0BF4"/>
    <w:rsid w:val="00312A11"/>
    <w:rsid w:val="003255BA"/>
    <w:rsid w:val="00327514"/>
    <w:rsid w:val="00361AAA"/>
    <w:rsid w:val="00382B01"/>
    <w:rsid w:val="00395896"/>
    <w:rsid w:val="003B3FC4"/>
    <w:rsid w:val="003F60A2"/>
    <w:rsid w:val="003F6B46"/>
    <w:rsid w:val="004101F6"/>
    <w:rsid w:val="00420315"/>
    <w:rsid w:val="00434DA1"/>
    <w:rsid w:val="0043674F"/>
    <w:rsid w:val="004542B1"/>
    <w:rsid w:val="00462C47"/>
    <w:rsid w:val="004756FB"/>
    <w:rsid w:val="00482FCF"/>
    <w:rsid w:val="00483A65"/>
    <w:rsid w:val="004C3EBB"/>
    <w:rsid w:val="004D3B47"/>
    <w:rsid w:val="004E370D"/>
    <w:rsid w:val="00525D8E"/>
    <w:rsid w:val="00526293"/>
    <w:rsid w:val="00527D9D"/>
    <w:rsid w:val="00546C8C"/>
    <w:rsid w:val="005537DA"/>
    <w:rsid w:val="00555F9B"/>
    <w:rsid w:val="0057216C"/>
    <w:rsid w:val="00590FB8"/>
    <w:rsid w:val="005A05C9"/>
    <w:rsid w:val="005A378B"/>
    <w:rsid w:val="005C0FDE"/>
    <w:rsid w:val="005D783E"/>
    <w:rsid w:val="005E201B"/>
    <w:rsid w:val="005F669B"/>
    <w:rsid w:val="00600A4F"/>
    <w:rsid w:val="006043DE"/>
    <w:rsid w:val="006A60F9"/>
    <w:rsid w:val="006C1A12"/>
    <w:rsid w:val="006D4BEC"/>
    <w:rsid w:val="006E2749"/>
    <w:rsid w:val="00704864"/>
    <w:rsid w:val="007176CF"/>
    <w:rsid w:val="00733F32"/>
    <w:rsid w:val="007435B7"/>
    <w:rsid w:val="007461AD"/>
    <w:rsid w:val="00750488"/>
    <w:rsid w:val="0077139A"/>
    <w:rsid w:val="0077796A"/>
    <w:rsid w:val="007822D7"/>
    <w:rsid w:val="00797931"/>
    <w:rsid w:val="007A431C"/>
    <w:rsid w:val="007A5789"/>
    <w:rsid w:val="007D49B7"/>
    <w:rsid w:val="007E6BF3"/>
    <w:rsid w:val="007F5D5E"/>
    <w:rsid w:val="007F69FF"/>
    <w:rsid w:val="00803300"/>
    <w:rsid w:val="0081023B"/>
    <w:rsid w:val="00824818"/>
    <w:rsid w:val="008469F0"/>
    <w:rsid w:val="0085488A"/>
    <w:rsid w:val="008905B0"/>
    <w:rsid w:val="00892277"/>
    <w:rsid w:val="008B5F6D"/>
    <w:rsid w:val="008C0B4B"/>
    <w:rsid w:val="00900245"/>
    <w:rsid w:val="00900D39"/>
    <w:rsid w:val="0091091C"/>
    <w:rsid w:val="00914A21"/>
    <w:rsid w:val="009172D2"/>
    <w:rsid w:val="00922846"/>
    <w:rsid w:val="0092506A"/>
    <w:rsid w:val="0093701D"/>
    <w:rsid w:val="0093774F"/>
    <w:rsid w:val="00941D3F"/>
    <w:rsid w:val="0096196B"/>
    <w:rsid w:val="00964BF2"/>
    <w:rsid w:val="00964D5A"/>
    <w:rsid w:val="00965130"/>
    <w:rsid w:val="00967498"/>
    <w:rsid w:val="00980EB3"/>
    <w:rsid w:val="009A55BB"/>
    <w:rsid w:val="009C6FC8"/>
    <w:rsid w:val="00A21D7D"/>
    <w:rsid w:val="00A3431C"/>
    <w:rsid w:val="00A35010"/>
    <w:rsid w:val="00A51113"/>
    <w:rsid w:val="00A54193"/>
    <w:rsid w:val="00A56C9F"/>
    <w:rsid w:val="00A73B64"/>
    <w:rsid w:val="00A84C01"/>
    <w:rsid w:val="00A95DBF"/>
    <w:rsid w:val="00AB1D20"/>
    <w:rsid w:val="00AC6119"/>
    <w:rsid w:val="00AE5D23"/>
    <w:rsid w:val="00AF213F"/>
    <w:rsid w:val="00B14CF3"/>
    <w:rsid w:val="00B35DE8"/>
    <w:rsid w:val="00B432E7"/>
    <w:rsid w:val="00B560F8"/>
    <w:rsid w:val="00B62D79"/>
    <w:rsid w:val="00B63F7D"/>
    <w:rsid w:val="00B65104"/>
    <w:rsid w:val="00B667BF"/>
    <w:rsid w:val="00B673EB"/>
    <w:rsid w:val="00B831C9"/>
    <w:rsid w:val="00B92FC8"/>
    <w:rsid w:val="00BA6981"/>
    <w:rsid w:val="00BC1521"/>
    <w:rsid w:val="00BD6669"/>
    <w:rsid w:val="00BE3AF7"/>
    <w:rsid w:val="00C034F6"/>
    <w:rsid w:val="00C03868"/>
    <w:rsid w:val="00C34385"/>
    <w:rsid w:val="00C617DB"/>
    <w:rsid w:val="00C739BF"/>
    <w:rsid w:val="00C73E4B"/>
    <w:rsid w:val="00C75CA7"/>
    <w:rsid w:val="00CA1EB6"/>
    <w:rsid w:val="00CC5D6A"/>
    <w:rsid w:val="00CC5DEA"/>
    <w:rsid w:val="00CC660D"/>
    <w:rsid w:val="00CD7EFD"/>
    <w:rsid w:val="00CE6E97"/>
    <w:rsid w:val="00D24992"/>
    <w:rsid w:val="00D33E74"/>
    <w:rsid w:val="00D43414"/>
    <w:rsid w:val="00D50AA4"/>
    <w:rsid w:val="00D71790"/>
    <w:rsid w:val="00D83EF0"/>
    <w:rsid w:val="00D9063D"/>
    <w:rsid w:val="00DA74F6"/>
    <w:rsid w:val="00DB77CC"/>
    <w:rsid w:val="00DF7372"/>
    <w:rsid w:val="00E04049"/>
    <w:rsid w:val="00E17F8D"/>
    <w:rsid w:val="00E615F2"/>
    <w:rsid w:val="00E619D1"/>
    <w:rsid w:val="00E67AF7"/>
    <w:rsid w:val="00E72229"/>
    <w:rsid w:val="00E76F08"/>
    <w:rsid w:val="00E82594"/>
    <w:rsid w:val="00EA6D04"/>
    <w:rsid w:val="00EB594A"/>
    <w:rsid w:val="00EB6516"/>
    <w:rsid w:val="00EE48E7"/>
    <w:rsid w:val="00F11F9F"/>
    <w:rsid w:val="00F4791D"/>
    <w:rsid w:val="00F6299F"/>
    <w:rsid w:val="00F64612"/>
    <w:rsid w:val="00FB0E65"/>
    <w:rsid w:val="00FB72FC"/>
    <w:rsid w:val="00FD499A"/>
    <w:rsid w:val="00FD67FE"/>
    <w:rsid w:val="00FE44F5"/>
    <w:rsid w:val="00FE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C6E1"/>
  <w15:chartTrackingRefBased/>
  <w15:docId w15:val="{F0B0E417-AF72-4992-9CFE-D25E519A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6938"/>
    <w:rPr>
      <w:sz w:val="16"/>
      <w:szCs w:val="16"/>
    </w:rPr>
  </w:style>
  <w:style w:type="paragraph" w:styleId="CommentText">
    <w:name w:val="annotation text"/>
    <w:basedOn w:val="Normal"/>
    <w:link w:val="CommentTextChar"/>
    <w:uiPriority w:val="99"/>
    <w:semiHidden/>
    <w:unhideWhenUsed/>
    <w:rsid w:val="00256938"/>
    <w:pPr>
      <w:spacing w:line="240" w:lineRule="auto"/>
    </w:pPr>
    <w:rPr>
      <w:sz w:val="20"/>
      <w:szCs w:val="20"/>
    </w:rPr>
  </w:style>
  <w:style w:type="character" w:customStyle="1" w:styleId="CommentTextChar">
    <w:name w:val="Comment Text Char"/>
    <w:basedOn w:val="DefaultParagraphFont"/>
    <w:link w:val="CommentText"/>
    <w:uiPriority w:val="99"/>
    <w:semiHidden/>
    <w:rsid w:val="00256938"/>
    <w:rPr>
      <w:sz w:val="20"/>
      <w:szCs w:val="20"/>
    </w:rPr>
  </w:style>
  <w:style w:type="paragraph" w:styleId="CommentSubject">
    <w:name w:val="annotation subject"/>
    <w:basedOn w:val="CommentText"/>
    <w:next w:val="CommentText"/>
    <w:link w:val="CommentSubjectChar"/>
    <w:uiPriority w:val="99"/>
    <w:semiHidden/>
    <w:unhideWhenUsed/>
    <w:rsid w:val="00256938"/>
    <w:rPr>
      <w:b/>
      <w:bCs/>
    </w:rPr>
  </w:style>
  <w:style w:type="character" w:customStyle="1" w:styleId="CommentSubjectChar">
    <w:name w:val="Comment Subject Char"/>
    <w:basedOn w:val="CommentTextChar"/>
    <w:link w:val="CommentSubject"/>
    <w:uiPriority w:val="99"/>
    <w:semiHidden/>
    <w:rsid w:val="00256938"/>
    <w:rPr>
      <w:b/>
      <w:bCs/>
      <w:sz w:val="20"/>
      <w:szCs w:val="20"/>
    </w:rPr>
  </w:style>
  <w:style w:type="paragraph" w:styleId="BalloonText">
    <w:name w:val="Balloon Text"/>
    <w:basedOn w:val="Normal"/>
    <w:link w:val="BalloonTextChar"/>
    <w:uiPriority w:val="99"/>
    <w:semiHidden/>
    <w:unhideWhenUsed/>
    <w:rsid w:val="00256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938"/>
    <w:rPr>
      <w:rFonts w:ascii="Segoe UI" w:hAnsi="Segoe UI" w:cs="Segoe UI"/>
      <w:sz w:val="18"/>
      <w:szCs w:val="18"/>
    </w:rPr>
  </w:style>
  <w:style w:type="paragraph" w:styleId="NormalWeb">
    <w:name w:val="Normal (Web)"/>
    <w:basedOn w:val="Normal"/>
    <w:uiPriority w:val="99"/>
    <w:semiHidden/>
    <w:unhideWhenUsed/>
    <w:rsid w:val="00F629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589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2984">
      <w:bodyDiv w:val="1"/>
      <w:marLeft w:val="0"/>
      <w:marRight w:val="0"/>
      <w:marTop w:val="0"/>
      <w:marBottom w:val="0"/>
      <w:divBdr>
        <w:top w:val="none" w:sz="0" w:space="0" w:color="auto"/>
        <w:left w:val="none" w:sz="0" w:space="0" w:color="auto"/>
        <w:bottom w:val="none" w:sz="0" w:space="0" w:color="auto"/>
        <w:right w:val="none" w:sz="0" w:space="0" w:color="auto"/>
      </w:divBdr>
    </w:div>
    <w:div w:id="543247878">
      <w:bodyDiv w:val="1"/>
      <w:marLeft w:val="0"/>
      <w:marRight w:val="0"/>
      <w:marTop w:val="0"/>
      <w:marBottom w:val="0"/>
      <w:divBdr>
        <w:top w:val="none" w:sz="0" w:space="0" w:color="auto"/>
        <w:left w:val="none" w:sz="0" w:space="0" w:color="auto"/>
        <w:bottom w:val="none" w:sz="0" w:space="0" w:color="auto"/>
        <w:right w:val="none" w:sz="0" w:space="0" w:color="auto"/>
      </w:divBdr>
    </w:div>
    <w:div w:id="1319269477">
      <w:bodyDiv w:val="1"/>
      <w:marLeft w:val="0"/>
      <w:marRight w:val="0"/>
      <w:marTop w:val="0"/>
      <w:marBottom w:val="0"/>
      <w:divBdr>
        <w:top w:val="none" w:sz="0" w:space="0" w:color="auto"/>
        <w:left w:val="none" w:sz="0" w:space="0" w:color="auto"/>
        <w:bottom w:val="none" w:sz="0" w:space="0" w:color="auto"/>
        <w:right w:val="none" w:sz="0" w:space="0" w:color="auto"/>
      </w:divBdr>
    </w:div>
    <w:div w:id="1754089357">
      <w:bodyDiv w:val="1"/>
      <w:marLeft w:val="0"/>
      <w:marRight w:val="0"/>
      <w:marTop w:val="0"/>
      <w:marBottom w:val="0"/>
      <w:divBdr>
        <w:top w:val="none" w:sz="0" w:space="0" w:color="auto"/>
        <w:left w:val="none" w:sz="0" w:space="0" w:color="auto"/>
        <w:bottom w:val="none" w:sz="0" w:space="0" w:color="auto"/>
        <w:right w:val="none" w:sz="0" w:space="0" w:color="auto"/>
      </w:divBdr>
    </w:div>
    <w:div w:id="20651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EEDA-56F5-41B9-AFC0-8D5F74C94B7B}">
  <ds:schemaRefs>
    <ds:schemaRef ds:uri="http://schemas.microsoft.com/sharepoint/v3/contenttype/forms"/>
  </ds:schemaRefs>
</ds:datastoreItem>
</file>

<file path=customXml/itemProps2.xml><?xml version="1.0" encoding="utf-8"?>
<ds:datastoreItem xmlns:ds="http://schemas.openxmlformats.org/officeDocument/2006/customXml" ds:itemID="{2DDC6A01-A992-4C97-A80D-460300381AB0}">
  <ds:schemaRefs>
    <ds:schemaRef ds:uri="http://purl.org/dc/elements/1.1/"/>
    <ds:schemaRef ds:uri="http://schemas.microsoft.com/office/2006/metadata/properties"/>
    <ds:schemaRef ds:uri="e1c729d5-d8dd-4ccd-87aa-46ea52ddd4a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821e515-2ed6-42dc-8244-a8315a5cc19a"/>
    <ds:schemaRef ds:uri="http://www.w3.org/XML/1998/namespace"/>
    <ds:schemaRef ds:uri="http://purl.org/dc/dcmitype/"/>
  </ds:schemaRefs>
</ds:datastoreItem>
</file>

<file path=customXml/itemProps3.xml><?xml version="1.0" encoding="utf-8"?>
<ds:datastoreItem xmlns:ds="http://schemas.openxmlformats.org/officeDocument/2006/customXml" ds:itemID="{13CF4AB3-6527-4771-8B2C-3B48578A3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Prentiss Searles</dc:creator>
  <cp:keywords/>
  <dc:description/>
  <cp:lastModifiedBy>Don Onwiler</cp:lastModifiedBy>
  <cp:revision>2</cp:revision>
  <dcterms:created xsi:type="dcterms:W3CDTF">2020-01-17T16:53:00Z</dcterms:created>
  <dcterms:modified xsi:type="dcterms:W3CDTF">2020-01-17T16:53:00Z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